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6E2FF" w14:textId="192469A3" w:rsidR="00067475" w:rsidRDefault="009B1D38">
      <w:pPr>
        <w:rPr>
          <w:u w:val="single"/>
        </w:rPr>
      </w:pPr>
      <w:r w:rsidRPr="009B1D38">
        <w:rPr>
          <w:u w:val="single"/>
        </w:rPr>
        <w:t>Úvod do studia literatury – přednáška 13. 12.</w:t>
      </w:r>
    </w:p>
    <w:p w14:paraId="24F559A0" w14:textId="737C0692" w:rsidR="009B1D38" w:rsidRDefault="009B1D38">
      <w:pPr>
        <w:rPr>
          <w:u w:val="single"/>
        </w:rPr>
      </w:pPr>
    </w:p>
    <w:p w14:paraId="7814F8C3" w14:textId="77FCF61F" w:rsidR="009B1D38" w:rsidRDefault="009B1D38">
      <w:pPr>
        <w:rPr>
          <w:b/>
          <w:bCs/>
        </w:rPr>
      </w:pPr>
      <w:r w:rsidRPr="009B1D38">
        <w:rPr>
          <w:b/>
          <w:bCs/>
        </w:rPr>
        <w:t>Historické proměny čtení</w:t>
      </w:r>
    </w:p>
    <w:p w14:paraId="0CE54493" w14:textId="77777777" w:rsidR="009B1D38" w:rsidRDefault="009B1D38" w:rsidP="009B1D38">
      <w:pPr>
        <w:pStyle w:val="Tlotextu"/>
      </w:pPr>
      <w:r>
        <w:t>Čtení je protikladem psaní, historicky je zřejmé, že s prvními zápisy se rodí první čtení, vynález písma produkuje současně obě tyto činnosti. Ale to v žádném případě neznamená, že jsou neodlučitelně spojeny. V raném novověku existovalo hodně lidí, kteří uměli číst, neuměli však psát. V tomto ohledu bylo psaní ještě exkluzivnější kompetencí než čtení; ovšem drtivá většina společnosti ještě v polovině 18. století neovládala ani jedno. V moderní západní společnosti tak trvá privilegovaná pozice psaní nad čtením: zatímco psaní vytváří hodnoty, čtení je chápáno jako pouhé vnímání, prostá recepce, která je netvůrčí. Psát tak znamená vykonávat moc, číst znamená podrobovat se této moci.</w:t>
      </w:r>
    </w:p>
    <w:p w14:paraId="52847300" w14:textId="77777777" w:rsidR="009B1D38" w:rsidRDefault="009B1D38" w:rsidP="009B1D38">
      <w:pPr>
        <w:pStyle w:val="Tlotextu"/>
      </w:pPr>
      <w:r>
        <w:t xml:space="preserve">Moderní čtení, které všichni praktikujeme, je ovšem relativně nový „vynález“, vzniká až v období osvícenství, kdy se prosazuje „autonomie oka“ (jak říká francouzský historik Michel de </w:t>
      </w:r>
      <w:proofErr w:type="spellStart"/>
      <w:r>
        <w:t>Certeau</w:t>
      </w:r>
      <w:proofErr w:type="spellEnd"/>
      <w:r>
        <w:t>) – tehdy se čtení odpoutává od „země“, odpojuje se komplexní tělesná souvislost čtení, a čtení se tedy stává pouze vnímáním grafického záznamu zrakem. Tehdy vzniká tiché čtení, něco, co se nám zdá zcela přirozeným a samozřejmým – ale co do 18. století vlastně neexistovalo. Čtení bylo původně vnímáno jako obnovení hlasu v jeho materiálnosti, tělesnosti – znamenalo tedy zapojení hlasového projevu, vlastně většina čtení byla předčítáním někomu. I v případě čtení pro sebe čtenáři četli nahlas nebo aspoň „mumlali“, pohybovali rty.</w:t>
      </w:r>
    </w:p>
    <w:p w14:paraId="3E3C984C" w14:textId="77777777" w:rsidR="009B1D38" w:rsidRDefault="009B1D38" w:rsidP="009B1D38">
      <w:pPr>
        <w:pStyle w:val="Tlotextu"/>
      </w:pPr>
      <w:r>
        <w:t xml:space="preserve">Čtenářská revoluce 18. století znamená také širokou demokratizaci čtení, jež souvisí s rozšiřováním vzdělaní i do nižších vrstev raně moderní společnosti. Tehdy se také významně rozvíjí knižní trh, který produkuje levné knihy pro méně majetné, které jsou svou typografickou formou přizpůsobeny lidovému čtenářstvu, které se tehdy konstituuje (těmto méně vzdělaným čtenářům se knihy přizpůsobují např. velikostí písma, způsobem sazby, ale i členěním textu do kapitol – musejí být kratší – atd.). Toto masové rozšíření čtení s sebou nese i rozvoj specifického literárního čtení. Jde o takové čtení, které je ne-pragmatické, nevztahuje významy obsažené v textu bezprostředně ke společenským praxím, ale počítá s mnohoznačností literárních výpovědí a jejich autonomním statusem. Tento specifický – a vůbec ne přirozený – modus čtení literatury, jejž můžeme s Pierrem </w:t>
      </w:r>
      <w:proofErr w:type="spellStart"/>
      <w:r>
        <w:t>Bourdieuem</w:t>
      </w:r>
      <w:proofErr w:type="spellEnd"/>
      <w:r>
        <w:t xml:space="preserve"> nazvat také „ryzím čtením“, zaměření na samo vypovídání místo na jeho předmět, je produktem autonomizovaného literárního pole, tak jak se postupně (pomalu) ustavuje v moderní době. Teprve když vznikne dostatečně bohatá a relativně málo zaměstnaná vrstva konzumentů, kteří si mohou dovolit takovou nepraktickou činnost, může vzniknout „ryzí psaní“. To je tedy produkováno a zároveň produkuje „ryzí čtení“; takto se kruhově navzájem legitimují a budují víru v literaturu.</w:t>
      </w:r>
    </w:p>
    <w:p w14:paraId="3E7AED10" w14:textId="1810B6D0" w:rsidR="009B1D38" w:rsidRDefault="009B1D38">
      <w:pPr>
        <w:rPr>
          <w:b/>
          <w:bCs/>
        </w:rPr>
      </w:pPr>
    </w:p>
    <w:p w14:paraId="5441FEB0" w14:textId="4DDD8A1E" w:rsidR="009B1D38" w:rsidRDefault="009B1D38">
      <w:pPr>
        <w:rPr>
          <w:b/>
          <w:bCs/>
        </w:rPr>
      </w:pPr>
      <w:r>
        <w:rPr>
          <w:b/>
          <w:bCs/>
        </w:rPr>
        <w:t>Čtenář vně díla</w:t>
      </w:r>
    </w:p>
    <w:p w14:paraId="5CC79A7A" w14:textId="77777777" w:rsidR="009B1D38" w:rsidRDefault="009B1D38" w:rsidP="009B1D38">
      <w:pPr>
        <w:pStyle w:val="Tlotextu"/>
      </w:pPr>
      <w:r>
        <w:t xml:space="preserve">Čtenáře jako reálnou osobu, nějak historicky situovanou a nějak psychologicky disponovanou, nazýváme empirický čtenář nebo historický čtenář. K recepci – stejně jako k </w:t>
      </w:r>
      <w:r>
        <w:lastRenderedPageBreak/>
        <w:t xml:space="preserve">produkci – literárního díla můžeme přistupovat ze dvou hledisek: sociologického a psychologického. </w:t>
      </w:r>
    </w:p>
    <w:p w14:paraId="707E23E4" w14:textId="77777777" w:rsidR="009B1D38" w:rsidRDefault="009B1D38" w:rsidP="009B1D38">
      <w:pPr>
        <w:pStyle w:val="Tlotextu"/>
      </w:pPr>
      <w:r>
        <w:t xml:space="preserve">Sociologický pohled se zaměřuje zkoumání toho, co se čte, jak se čte apod., a to často v aspektu věkovém (třeba speciální zájem o dětského čtenáře), teritoriálním, sociálním atd. V posledních letech vzniklo několik rozsáhlejších sociologických výzkumů čtenářství (např. knihy Jiřího Trávníčka </w:t>
      </w:r>
      <w:r w:rsidRPr="00624340">
        <w:rPr>
          <w:i/>
        </w:rPr>
        <w:t>Čteme?</w:t>
      </w:r>
      <w:r>
        <w:t xml:space="preserve"> a </w:t>
      </w:r>
      <w:r w:rsidRPr="00624340">
        <w:rPr>
          <w:i/>
        </w:rPr>
        <w:t xml:space="preserve">Čtenáři a </w:t>
      </w:r>
      <w:proofErr w:type="spellStart"/>
      <w:r w:rsidRPr="00624340">
        <w:rPr>
          <w:i/>
        </w:rPr>
        <w:t>internauti</w:t>
      </w:r>
      <w:proofErr w:type="spellEnd"/>
      <w:r>
        <w:t xml:space="preserve"> nebo kolektivní práce </w:t>
      </w:r>
      <w:r w:rsidRPr="00624340">
        <w:rPr>
          <w:i/>
        </w:rPr>
        <w:t>České děti jako čtenáři</w:t>
      </w:r>
      <w:r>
        <w:t>). Současné sociologické průzkumy čtenářství vycházejí z dotazníkových šetření nebo z dat veřejných knihoven, výzkumy ale mohou mít i historický charakter (zkoumají se třeba staré knihovní inventáře apod.).</w:t>
      </w:r>
    </w:p>
    <w:p w14:paraId="3233DF69" w14:textId="77777777" w:rsidR="009B1D38" w:rsidRDefault="009B1D38" w:rsidP="009B1D38">
      <w:pPr>
        <w:pStyle w:val="Tlotextu"/>
      </w:pPr>
      <w:r>
        <w:t xml:space="preserve">Psychologický pohled na čtenářství sleduje recepci literárního díla jako akt odehrávající se v psychice jedince. Tzn., že zkoumá percepci textu, reakci čtenáře, jeho prožívání, aplikaci atp. </w:t>
      </w:r>
    </w:p>
    <w:p w14:paraId="0B0E831C" w14:textId="77777777" w:rsidR="009B1D38" w:rsidRDefault="009B1D38" w:rsidP="009B1D38">
      <w:pPr>
        <w:pStyle w:val="Tlotextu"/>
      </w:pPr>
      <w:r>
        <w:t xml:space="preserve">Zaměřme pozornost na to, zda čtenářství můžeme – jak bývá zvykem – považovat za činnost netvůrčí, pasivní vzhledem k tvůrčímu, aktivnímu aktu psaní (produkce). Tato představa, ostře oddělující produkci hodnot (záležitost elity) a jejich recepci (záležitost mas), zakořenila v evropském myšlení v osvícenství. Historik Michel de </w:t>
      </w:r>
      <w:proofErr w:type="spellStart"/>
      <w:r>
        <w:t>Certeau</w:t>
      </w:r>
      <w:proofErr w:type="spellEnd"/>
      <w:r>
        <w:t xml:space="preserve"> ve své knize </w:t>
      </w:r>
      <w:r w:rsidRPr="00624340">
        <w:rPr>
          <w:i/>
        </w:rPr>
        <w:t>Vynalézání každodennosti</w:t>
      </w:r>
      <w:r>
        <w:t xml:space="preserve"> věnuje pozornost čtení v kapitole nazvané „Čtení jako pytláctví“. Čtení zde situuje mezi sociální manipulaci, která vede k potvrzování „informace“ distribuované „mistry“ a k zamlčování toho druhého, a tvořivost, která míří do trhlin v kulturní ortodoxii, je pro elitu neviditelná, ale šíří to unikající do sítí soukromého života. Čtení je tedy tvůrčí – nejen pasivní, jak soudilo osvícenství, které zahájilo distribuci dobra skrze texty.</w:t>
      </w:r>
    </w:p>
    <w:p w14:paraId="46C872FB" w14:textId="77777777" w:rsidR="009B1D38" w:rsidRDefault="009B1D38" w:rsidP="009B1D38">
      <w:pPr>
        <w:pStyle w:val="Tlotextu"/>
      </w:pPr>
      <w:r>
        <w:t>Text se v tomto smyslu může stát „kulturní zbraní“ – prostředkem, jímž se vykonává kontrola nad smyslem; v pozadí stojí fikce skrytého „bohatství díla“, kterého není čtenář mocen (a je proto vinen nevěrností nebo ignorací), a proto je umlčován kleriky, povolanými smysl vykládat. Privilegovaní čtenáři udržují fikci nedostupných tajemství textu, vytváří tak hranici mezi textem a čtenáři, kterou mohou překročit jen ti, co mají povolení „oficiálních interpretů“. Proti tomu konkrétní čtenáři svým každodenním čtením unikají z tohoto tlaku a čtou „podle sebe“, svým tělem, svými konkrétními životními zájmy. Proti mocenským strategiím „elity“ zde stojí množství konkrétních taktik obyčejných čtenářů, kteří vkládají do svého čtení svou invenci, svou tvořivost, své životní zkušenosti a své životní potřeby.</w:t>
      </w:r>
    </w:p>
    <w:p w14:paraId="12EFEEAA" w14:textId="54C4D0EB" w:rsidR="009B1D38" w:rsidRPr="000F03AD" w:rsidRDefault="009B1D38" w:rsidP="009B1D38">
      <w:pPr>
        <w:pStyle w:val="Tlotextu"/>
      </w:pPr>
      <w:r>
        <w:t xml:space="preserve">Historikové jako </w:t>
      </w:r>
      <w:proofErr w:type="spellStart"/>
      <w:r>
        <w:t>Certeau</w:t>
      </w:r>
      <w:proofErr w:type="spellEnd"/>
      <w:r>
        <w:t xml:space="preserve"> nebo Roger </w:t>
      </w:r>
      <w:proofErr w:type="spellStart"/>
      <w:r>
        <w:t>Chartier</w:t>
      </w:r>
      <w:proofErr w:type="spellEnd"/>
      <w:r>
        <w:t xml:space="preserve"> polemizují s představou čtenáře, kterou přináší recepční estetika a obdobné koncepty (budeme o nich hovořit </w:t>
      </w:r>
      <w:r>
        <w:t>za chvíli</w:t>
      </w:r>
      <w:r>
        <w:t>): čtení je u nich vždy zakořeněné do životní praxe, není to abstraktní akt, ale akt specifický, fyzický, singulární, historicky jedinečný</w:t>
      </w:r>
      <w:r>
        <w:t>.</w:t>
      </w:r>
    </w:p>
    <w:p w14:paraId="3282DA66" w14:textId="161C663E" w:rsidR="009B1D38" w:rsidRDefault="009B1D38">
      <w:pPr>
        <w:rPr>
          <w:b/>
          <w:bCs/>
        </w:rPr>
      </w:pPr>
    </w:p>
    <w:p w14:paraId="5A8B19DC" w14:textId="3B360D9D" w:rsidR="009B1D38" w:rsidRDefault="009B1D38">
      <w:pPr>
        <w:rPr>
          <w:b/>
          <w:bCs/>
        </w:rPr>
      </w:pPr>
      <w:r>
        <w:rPr>
          <w:b/>
          <w:bCs/>
        </w:rPr>
        <w:t>Čtenář v díle</w:t>
      </w:r>
    </w:p>
    <w:p w14:paraId="23B520C5" w14:textId="77777777" w:rsidR="009B1D38" w:rsidRDefault="009B1D38" w:rsidP="009B1D38">
      <w:pPr>
        <w:pStyle w:val="Tlotextu"/>
      </w:pPr>
      <w:r>
        <w:t xml:space="preserve">Viděli jsme, že někteří historici vidí čtení jako specifický historický akt a polemizují s </w:t>
      </w:r>
      <w:proofErr w:type="spellStart"/>
      <w:r>
        <w:t>vnitrotextovými</w:t>
      </w:r>
      <w:proofErr w:type="spellEnd"/>
      <w:r>
        <w:t xml:space="preserve"> koncepcemi čtenáře, které se prosadily v literární vědě od 60. let zejména v pracích kostnické školy recepční estetiky nebo v literárněvědném díle Umberta </w:t>
      </w:r>
      <w:proofErr w:type="spellStart"/>
      <w:r>
        <w:t>Eca</w:t>
      </w:r>
      <w:proofErr w:type="spellEnd"/>
      <w:r>
        <w:t>.</w:t>
      </w:r>
    </w:p>
    <w:p w14:paraId="76B6EC25" w14:textId="77777777" w:rsidR="009B1D38" w:rsidRDefault="009B1D38" w:rsidP="009B1D38">
      <w:pPr>
        <w:pStyle w:val="Tlotextu"/>
      </w:pPr>
      <w:r>
        <w:lastRenderedPageBreak/>
        <w:t xml:space="preserve">Recepční estetika odmítá starší estetiky produkce, zaměřené na produkci textu, a obrací pozornost k tomu, jak je dílo recipováno, jak se ustavují jeho významy v aktu čtení. Zatímco Hans-Robert </w:t>
      </w:r>
      <w:proofErr w:type="spellStart"/>
      <w:r>
        <w:t>Jauss</w:t>
      </w:r>
      <w:proofErr w:type="spellEnd"/>
      <w:r>
        <w:t xml:space="preserve"> jako literární historik soustředil pozornost na otázky historických proměn konkrétních děl v recepci, jiní příslušníci školy (Wolfgang </w:t>
      </w:r>
      <w:proofErr w:type="spellStart"/>
      <w:r>
        <w:t>Iser</w:t>
      </w:r>
      <w:proofErr w:type="spellEnd"/>
      <w:r>
        <w:t xml:space="preserve">, Karlheinz </w:t>
      </w:r>
      <w:proofErr w:type="spellStart"/>
      <w:r>
        <w:t>Stierle</w:t>
      </w:r>
      <w:proofErr w:type="spellEnd"/>
      <w:r>
        <w:t xml:space="preserve">) se věnovali otázce, jak je čtenářská role přítomna přímo v textu. </w:t>
      </w:r>
      <w:proofErr w:type="spellStart"/>
      <w:r>
        <w:t>Iser</w:t>
      </w:r>
      <w:proofErr w:type="spellEnd"/>
      <w:r>
        <w:t xml:space="preserve"> vytvořil koncept implicitního čtenáře jako opozitní konstrukt vzhledem k implicitnímu autorovi. Implicitní čtenář není čistě textová role, je to role (opět, jako v případě implicitního autora, personalizovaná, což u některých teoretiků vzbuzuje nedůvěru), která vzniká z interakce textových instrukcí a aktů čtení. Jde o souhru mezi textovými signály a aktivitou čtenáře, který vytváří souvislosti, které v textu samém nejsou (nebo lépe řečeno: jsou v něm jen potenciálně). Jde o proces, který – jak říká </w:t>
      </w:r>
      <w:proofErr w:type="spellStart"/>
      <w:r>
        <w:t>Iser</w:t>
      </w:r>
      <w:proofErr w:type="spellEnd"/>
      <w:r>
        <w:t xml:space="preserve"> – „vytváří něco, co není v textu vysloveno, a přesto představuje ‚záměr‘ textu“. Tedy lze </w:t>
      </w:r>
      <w:proofErr w:type="gramStart"/>
      <w:r>
        <w:t>říci</w:t>
      </w:r>
      <w:proofErr w:type="gramEnd"/>
      <w:r>
        <w:t xml:space="preserve">, že koncept implicitního čtenáře předpokládá, že </w:t>
      </w:r>
      <w:proofErr w:type="spellStart"/>
      <w:r>
        <w:t>ujednocující</w:t>
      </w:r>
      <w:proofErr w:type="spellEnd"/>
      <w:r>
        <w:t xml:space="preserve"> perspektiva (vyjádřitelná jako „záměr“ díla), jež bývá přisuzována implicitnímu autorovi, je přeložena do procesu recepce. Přitom tuto recepční roli ovšem sám text předjímá.</w:t>
      </w:r>
    </w:p>
    <w:p w14:paraId="628E4BB0" w14:textId="77777777" w:rsidR="009B1D38" w:rsidRDefault="009B1D38" w:rsidP="009B1D38">
      <w:pPr>
        <w:pStyle w:val="Tlotextu"/>
      </w:pPr>
      <w:r>
        <w:t xml:space="preserve">S poněkud odlišným konceptem přišel Umberto </w:t>
      </w:r>
      <w:proofErr w:type="spellStart"/>
      <w:r>
        <w:t>Eco</w:t>
      </w:r>
      <w:proofErr w:type="spellEnd"/>
      <w:r>
        <w:t xml:space="preserve"> – pojmenoval jej modelový čtenář. Modelový čtenář je vlastně čtenář fiktivní, je to recepční role, kterou předpokládá a vytváří text. Text ve své struktuře obsahuje určité instrukce a předpoklady, kterých je třeba být poslušen, aby mohl být text náležitě interpretován. Text sám vytváří čtenáře, vymezuje možnosti své recepce. To znamená, že i zde jde opět o cestu za záměrem díla. Jak říká </w:t>
      </w:r>
      <w:proofErr w:type="spellStart"/>
      <w:r>
        <w:t>Eco</w:t>
      </w:r>
      <w:proofErr w:type="spellEnd"/>
      <w:r>
        <w:t xml:space="preserve">, „hlavním úkolem interpretace je pochopit povahu tohoto čtenáře navzdory jeho přízračné existenci“. Empirický čtenář samozřejmě může číst text zcela libovolně, ale usiluje-li o „literární čtení“, přistupuje-li na komunikační hru, musí se pokusit rekonstruovat takovou čtenářskou roli, jakou text předpokládá. </w:t>
      </w:r>
      <w:proofErr w:type="spellStart"/>
      <w:r>
        <w:t>Eco</w:t>
      </w:r>
      <w:proofErr w:type="spellEnd"/>
      <w:r>
        <w:t xml:space="preserve"> v Šesti procházkách literárními lesy říká: „(…) existuje modelový čtenář knihy Plačky nad </w:t>
      </w:r>
      <w:proofErr w:type="spellStart"/>
      <w:r>
        <w:t>Finneganem</w:t>
      </w:r>
      <w:proofErr w:type="spellEnd"/>
      <w:r>
        <w:t xml:space="preserve">, ale také modelový čtenář jízdního řádu, a tyto texty vyžadují od každého z nich jiný způsob kooperace. Je jasné, že nás více vzrušují </w:t>
      </w:r>
      <w:proofErr w:type="spellStart"/>
      <w:r>
        <w:t>Joyceovy</w:t>
      </w:r>
      <w:proofErr w:type="spellEnd"/>
      <w:r>
        <w:t xml:space="preserve"> pokyny pro ‚ideálního čtenáře postiženého ideální nespavostí‘, ale měli bychom věnovat pozornost i řadě instrukcí, které čtenář nachází v jízdním řádu.“</w:t>
      </w:r>
    </w:p>
    <w:p w14:paraId="54039269" w14:textId="792D7BA0" w:rsidR="009B1D38" w:rsidRDefault="009B1D38">
      <w:pPr>
        <w:rPr>
          <w:b/>
          <w:bCs/>
        </w:rPr>
      </w:pPr>
      <w:r>
        <w:rPr>
          <w:b/>
          <w:bCs/>
        </w:rPr>
        <w:t>Fiktivní adresát</w:t>
      </w:r>
    </w:p>
    <w:p w14:paraId="71D29124" w14:textId="77777777" w:rsidR="009B1D38" w:rsidRDefault="009B1D38" w:rsidP="009B1D38">
      <w:pPr>
        <w:pStyle w:val="Tlotextu"/>
      </w:pPr>
      <w:r>
        <w:t>Tak jako má empirický čtenář svůj protiklad v empirickém čtenáři, tak jako má implicitní/modelový autor svůj protiklad v implicitním/modelovém čtenáři, tak i vypravěč/lyrický subjekt má v díle svůj protiklad. Jde o fiktivního adresáta. Je to funkce, kterou nemůžeme ztotožnit ani s empirickým čtenářem, ani se čtenářem modelovým.</w:t>
      </w:r>
    </w:p>
    <w:p w14:paraId="6426D894" w14:textId="25D30176" w:rsidR="009B1D38" w:rsidRDefault="009B1D38" w:rsidP="009B1D38">
      <w:pPr>
        <w:pStyle w:val="Tlotextu"/>
      </w:pPr>
      <w:r>
        <w:t>Fiktivní adresát je subjekt, k němuž se obrací vypravěč (popř. lyrický mluvčí); na rozdíl od vypravěče nemá svou gramatickou osobu, je zcela závislý na vypravěčově hlase. Můžeme přitom uvažovat o různé míře odkrytosti adresáta.</w:t>
      </w:r>
      <w:r w:rsidRPr="009B1D38">
        <w:t xml:space="preserve"> </w:t>
      </w:r>
      <w:r w:rsidRPr="00624340">
        <w:t xml:space="preserve">Příklad odkrytého adresáta najdeme v pohádkových úvodech typu: „Milé děti, teď vám budu vyprávět pohádku o…“ nebo v politické lyrice (Přežil jsem matku svou, </w:t>
      </w:r>
      <w:proofErr w:type="gramStart"/>
      <w:r w:rsidRPr="00624340">
        <w:t>žiju</w:t>
      </w:r>
      <w:proofErr w:type="gramEnd"/>
      <w:r w:rsidRPr="00624340">
        <w:t xml:space="preserve"> jen památce, / přežil jsem lásku svou, měl ji tak na krátce — / všechno jsem oplakal, zase se osvěžil — / Tebe bych, národe, Tebe bych nepřežil! Jan Neruda: </w:t>
      </w:r>
      <w:r w:rsidRPr="00624340">
        <w:rPr>
          <w:i/>
        </w:rPr>
        <w:t>Láska</w:t>
      </w:r>
      <w:r w:rsidRPr="00624340">
        <w:t>). Skrytý adresát bývá typický pro realistické vyprávění.</w:t>
      </w:r>
    </w:p>
    <w:p w14:paraId="3616FAFB" w14:textId="414F99FB" w:rsidR="009B1D38" w:rsidRDefault="009B1D38" w:rsidP="009B1D38">
      <w:pPr>
        <w:pStyle w:val="Tlotextu"/>
      </w:pPr>
    </w:p>
    <w:p w14:paraId="60ECA714" w14:textId="77777777" w:rsidR="009B1D38" w:rsidRPr="009B1D38" w:rsidRDefault="009B1D38">
      <w:pPr>
        <w:rPr>
          <w:b/>
          <w:bCs/>
        </w:rPr>
      </w:pPr>
    </w:p>
    <w:sectPr w:rsidR="009B1D38" w:rsidRPr="009B1D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D38"/>
    <w:rsid w:val="00067475"/>
    <w:rsid w:val="00071230"/>
    <w:rsid w:val="00083601"/>
    <w:rsid w:val="001836E3"/>
    <w:rsid w:val="002B7E4E"/>
    <w:rsid w:val="007D2BFD"/>
    <w:rsid w:val="008F5F73"/>
    <w:rsid w:val="009B1D38"/>
    <w:rsid w:val="00BD29D9"/>
    <w:rsid w:val="00C92208"/>
    <w:rsid w:val="00CC65EA"/>
    <w:rsid w:val="00ED29E8"/>
    <w:rsid w:val="00F75090"/>
    <w:rsid w:val="00FD794B"/>
    <w:rsid w:val="00FF51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906FD"/>
  <w15:chartTrackingRefBased/>
  <w15:docId w15:val="{38097152-31A7-42F1-BBDB-3D1B1CFC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9B1D38"/>
    <w:pPr>
      <w:spacing w:before="240" w:after="240" w:line="276" w:lineRule="auto"/>
      <w:ind w:firstLine="284"/>
      <w:jc w:val="both"/>
    </w:pPr>
    <w:rPr>
      <w:rFonts w:ascii="Times New Roman" w:hAnsi="Times New Roman"/>
      <w:sz w:val="24"/>
    </w:rPr>
  </w:style>
  <w:style w:type="character" w:customStyle="1" w:styleId="TlotextuChar">
    <w:name w:val="Tělo textu Char"/>
    <w:basedOn w:val="Standardnpsmoodstavce"/>
    <w:link w:val="Tlotextu"/>
    <w:rsid w:val="009B1D3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1372</Words>
  <Characters>8096</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Tichý</dc:creator>
  <cp:keywords/>
  <dc:description/>
  <cp:lastModifiedBy>Martin Tichý</cp:lastModifiedBy>
  <cp:revision>1</cp:revision>
  <dcterms:created xsi:type="dcterms:W3CDTF">2021-12-08T11:33:00Z</dcterms:created>
  <dcterms:modified xsi:type="dcterms:W3CDTF">2021-12-08T11:38:00Z</dcterms:modified>
</cp:coreProperties>
</file>