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71F1" w14:textId="77777777" w:rsidR="006D2E57" w:rsidRPr="006D2E57" w:rsidRDefault="006D2E57" w:rsidP="006D2E57">
      <w:pPr>
        <w:keepNext/>
        <w:keepLines/>
        <w:pageBreakBefore/>
        <w:spacing w:before="480" w:after="480" w:line="276" w:lineRule="auto"/>
        <w:ind w:left="431" w:hanging="431"/>
        <w:outlineLvl w:val="0"/>
        <w:rPr>
          <w:rFonts w:ascii="Arial" w:eastAsiaTheme="majorEastAsia" w:hAnsi="Arial" w:cstheme="majorBidi"/>
          <w:b/>
          <w:bCs/>
          <w:caps/>
          <w:color w:val="981E3A"/>
          <w:sz w:val="32"/>
          <w:szCs w:val="28"/>
        </w:rPr>
      </w:pPr>
      <w:bookmarkStart w:id="0" w:name="_Toc57500378"/>
      <w:r w:rsidRPr="006D2E57">
        <w:rPr>
          <w:rFonts w:ascii="Arial" w:eastAsiaTheme="majorEastAsia" w:hAnsi="Arial" w:cstheme="majorBidi"/>
          <w:b/>
          <w:bCs/>
          <w:caps/>
          <w:color w:val="981E3A"/>
          <w:sz w:val="32"/>
          <w:szCs w:val="28"/>
        </w:rPr>
        <w:t>Festivalový trh a jeho infrastruktura</w:t>
      </w:r>
      <w:bookmarkEnd w:id="0"/>
    </w:p>
    <w:p w14:paraId="3E4F3325"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6D2E57">
        <w:rPr>
          <w:rFonts w:ascii="Arial" w:hAnsi="Arial"/>
          <w:b/>
          <w:i/>
          <w:caps/>
          <w:sz w:val="24"/>
        </w:rPr>
        <w:t>Rychlý náhled kapitoly</w:t>
      </w:r>
    </w:p>
    <w:p w14:paraId="7F69F15F" w14:textId="77777777" w:rsidR="006D2E57" w:rsidRPr="006D2E57" w:rsidRDefault="006D2E57" w:rsidP="006D2E57">
      <w:pPr>
        <w:framePr w:w="624" w:h="624" w:hRule="exact" w:hSpace="170" w:wrap="around" w:vAnchor="text" w:hAnchor="page" w:xAlign="outside" w:y="-622" w:anchorLock="1"/>
      </w:pPr>
      <w:r w:rsidRPr="006D2E57">
        <w:rPr>
          <w:noProof/>
          <w:lang w:eastAsia="cs-CZ"/>
        </w:rPr>
        <w:drawing>
          <wp:inline distT="0" distB="0" distL="0" distR="0" wp14:anchorId="72709B61" wp14:editId="6505BC7E">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5DCF09"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Vztah k trhu je ve festivalovém světě nezbytný a tato kapitola nahlíží na trh z jiného úhlu pohledu. Dozvíte se informace o dominanci festivalového trhu a jeho segmentů, především faktory segmentů, které pomáhají k podnikatelské úspěšnosti v rámci festivalového podnikání. Minimálně se v kapitole nahlíží do veřejné služby, ve které je festival zakotven. V závěru si vysvětlujeme základní charakteristiku festivalové konkurence, především posílení konkurence, což vždy přináší zkvalitnění divadelní či festivalové činnosti.</w:t>
      </w:r>
    </w:p>
    <w:p w14:paraId="0FDC5A20" w14:textId="77777777" w:rsidR="006D2E57" w:rsidRPr="006D2E57" w:rsidRDefault="006D2E57" w:rsidP="006D2E57">
      <w:pPr>
        <w:spacing w:before="240" w:after="240" w:line="276" w:lineRule="auto"/>
        <w:ind w:firstLine="284"/>
        <w:jc w:val="both"/>
        <w:rPr>
          <w:rFonts w:ascii="Times New Roman" w:hAnsi="Times New Roman"/>
          <w:sz w:val="24"/>
        </w:rPr>
      </w:pPr>
    </w:p>
    <w:p w14:paraId="137A268A" w14:textId="77777777" w:rsidR="006D2E57" w:rsidRPr="006D2E57" w:rsidRDefault="006D2E57" w:rsidP="006D2E57">
      <w:pPr>
        <w:pBdr>
          <w:top w:val="threeDEngrave" w:sz="24" w:space="0" w:color="auto"/>
        </w:pBdr>
        <w:spacing w:after="120" w:line="276" w:lineRule="auto"/>
        <w:ind w:firstLine="284"/>
        <w:jc w:val="both"/>
        <w:rPr>
          <w:rFonts w:ascii="Times New Roman" w:hAnsi="Times New Roman"/>
          <w:sz w:val="24"/>
        </w:rPr>
      </w:pPr>
    </w:p>
    <w:p w14:paraId="5025365A"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6D2E57">
        <w:rPr>
          <w:rFonts w:ascii="Arial" w:hAnsi="Arial"/>
          <w:b/>
          <w:i/>
          <w:caps/>
          <w:sz w:val="24"/>
        </w:rPr>
        <w:t>Cíle kapitoly</w:t>
      </w:r>
    </w:p>
    <w:p w14:paraId="3EA2F9B4" w14:textId="77777777" w:rsidR="006D2E57" w:rsidRPr="006D2E57" w:rsidRDefault="006D2E57" w:rsidP="006D2E57">
      <w:pPr>
        <w:framePr w:w="624" w:h="624" w:hRule="exact" w:hSpace="170" w:wrap="around" w:vAnchor="text" w:hAnchor="page" w:xAlign="outside" w:y="-622" w:anchorLock="1"/>
      </w:pPr>
      <w:r w:rsidRPr="006D2E57">
        <w:rPr>
          <w:noProof/>
          <w:lang w:eastAsia="cs-CZ"/>
        </w:rPr>
        <w:drawing>
          <wp:inline distT="0" distB="0" distL="0" distR="0" wp14:anchorId="281D091D" wp14:editId="7CF3611E">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525485" w14:textId="77777777" w:rsidR="006D2E57" w:rsidRPr="006D2E57" w:rsidRDefault="006D2E57" w:rsidP="006D2E57">
      <w:pPr>
        <w:spacing w:before="240" w:after="240" w:line="276" w:lineRule="auto"/>
        <w:ind w:left="641" w:hanging="357"/>
        <w:contextualSpacing/>
        <w:jc w:val="both"/>
        <w:rPr>
          <w:rFonts w:ascii="Times New Roman" w:hAnsi="Times New Roman"/>
          <w:sz w:val="24"/>
        </w:rPr>
      </w:pPr>
      <w:r w:rsidRPr="006D2E57">
        <w:rPr>
          <w:rFonts w:ascii="Times New Roman" w:hAnsi="Times New Roman"/>
          <w:sz w:val="24"/>
        </w:rPr>
        <w:t>Pochopit význam festivalového trhu.</w:t>
      </w:r>
    </w:p>
    <w:p w14:paraId="2A813BE6" w14:textId="77777777" w:rsidR="006D2E57" w:rsidRPr="006D2E57" w:rsidRDefault="006D2E57" w:rsidP="006D2E57">
      <w:pPr>
        <w:spacing w:before="240" w:after="240" w:line="276" w:lineRule="auto"/>
        <w:ind w:left="641" w:hanging="357"/>
        <w:contextualSpacing/>
        <w:jc w:val="both"/>
        <w:rPr>
          <w:rFonts w:ascii="Times New Roman" w:hAnsi="Times New Roman"/>
          <w:sz w:val="24"/>
        </w:rPr>
      </w:pPr>
      <w:r w:rsidRPr="006D2E57">
        <w:rPr>
          <w:rFonts w:ascii="Times New Roman" w:hAnsi="Times New Roman"/>
          <w:sz w:val="24"/>
        </w:rPr>
        <w:t>Umět segmentovat festivalový trh.</w:t>
      </w:r>
    </w:p>
    <w:p w14:paraId="3AE3A844" w14:textId="77777777" w:rsidR="006D2E57" w:rsidRPr="006D2E57" w:rsidRDefault="006D2E57" w:rsidP="006D2E57">
      <w:pPr>
        <w:spacing w:before="240" w:after="240" w:line="276" w:lineRule="auto"/>
        <w:ind w:left="641" w:hanging="357"/>
        <w:contextualSpacing/>
        <w:jc w:val="both"/>
        <w:rPr>
          <w:rFonts w:ascii="Times New Roman" w:hAnsi="Times New Roman"/>
          <w:sz w:val="24"/>
        </w:rPr>
      </w:pPr>
      <w:r w:rsidRPr="006D2E57">
        <w:rPr>
          <w:rFonts w:ascii="Times New Roman" w:hAnsi="Times New Roman"/>
          <w:sz w:val="24"/>
        </w:rPr>
        <w:t>Charakterizovat festival jako veřejnou službu.</w:t>
      </w:r>
    </w:p>
    <w:p w14:paraId="4ABB1E01" w14:textId="77777777" w:rsidR="006D2E57" w:rsidRPr="006D2E57" w:rsidRDefault="006D2E57" w:rsidP="006D2E57">
      <w:pPr>
        <w:spacing w:before="240" w:after="240" w:line="276" w:lineRule="auto"/>
        <w:ind w:left="641" w:hanging="357"/>
        <w:contextualSpacing/>
        <w:jc w:val="both"/>
        <w:rPr>
          <w:rFonts w:ascii="Times New Roman" w:hAnsi="Times New Roman"/>
          <w:sz w:val="24"/>
        </w:rPr>
      </w:pPr>
      <w:r w:rsidRPr="006D2E57">
        <w:rPr>
          <w:rFonts w:ascii="Times New Roman" w:hAnsi="Times New Roman"/>
          <w:sz w:val="24"/>
        </w:rPr>
        <w:t>Orientovat se ve festivalové konkurenci.</w:t>
      </w:r>
    </w:p>
    <w:p w14:paraId="077AFC63"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6D2E57">
        <w:rPr>
          <w:rFonts w:ascii="Arial" w:hAnsi="Arial"/>
          <w:b/>
          <w:i/>
          <w:caps/>
          <w:sz w:val="24"/>
        </w:rPr>
        <w:t>Čas potřebný ke studiu</w:t>
      </w:r>
    </w:p>
    <w:p w14:paraId="14310449" w14:textId="77777777" w:rsidR="006D2E57" w:rsidRPr="006D2E57" w:rsidRDefault="006D2E57" w:rsidP="006D2E57">
      <w:pPr>
        <w:framePr w:w="624" w:h="624" w:hRule="exact" w:hSpace="170" w:wrap="around" w:vAnchor="text" w:hAnchor="page" w:xAlign="outside" w:y="-622" w:anchorLock="1"/>
        <w:jc w:val="both"/>
      </w:pPr>
      <w:r w:rsidRPr="006D2E57">
        <w:rPr>
          <w:noProof/>
          <w:lang w:eastAsia="cs-CZ"/>
        </w:rPr>
        <w:drawing>
          <wp:inline distT="0" distB="0" distL="0" distR="0" wp14:anchorId="1FE1B5F5" wp14:editId="310E4DCC">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7E1F57"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ab/>
        <w:t>1 hodina</w:t>
      </w:r>
    </w:p>
    <w:p w14:paraId="7C8516A2" w14:textId="77777777" w:rsidR="006D2E57" w:rsidRPr="006D2E57" w:rsidRDefault="006D2E57" w:rsidP="006D2E57">
      <w:pPr>
        <w:pBdr>
          <w:top w:val="threeDEngrave" w:sz="24" w:space="0" w:color="auto"/>
        </w:pBdr>
        <w:spacing w:after="120" w:line="276" w:lineRule="auto"/>
        <w:ind w:firstLine="284"/>
        <w:jc w:val="both"/>
        <w:rPr>
          <w:rFonts w:ascii="Times New Roman" w:hAnsi="Times New Roman"/>
          <w:sz w:val="24"/>
        </w:rPr>
      </w:pPr>
    </w:p>
    <w:p w14:paraId="18C23060" w14:textId="77777777" w:rsidR="006D2E57" w:rsidRPr="006D2E57" w:rsidRDefault="006D2E57" w:rsidP="006D2E57">
      <w:pPr>
        <w:spacing w:before="240" w:after="240" w:line="276" w:lineRule="auto"/>
        <w:ind w:firstLine="284"/>
        <w:jc w:val="both"/>
        <w:rPr>
          <w:rFonts w:ascii="Times New Roman" w:hAnsi="Times New Roman"/>
          <w:sz w:val="24"/>
        </w:rPr>
      </w:pPr>
    </w:p>
    <w:p w14:paraId="6CC69F86"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6D2E57">
        <w:rPr>
          <w:rFonts w:ascii="Arial" w:hAnsi="Arial"/>
          <w:b/>
          <w:i/>
          <w:caps/>
          <w:sz w:val="24"/>
        </w:rPr>
        <w:t>Klíčová slova kapitoly</w:t>
      </w:r>
    </w:p>
    <w:p w14:paraId="1AE2D0EB" w14:textId="77777777" w:rsidR="006D2E57" w:rsidRPr="006D2E57" w:rsidRDefault="006D2E57" w:rsidP="006D2E57">
      <w:pPr>
        <w:framePr w:w="624" w:h="624" w:hRule="exact" w:hSpace="170" w:wrap="around" w:vAnchor="text" w:hAnchor="page" w:xAlign="outside" w:y="-622" w:anchorLock="1"/>
        <w:jc w:val="both"/>
      </w:pPr>
      <w:r w:rsidRPr="006D2E57">
        <w:rPr>
          <w:noProof/>
          <w:lang w:eastAsia="cs-CZ"/>
        </w:rPr>
        <w:drawing>
          <wp:inline distT="0" distB="0" distL="0" distR="0" wp14:anchorId="0CCB6421" wp14:editId="71CCF15E">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7576F4"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Dominance, segmentace, veřejná služba, konkurence.</w:t>
      </w:r>
    </w:p>
    <w:p w14:paraId="57612F3A" w14:textId="77777777" w:rsidR="006D2E57" w:rsidRPr="006D2E57" w:rsidRDefault="006D2E57" w:rsidP="006D2E57">
      <w:pPr>
        <w:pBdr>
          <w:top w:val="threeDEngrave" w:sz="24" w:space="1" w:color="auto"/>
        </w:pBdr>
        <w:spacing w:after="120" w:line="276" w:lineRule="auto"/>
        <w:ind w:firstLine="284"/>
        <w:jc w:val="both"/>
        <w:rPr>
          <w:rFonts w:ascii="Times New Roman" w:hAnsi="Times New Roman"/>
          <w:sz w:val="24"/>
        </w:rPr>
      </w:pPr>
    </w:p>
    <w:p w14:paraId="465DB3F0" w14:textId="77777777" w:rsidR="006D2E57" w:rsidRPr="006D2E57" w:rsidRDefault="006D2E57" w:rsidP="006D2E57">
      <w:pPr>
        <w:keepNext/>
        <w:keepLines/>
        <w:numPr>
          <w:ilvl w:val="1"/>
          <w:numId w:val="0"/>
        </w:numPr>
        <w:spacing w:before="480" w:after="240" w:line="276" w:lineRule="auto"/>
        <w:ind w:left="578" w:hanging="578"/>
        <w:outlineLvl w:val="1"/>
        <w:rPr>
          <w:rFonts w:ascii="Arial" w:eastAsiaTheme="majorEastAsia" w:hAnsi="Arial" w:cstheme="majorBidi"/>
          <w:b/>
          <w:bCs/>
          <w:color w:val="981E3A"/>
          <w:sz w:val="28"/>
          <w:szCs w:val="26"/>
        </w:rPr>
      </w:pPr>
      <w:bookmarkStart w:id="1" w:name="_Toc57500379"/>
      <w:r w:rsidRPr="006D2E57">
        <w:rPr>
          <w:rFonts w:ascii="Arial" w:eastAsiaTheme="majorEastAsia" w:hAnsi="Arial" w:cstheme="majorBidi"/>
          <w:b/>
          <w:bCs/>
          <w:color w:val="981E3A"/>
          <w:sz w:val="28"/>
          <w:szCs w:val="26"/>
        </w:rPr>
        <w:t>Dominance festivalového trhu</w:t>
      </w:r>
      <w:bookmarkEnd w:id="1"/>
    </w:p>
    <w:p w14:paraId="13CCDF4C"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 xml:space="preserve">Dominantní roli v našich úvahách o marketingu hraje vztah k trhu, identifikace a poznání trhu, stávajících i budoucích potřeb zákazníka, v našem případě diváka. Významnou veličinou je velikost trhu, trh s přibližně 10 miliony obyvatel je považován v evropských poměrech za </w:t>
      </w:r>
      <w:r w:rsidRPr="006D2E57">
        <w:rPr>
          <w:rFonts w:ascii="Times New Roman" w:hAnsi="Times New Roman"/>
          <w:sz w:val="24"/>
        </w:rPr>
        <w:lastRenderedPageBreak/>
        <w:t>středně velký. Nebudeme se pohybovat na trhu v obecném pojetí, ale na trhu uměleckém, a ještě více festivalovém. Festivalový trh je u nás nový ještě nezažitý pojem, obchodní aspekty ještě obtížně slučujeme s hledisky kultury a umění. Sice často slyšíme o filmovém, knižním nebo mediálním trhu, ale divadelní a festivalový trh má svou specifickou dynamiku, podléhá časovým změnám dle průběhu divadelní nebo festivalový ročník.</w:t>
      </w:r>
    </w:p>
    <w:p w14:paraId="359F29AC" w14:textId="77777777" w:rsidR="006D2E57" w:rsidRPr="006D2E57" w:rsidRDefault="006D2E57" w:rsidP="006D2E57">
      <w:pPr>
        <w:keepNext/>
        <w:keepLines/>
        <w:numPr>
          <w:ilvl w:val="1"/>
          <w:numId w:val="0"/>
        </w:numPr>
        <w:spacing w:before="480" w:after="240" w:line="276" w:lineRule="auto"/>
        <w:ind w:left="578" w:hanging="578"/>
        <w:outlineLvl w:val="1"/>
        <w:rPr>
          <w:rFonts w:ascii="Arial" w:eastAsiaTheme="majorEastAsia" w:hAnsi="Arial" w:cstheme="majorBidi"/>
          <w:b/>
          <w:bCs/>
          <w:color w:val="981E3A"/>
          <w:sz w:val="28"/>
          <w:szCs w:val="26"/>
        </w:rPr>
      </w:pPr>
      <w:bookmarkStart w:id="2" w:name="_Toc57500380"/>
      <w:r w:rsidRPr="006D2E57">
        <w:rPr>
          <w:rFonts w:ascii="Arial" w:eastAsiaTheme="majorEastAsia" w:hAnsi="Arial" w:cstheme="majorBidi"/>
          <w:b/>
          <w:bCs/>
          <w:color w:val="981E3A"/>
          <w:sz w:val="28"/>
          <w:szCs w:val="26"/>
        </w:rPr>
        <w:t>Segmentace festivalového trhu</w:t>
      </w:r>
      <w:bookmarkEnd w:id="2"/>
    </w:p>
    <w:p w14:paraId="360E74C4"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 xml:space="preserve">Každý trh lze různorodě členit na několik menších částí tvořených zákazníky s podobnými potřebami a spotřebitelskými zvyklostmi, to jsou segmenty. Zákazníci zařazeni do těchto segmentů by měli shodně reagovat na určité marketingové podněty. Segmentace trhu přispívá k odhalení podnikatelských příležitostí. </w:t>
      </w:r>
    </w:p>
    <w:p w14:paraId="63A24F67" w14:textId="77777777" w:rsidR="006D2E57" w:rsidRPr="006D2E57" w:rsidRDefault="006D2E57" w:rsidP="006D2E57">
      <w:pPr>
        <w:spacing w:before="240" w:after="240" w:line="276" w:lineRule="auto"/>
        <w:ind w:firstLine="284"/>
        <w:jc w:val="both"/>
        <w:rPr>
          <w:rFonts w:ascii="Times New Roman" w:hAnsi="Times New Roman"/>
          <w:sz w:val="24"/>
        </w:rPr>
      </w:pPr>
      <w:bookmarkStart w:id="3" w:name="_Hlk57315600"/>
      <w:r w:rsidRPr="006D2E57">
        <w:rPr>
          <w:rFonts w:ascii="Times New Roman" w:hAnsi="Times New Roman"/>
          <w:sz w:val="24"/>
        </w:rPr>
        <w:t>Faktorů segmentace je několik – například:</w:t>
      </w:r>
    </w:p>
    <w:p w14:paraId="64CD1834"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vzdělanostní a zkušenostní (víra, praxe, vkus, politická orientace),</w:t>
      </w:r>
    </w:p>
    <w:p w14:paraId="2B267169"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 xml:space="preserve">životní styl (tradicionalisté, trendy mládí…), </w:t>
      </w:r>
    </w:p>
    <w:p w14:paraId="7CD99FE8"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sociálně-ekonomické (postavení, příjem…),</w:t>
      </w:r>
    </w:p>
    <w:p w14:paraId="43D89485"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demografické (věk, pohlaví…),</w:t>
      </w:r>
    </w:p>
    <w:p w14:paraId="66C69B4A"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geografické (město, venkov…),</w:t>
      </w:r>
    </w:p>
    <w:p w14:paraId="6C405214"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psychologické (potřeby, zájmy, vztah ke kultuře…),</w:t>
      </w:r>
    </w:p>
    <w:p w14:paraId="7A99AE31"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podle pohlaví a dle stavu,</w:t>
      </w:r>
    </w:p>
    <w:p w14:paraId="74BC816A" w14:textId="77777777" w:rsidR="006D2E57" w:rsidRPr="006D2E57" w:rsidRDefault="006D2E57" w:rsidP="006D2E57">
      <w:pPr>
        <w:numPr>
          <w:ilvl w:val="0"/>
          <w:numId w:val="1"/>
        </w:numPr>
        <w:spacing w:before="240" w:after="240" w:line="276" w:lineRule="auto"/>
        <w:jc w:val="both"/>
        <w:rPr>
          <w:rFonts w:ascii="Times New Roman" w:hAnsi="Times New Roman"/>
          <w:sz w:val="24"/>
        </w:rPr>
      </w:pPr>
      <w:r w:rsidRPr="006D2E57">
        <w:rPr>
          <w:rFonts w:ascii="Times New Roman" w:hAnsi="Times New Roman"/>
          <w:sz w:val="24"/>
        </w:rPr>
        <w:t>dle etnického původu.</w:t>
      </w:r>
    </w:p>
    <w:bookmarkEnd w:id="3"/>
    <w:p w14:paraId="7EBDA3D5"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 xml:space="preserve">Segmentace festivalového trhu probíhá dle druhu žánru festivalu, demografických a dalších hledisek. Lze také stanovit náš podíl na trhu (market </w:t>
      </w:r>
      <w:proofErr w:type="spellStart"/>
      <w:r w:rsidRPr="006D2E57">
        <w:rPr>
          <w:rFonts w:ascii="Times New Roman" w:hAnsi="Times New Roman"/>
          <w:sz w:val="24"/>
        </w:rPr>
        <w:t>share</w:t>
      </w:r>
      <w:proofErr w:type="spellEnd"/>
      <w:r w:rsidRPr="006D2E57">
        <w:rPr>
          <w:rFonts w:ascii="Times New Roman" w:hAnsi="Times New Roman"/>
          <w:sz w:val="24"/>
        </w:rPr>
        <w:t xml:space="preserve">), k získání co nejpřesnějších a nejobjektivnějších informací slouží analýza trhu, která probíhá formou shromažďování informací a dat, anket a průzkumů, pozorování, interview, dotazování, výběr vzorků a experimenty. </w:t>
      </w:r>
    </w:p>
    <w:p w14:paraId="4C432AF9"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Příklad na způsob distribuce v rámci divadelních segmentů: Chicago má více než 120 divadelních společností, některé z nich cílevědomě vyhledávají tržní niky. Jedna skupina se zaměřuje třeba jen na Shakespeara, jiná zase naopak na klasiky, některé skupiny na současnou dramatickou tvorbu. Následuje otázka, zda chceme stoprocentně uspokojit jeden typ diváků nebo povrchně všechny.</w:t>
      </w:r>
    </w:p>
    <w:p w14:paraId="47D47164" w14:textId="77777777" w:rsidR="006D2E57" w:rsidRPr="006D2E57" w:rsidRDefault="006D2E57" w:rsidP="006D2E57">
      <w:pPr>
        <w:keepNext/>
        <w:keepLines/>
        <w:numPr>
          <w:ilvl w:val="1"/>
          <w:numId w:val="0"/>
        </w:numPr>
        <w:spacing w:before="480" w:after="240" w:line="276" w:lineRule="auto"/>
        <w:ind w:left="578" w:hanging="578"/>
        <w:outlineLvl w:val="1"/>
        <w:rPr>
          <w:rFonts w:ascii="Arial" w:eastAsiaTheme="majorEastAsia" w:hAnsi="Arial" w:cstheme="majorBidi"/>
          <w:b/>
          <w:bCs/>
          <w:color w:val="981E3A"/>
          <w:sz w:val="28"/>
          <w:szCs w:val="26"/>
        </w:rPr>
      </w:pPr>
      <w:bookmarkStart w:id="4" w:name="_Toc57500381"/>
      <w:r w:rsidRPr="006D2E57">
        <w:rPr>
          <w:rFonts w:ascii="Arial" w:eastAsiaTheme="majorEastAsia" w:hAnsi="Arial" w:cstheme="majorBidi"/>
          <w:b/>
          <w:bCs/>
          <w:color w:val="981E3A"/>
          <w:sz w:val="28"/>
          <w:szCs w:val="26"/>
        </w:rPr>
        <w:lastRenderedPageBreak/>
        <w:t>Festival jako veřejná služba</w:t>
      </w:r>
      <w:bookmarkEnd w:id="4"/>
    </w:p>
    <w:p w14:paraId="3C0EE87D"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Festival je základní typ provozního modelu. Jedná se o kulturní službu veřejnosti. Festival je zřizován z vyššího (veřejného a kulturního) zájmu, státem, krajem, obcí, univerzitou, agenturou nebo spolkem. Slouží k uspokojení kulturní potřeby segmentů osob.</w:t>
      </w:r>
    </w:p>
    <w:p w14:paraId="22F9D11D"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Divadelní festival může být v užším slova smyslu, že zřizovatel na sebe bere odpovědnost za hospodářské a zprostředkovaně i umělecké výsledky festivalu/divadla a u něhož se předpokládá neziskový charakter, respektive pokrytí ztráty subvencí.</w:t>
      </w:r>
    </w:p>
    <w:p w14:paraId="64D806DF" w14:textId="77777777" w:rsidR="006D2E57" w:rsidRPr="006D2E57" w:rsidRDefault="006D2E57" w:rsidP="006D2E57">
      <w:pPr>
        <w:keepNext/>
        <w:keepLines/>
        <w:numPr>
          <w:ilvl w:val="1"/>
          <w:numId w:val="0"/>
        </w:numPr>
        <w:spacing w:before="480" w:after="240" w:line="276" w:lineRule="auto"/>
        <w:ind w:left="578" w:hanging="578"/>
        <w:outlineLvl w:val="1"/>
        <w:rPr>
          <w:rFonts w:ascii="Arial" w:eastAsiaTheme="majorEastAsia" w:hAnsi="Arial" w:cstheme="majorBidi"/>
          <w:b/>
          <w:bCs/>
          <w:color w:val="981E3A"/>
          <w:sz w:val="28"/>
          <w:szCs w:val="26"/>
        </w:rPr>
      </w:pPr>
      <w:bookmarkStart w:id="5" w:name="_Toc57500382"/>
      <w:r w:rsidRPr="006D2E57">
        <w:rPr>
          <w:rFonts w:ascii="Arial" w:eastAsiaTheme="majorEastAsia" w:hAnsi="Arial" w:cstheme="majorBidi"/>
          <w:b/>
          <w:bCs/>
          <w:color w:val="981E3A"/>
          <w:sz w:val="28"/>
          <w:szCs w:val="26"/>
        </w:rPr>
        <w:t>Konkurence</w:t>
      </w:r>
      <w:bookmarkEnd w:id="5"/>
    </w:p>
    <w:p w14:paraId="4E8C81D6"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Ve festivalovém prostředí se konkurence dá chápat jako soutěž, rivalita, střet zájmů, boj konkurentů. Většinou i v našem divadelním prostředí to není konstantní, ale proměnná veličina. Jsou prostředí festivalového života, kde je konkurence značná, týká se to především větších měst, příkladem může být Praha či jiné evropské metropole. Festival na první pohled touží být v bezkonkurenčním prostředí, avšak realita je jiná, musí usilovat o kvalitnější produkt a nabídku, kterými se pak stává konkurenceschopnějším v mnohem širším měřítku, třeba i mezinárodním. Zastupitelé a další rozhodující činitelé města by měli všemožně bojovat proti monopolu a usilovat o posílení konkurence, vždy to přináší zkvalitnění divadelní či festivalové činnosti.</w:t>
      </w:r>
    </w:p>
    <w:p w14:paraId="7F5DCD00"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sz w:val="24"/>
        </w:rPr>
        <w:t xml:space="preserve">Můžeme si položit otázku, jaká je festivalová konkurence: </w:t>
      </w:r>
    </w:p>
    <w:p w14:paraId="4C8E662C" w14:textId="77777777" w:rsidR="006D2E57" w:rsidRPr="006D2E57" w:rsidRDefault="006D2E57" w:rsidP="006D2E57">
      <w:pPr>
        <w:numPr>
          <w:ilvl w:val="0"/>
          <w:numId w:val="2"/>
        </w:numPr>
        <w:spacing w:before="240" w:after="240" w:line="276" w:lineRule="auto"/>
        <w:jc w:val="both"/>
        <w:rPr>
          <w:rFonts w:ascii="Times New Roman" w:hAnsi="Times New Roman"/>
          <w:sz w:val="24"/>
        </w:rPr>
      </w:pPr>
      <w:r w:rsidRPr="006D2E57">
        <w:rPr>
          <w:rFonts w:ascii="Times New Roman" w:hAnsi="Times New Roman"/>
          <w:sz w:val="24"/>
        </w:rPr>
        <w:t>lokální;</w:t>
      </w:r>
    </w:p>
    <w:p w14:paraId="0DF2727D" w14:textId="77777777" w:rsidR="006D2E57" w:rsidRPr="006D2E57" w:rsidRDefault="006D2E57" w:rsidP="006D2E57">
      <w:pPr>
        <w:numPr>
          <w:ilvl w:val="0"/>
          <w:numId w:val="2"/>
        </w:numPr>
        <w:spacing w:before="240" w:after="240" w:line="276" w:lineRule="auto"/>
        <w:jc w:val="both"/>
        <w:rPr>
          <w:rFonts w:ascii="Times New Roman" w:hAnsi="Times New Roman"/>
          <w:sz w:val="24"/>
        </w:rPr>
      </w:pPr>
      <w:r w:rsidRPr="006D2E57">
        <w:rPr>
          <w:rFonts w:ascii="Times New Roman" w:hAnsi="Times New Roman"/>
          <w:sz w:val="24"/>
        </w:rPr>
        <w:t>všeobecná;</w:t>
      </w:r>
    </w:p>
    <w:p w14:paraId="291EEA59" w14:textId="77777777" w:rsidR="006D2E57" w:rsidRPr="006D2E57" w:rsidRDefault="006D2E57" w:rsidP="006D2E57">
      <w:pPr>
        <w:numPr>
          <w:ilvl w:val="0"/>
          <w:numId w:val="2"/>
        </w:numPr>
        <w:spacing w:before="240" w:after="240" w:line="276" w:lineRule="auto"/>
        <w:jc w:val="both"/>
        <w:rPr>
          <w:rFonts w:ascii="Times New Roman" w:hAnsi="Times New Roman"/>
          <w:sz w:val="24"/>
        </w:rPr>
      </w:pPr>
      <w:r w:rsidRPr="006D2E57">
        <w:rPr>
          <w:rFonts w:ascii="Times New Roman" w:hAnsi="Times New Roman"/>
          <w:sz w:val="24"/>
        </w:rPr>
        <w:t>kdo konkrétně, kolik identických či podobných pořadatelů (institucí).</w:t>
      </w:r>
    </w:p>
    <w:p w14:paraId="22111002" w14:textId="77777777" w:rsidR="006D2E57" w:rsidRPr="006D2E57" w:rsidRDefault="006D2E57" w:rsidP="006D2E57">
      <w:pPr>
        <w:spacing w:before="240" w:after="240" w:line="276" w:lineRule="auto"/>
        <w:ind w:left="644"/>
        <w:jc w:val="both"/>
        <w:rPr>
          <w:rFonts w:ascii="Times New Roman" w:hAnsi="Times New Roman"/>
          <w:sz w:val="24"/>
        </w:rPr>
      </w:pPr>
    </w:p>
    <w:p w14:paraId="039FCEA2"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color w:val="006600"/>
          <w:sz w:val="24"/>
        </w:rPr>
      </w:pPr>
      <w:r w:rsidRPr="006D2E57">
        <w:rPr>
          <w:rFonts w:ascii="Arial" w:hAnsi="Arial"/>
          <w:b/>
          <w:i/>
          <w:caps/>
          <w:color w:val="006600"/>
          <w:sz w:val="24"/>
        </w:rPr>
        <w:t>Definice</w:t>
      </w:r>
    </w:p>
    <w:p w14:paraId="24C6CF48" w14:textId="77777777" w:rsidR="006D2E57" w:rsidRPr="006D2E57" w:rsidRDefault="006D2E57" w:rsidP="006D2E57">
      <w:pPr>
        <w:framePr w:w="624" w:h="624" w:hRule="exact" w:hSpace="170" w:wrap="around" w:vAnchor="text" w:hAnchor="page" w:xAlign="outside" w:y="-622" w:anchorLock="1"/>
        <w:jc w:val="both"/>
      </w:pPr>
      <w:r w:rsidRPr="006D2E57">
        <w:rPr>
          <w:noProof/>
          <w:lang w:eastAsia="cs-CZ"/>
        </w:rPr>
        <w:drawing>
          <wp:inline distT="0" distB="0" distL="0" distR="0" wp14:anchorId="5E54A9DE" wp14:editId="71059A43">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0AB9FF"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b/>
          <w:sz w:val="24"/>
        </w:rPr>
        <w:t>Veřejná služba</w:t>
      </w:r>
      <w:r w:rsidRPr="006D2E57">
        <w:rPr>
          <w:rFonts w:ascii="Times New Roman" w:hAnsi="Times New Roman"/>
          <w:sz w:val="24"/>
        </w:rPr>
        <w:t xml:space="preserve"> – jedná se o službu, která je ve veřejném zájmu a poskytuje ji, objednává a financuje či spolufinancuje složka veřejné správy, tedy stát nebo územně-samosprávný celek - v ČR to jsou kraje nebo obce. Specifickým znakem veřejné služby je, že pokud by nebyla finančně podporována veřejnými subjekty, nebyla poskytována na trhu vůbec eventuálně byla poskytována v menším rozsahu či nižší kvalitě.</w:t>
      </w:r>
    </w:p>
    <w:p w14:paraId="088E585D" w14:textId="77777777" w:rsidR="006D2E57" w:rsidRPr="006D2E57" w:rsidRDefault="006D2E57" w:rsidP="006D2E57">
      <w:pPr>
        <w:spacing w:before="240" w:after="240" w:line="276" w:lineRule="auto"/>
        <w:ind w:firstLine="284"/>
        <w:jc w:val="both"/>
        <w:rPr>
          <w:rFonts w:ascii="Times New Roman" w:hAnsi="Times New Roman"/>
          <w:sz w:val="24"/>
        </w:rPr>
      </w:pPr>
      <w:r w:rsidRPr="006D2E57">
        <w:rPr>
          <w:rFonts w:ascii="Times New Roman" w:hAnsi="Times New Roman"/>
          <w:b/>
          <w:sz w:val="24"/>
        </w:rPr>
        <w:t xml:space="preserve">Market </w:t>
      </w:r>
      <w:proofErr w:type="spellStart"/>
      <w:r w:rsidRPr="006D2E57">
        <w:rPr>
          <w:rFonts w:ascii="Times New Roman" w:hAnsi="Times New Roman"/>
          <w:b/>
          <w:sz w:val="24"/>
        </w:rPr>
        <w:t>share</w:t>
      </w:r>
      <w:proofErr w:type="spellEnd"/>
      <w:r w:rsidRPr="006D2E57">
        <w:rPr>
          <w:rFonts w:ascii="Times New Roman" w:hAnsi="Times New Roman"/>
          <w:b/>
          <w:sz w:val="24"/>
        </w:rPr>
        <w:t xml:space="preserve"> </w:t>
      </w:r>
      <w:r w:rsidRPr="006D2E57">
        <w:rPr>
          <w:rFonts w:ascii="Times New Roman" w:hAnsi="Times New Roman"/>
          <w:sz w:val="24"/>
        </w:rPr>
        <w:t>- Tržní podíl, který slouží k hodnocení konkurenční pozice podniku. Primárním předpokladem je, že jakmile roste tržní podíl společnosti, tak zároveň roste také i její zisk. Pokles nákladů je důsledek snadnějšího přístupu k levnějším zdrojům a také zvýšenou mírou hospodárnosti</w:t>
      </w:r>
    </w:p>
    <w:p w14:paraId="7B4EDED8" w14:textId="77777777" w:rsidR="006D2E57" w:rsidRPr="006D2E57" w:rsidRDefault="006D2E57" w:rsidP="006D2E57">
      <w:pPr>
        <w:pBdr>
          <w:top w:val="threeDEngrave" w:sz="24" w:space="1" w:color="auto"/>
        </w:pBdr>
        <w:spacing w:after="120" w:line="276" w:lineRule="auto"/>
        <w:ind w:firstLine="284"/>
        <w:jc w:val="both"/>
        <w:rPr>
          <w:rFonts w:ascii="Times New Roman" w:hAnsi="Times New Roman"/>
          <w:sz w:val="24"/>
        </w:rPr>
      </w:pPr>
    </w:p>
    <w:p w14:paraId="1BC801E7"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color w:val="981E3A"/>
          <w:sz w:val="24"/>
        </w:rPr>
      </w:pPr>
      <w:r w:rsidRPr="006D2E57">
        <w:rPr>
          <w:rFonts w:ascii="Arial" w:hAnsi="Arial"/>
          <w:b/>
          <w:i/>
          <w:caps/>
          <w:color w:val="981E3A"/>
          <w:sz w:val="24"/>
        </w:rPr>
        <w:t>Pro zájemce</w:t>
      </w:r>
    </w:p>
    <w:p w14:paraId="62FDB117" w14:textId="77777777" w:rsidR="006D2E57" w:rsidRPr="006D2E57" w:rsidRDefault="006D2E57" w:rsidP="006D2E57">
      <w:pPr>
        <w:framePr w:w="624" w:h="624" w:hRule="exact" w:hSpace="170" w:wrap="around" w:vAnchor="text" w:hAnchor="page" w:xAlign="outside" w:y="-622" w:anchorLock="1"/>
        <w:jc w:val="both"/>
      </w:pPr>
      <w:r w:rsidRPr="006D2E57">
        <w:rPr>
          <w:noProof/>
          <w:lang w:eastAsia="cs-CZ"/>
        </w:rPr>
        <w:drawing>
          <wp:inline distT="0" distB="0" distL="0" distR="0" wp14:anchorId="00AE7281" wp14:editId="3F6B6693">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7FA5B5"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b/>
          <w:sz w:val="24"/>
        </w:rPr>
        <w:t>Tržní nika</w:t>
      </w:r>
      <w:r w:rsidRPr="006D2E57">
        <w:rPr>
          <w:rFonts w:ascii="Times New Roman" w:hAnsi="Times New Roman"/>
          <w:sz w:val="24"/>
        </w:rPr>
        <w:t xml:space="preserve"> – jedná se o tržní prostor úzce vymezený specifickým žánrem a způsobem distribuce. </w:t>
      </w:r>
    </w:p>
    <w:p w14:paraId="7104EF3C"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b/>
          <w:sz w:val="24"/>
        </w:rPr>
        <w:t>Příklad bezpečnostní směrnice - pořadatelská služba</w:t>
      </w:r>
      <w:r w:rsidRPr="006D2E57">
        <w:rPr>
          <w:rFonts w:ascii="Times New Roman" w:hAnsi="Times New Roman"/>
          <w:sz w:val="24"/>
        </w:rPr>
        <w:t xml:space="preserve"> </w:t>
      </w:r>
    </w:p>
    <w:p w14:paraId="655AD2DF"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Organizátor akce: (fyzické nebo právnické osoby - agentury)</w:t>
      </w:r>
    </w:p>
    <w:p w14:paraId="68589B70"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 xml:space="preserve"> 1. Za bezpečnost na veškerých sportovních klání odpovídá organizátor akce, který se ve věci řídí obecně závaznými právními předpisy a technickými pravidly pro jednotlivá odvětví a doporučeními orgánů státní správy. </w:t>
      </w:r>
    </w:p>
    <w:p w14:paraId="2A4FFD24"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 xml:space="preserve">2. K zajištění bezpečnosti na kulturní akci by měl organizátor dle podmínek a možností zajistit: </w:t>
      </w:r>
    </w:p>
    <w:p w14:paraId="59AF25AB" w14:textId="77777777" w:rsidR="006D2E57" w:rsidRPr="006D2E57" w:rsidRDefault="006D2E57" w:rsidP="006D2E57">
      <w:pPr>
        <w:numPr>
          <w:ilvl w:val="0"/>
          <w:numId w:val="6"/>
        </w:numPr>
        <w:spacing w:before="240" w:after="240" w:line="276" w:lineRule="auto"/>
        <w:jc w:val="both"/>
        <w:rPr>
          <w:rFonts w:ascii="Times New Roman" w:hAnsi="Times New Roman"/>
          <w:sz w:val="24"/>
        </w:rPr>
      </w:pPr>
      <w:r w:rsidRPr="006D2E57">
        <w:rPr>
          <w:rFonts w:ascii="Times New Roman" w:hAnsi="Times New Roman"/>
          <w:sz w:val="24"/>
        </w:rPr>
        <w:t xml:space="preserve">pořadatelskou službu, </w:t>
      </w:r>
    </w:p>
    <w:p w14:paraId="2F44F7ED" w14:textId="77777777" w:rsidR="006D2E57" w:rsidRPr="006D2E57" w:rsidRDefault="006D2E57" w:rsidP="006D2E57">
      <w:pPr>
        <w:numPr>
          <w:ilvl w:val="0"/>
          <w:numId w:val="6"/>
        </w:numPr>
        <w:spacing w:before="240" w:after="240" w:line="276" w:lineRule="auto"/>
        <w:jc w:val="both"/>
        <w:rPr>
          <w:rFonts w:ascii="Times New Roman" w:hAnsi="Times New Roman"/>
          <w:sz w:val="24"/>
        </w:rPr>
      </w:pPr>
      <w:r w:rsidRPr="006D2E57">
        <w:rPr>
          <w:rFonts w:ascii="Times New Roman" w:hAnsi="Times New Roman"/>
          <w:sz w:val="24"/>
        </w:rPr>
        <w:t xml:space="preserve">zdravotní službu, </w:t>
      </w:r>
    </w:p>
    <w:p w14:paraId="03E7FAAB" w14:textId="77777777" w:rsidR="006D2E57" w:rsidRPr="006D2E57" w:rsidRDefault="006D2E57" w:rsidP="006D2E57">
      <w:pPr>
        <w:numPr>
          <w:ilvl w:val="0"/>
          <w:numId w:val="6"/>
        </w:numPr>
        <w:spacing w:before="240" w:after="240" w:line="276" w:lineRule="auto"/>
        <w:jc w:val="both"/>
        <w:rPr>
          <w:rFonts w:ascii="Times New Roman" w:hAnsi="Times New Roman"/>
          <w:sz w:val="24"/>
        </w:rPr>
      </w:pPr>
      <w:r w:rsidRPr="006D2E57">
        <w:rPr>
          <w:rFonts w:ascii="Times New Roman" w:hAnsi="Times New Roman"/>
          <w:sz w:val="24"/>
        </w:rPr>
        <w:t xml:space="preserve">soukromou ochrannou službu, </w:t>
      </w:r>
    </w:p>
    <w:p w14:paraId="7588351B" w14:textId="77777777" w:rsidR="006D2E57" w:rsidRPr="006D2E57" w:rsidRDefault="006D2E57" w:rsidP="006D2E57">
      <w:pPr>
        <w:numPr>
          <w:ilvl w:val="0"/>
          <w:numId w:val="6"/>
        </w:numPr>
        <w:spacing w:before="240" w:after="240" w:line="276" w:lineRule="auto"/>
        <w:jc w:val="both"/>
        <w:rPr>
          <w:rFonts w:ascii="Times New Roman" w:hAnsi="Times New Roman"/>
          <w:sz w:val="24"/>
        </w:rPr>
      </w:pPr>
      <w:r w:rsidRPr="006D2E57">
        <w:rPr>
          <w:rFonts w:ascii="Times New Roman" w:hAnsi="Times New Roman"/>
          <w:sz w:val="24"/>
        </w:rPr>
        <w:t xml:space="preserve">hasičský dozor, </w:t>
      </w:r>
    </w:p>
    <w:p w14:paraId="056A357D" w14:textId="77777777" w:rsidR="006D2E57" w:rsidRPr="006D2E57" w:rsidRDefault="006D2E57" w:rsidP="006D2E57">
      <w:pPr>
        <w:numPr>
          <w:ilvl w:val="0"/>
          <w:numId w:val="6"/>
        </w:numPr>
        <w:spacing w:before="240" w:after="240" w:line="276" w:lineRule="auto"/>
        <w:jc w:val="both"/>
        <w:rPr>
          <w:rFonts w:ascii="Times New Roman" w:hAnsi="Times New Roman"/>
          <w:sz w:val="24"/>
        </w:rPr>
      </w:pPr>
      <w:r w:rsidRPr="006D2E57">
        <w:rPr>
          <w:rFonts w:ascii="Times New Roman" w:hAnsi="Times New Roman"/>
          <w:sz w:val="24"/>
        </w:rPr>
        <w:t xml:space="preserve">policejní dozor. </w:t>
      </w:r>
    </w:p>
    <w:p w14:paraId="5692A672"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 xml:space="preserve">3. Organizátor použije vždy k uvedeným činnostem vhodné a proškolené osoby, u pořadatelské služby může zařadit zkušené a plnoleté osoby z vlastních zdrojů. U dalších výše uvedených činností se doporučuje využít služeb odborníků z veřejného nebo soukromého sektoru podle typu služby. </w:t>
      </w:r>
    </w:p>
    <w:p w14:paraId="5308396E"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 xml:space="preserve">4. Rozsah bezpečnostních opatření při přípravě a organizaci akce je ovlivňován: </w:t>
      </w:r>
    </w:p>
    <w:p w14:paraId="7D901EE1" w14:textId="77777777" w:rsidR="006D2E57" w:rsidRPr="006D2E57" w:rsidRDefault="006D2E57" w:rsidP="006D2E57">
      <w:pPr>
        <w:numPr>
          <w:ilvl w:val="0"/>
          <w:numId w:val="7"/>
        </w:numPr>
        <w:spacing w:before="240" w:after="240" w:line="276" w:lineRule="auto"/>
        <w:jc w:val="both"/>
        <w:rPr>
          <w:rFonts w:ascii="Times New Roman" w:hAnsi="Times New Roman"/>
          <w:sz w:val="24"/>
        </w:rPr>
      </w:pPr>
      <w:r w:rsidRPr="006D2E57">
        <w:rPr>
          <w:rFonts w:ascii="Times New Roman" w:hAnsi="Times New Roman"/>
          <w:sz w:val="24"/>
        </w:rPr>
        <w:t xml:space="preserve">místem konání kulturní akce, </w:t>
      </w:r>
    </w:p>
    <w:p w14:paraId="1CFD897D" w14:textId="77777777" w:rsidR="006D2E57" w:rsidRPr="006D2E57" w:rsidRDefault="006D2E57" w:rsidP="006D2E57">
      <w:pPr>
        <w:numPr>
          <w:ilvl w:val="0"/>
          <w:numId w:val="7"/>
        </w:numPr>
        <w:spacing w:before="240" w:after="240" w:line="276" w:lineRule="auto"/>
        <w:jc w:val="both"/>
        <w:rPr>
          <w:rFonts w:ascii="Times New Roman" w:hAnsi="Times New Roman"/>
          <w:sz w:val="24"/>
        </w:rPr>
      </w:pPr>
      <w:r w:rsidRPr="006D2E57">
        <w:rPr>
          <w:rFonts w:ascii="Times New Roman" w:hAnsi="Times New Roman"/>
          <w:sz w:val="24"/>
        </w:rPr>
        <w:t xml:space="preserve">mírou specifičnosti a zvýšeného rizika, </w:t>
      </w:r>
    </w:p>
    <w:p w14:paraId="45903BAE" w14:textId="77777777" w:rsidR="006D2E57" w:rsidRPr="006D2E57" w:rsidRDefault="006D2E57" w:rsidP="006D2E57">
      <w:pPr>
        <w:numPr>
          <w:ilvl w:val="0"/>
          <w:numId w:val="7"/>
        </w:numPr>
        <w:spacing w:before="240" w:after="240" w:line="276" w:lineRule="auto"/>
        <w:jc w:val="both"/>
        <w:rPr>
          <w:rFonts w:ascii="Times New Roman" w:hAnsi="Times New Roman"/>
          <w:sz w:val="24"/>
        </w:rPr>
      </w:pPr>
      <w:r w:rsidRPr="006D2E57">
        <w:rPr>
          <w:rFonts w:ascii="Times New Roman" w:hAnsi="Times New Roman"/>
          <w:sz w:val="24"/>
        </w:rPr>
        <w:t xml:space="preserve">popularitou a diváckým zájmem. </w:t>
      </w:r>
    </w:p>
    <w:p w14:paraId="494E4FB0" w14:textId="77777777" w:rsidR="006D2E57" w:rsidRPr="006D2E57" w:rsidRDefault="006D2E57" w:rsidP="006D2E57">
      <w:pPr>
        <w:spacing w:before="240" w:after="240" w:line="276" w:lineRule="auto"/>
        <w:jc w:val="both"/>
        <w:rPr>
          <w:rFonts w:ascii="Times New Roman" w:hAnsi="Times New Roman"/>
          <w:sz w:val="24"/>
        </w:rPr>
      </w:pPr>
      <w:r w:rsidRPr="006D2E57">
        <w:rPr>
          <w:rFonts w:ascii="Times New Roman" w:hAnsi="Times New Roman"/>
          <w:sz w:val="24"/>
        </w:rPr>
        <w:t xml:space="preserve">5. Z hlediska bezpečnosti by měl organizátor vždy dbát na: </w:t>
      </w:r>
    </w:p>
    <w:p w14:paraId="5C53E5BB"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včasné zpracování organizačního a bezpečnostního projektu kulturní akce s ohledem na počet účastníků a diváků, </w:t>
      </w:r>
    </w:p>
    <w:p w14:paraId="19A12C20"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včasné smluvní ujednání s pronajímatelem místa konání kulturní akce, </w:t>
      </w:r>
    </w:p>
    <w:p w14:paraId="57267E66"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lastRenderedPageBreak/>
        <w:t xml:space="preserve">včasné smluvní ujednání o účasti soukromé ochranné bezpečnostní služby, </w:t>
      </w:r>
    </w:p>
    <w:p w14:paraId="7ACBE06C"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včasnou a opakovanou inspekci a kontrolu místa konání kulturní akce a pořízení zápisu včetně termínů odstranění závad, </w:t>
      </w:r>
    </w:p>
    <w:p w14:paraId="7A6D9979"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včasnou ohlašovací povinnost – hasičský záchranný sbor, nemocniční zařízení, policie ČR, Městská policie, </w:t>
      </w:r>
    </w:p>
    <w:p w14:paraId="59A5BC1A"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přítomnost vozidla (vozidel) v provozuschopném stavu včetně řidiče (řidičů), </w:t>
      </w:r>
    </w:p>
    <w:p w14:paraId="462E291B"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předem připravený evakuační plán (kulturní akce s velkým počtem osob na jednom místě), </w:t>
      </w:r>
    </w:p>
    <w:p w14:paraId="73EBCDB8" w14:textId="77777777" w:rsidR="006D2E57" w:rsidRPr="006D2E57" w:rsidRDefault="006D2E57" w:rsidP="006D2E57">
      <w:pPr>
        <w:numPr>
          <w:ilvl w:val="0"/>
          <w:numId w:val="8"/>
        </w:numPr>
        <w:spacing w:before="240" w:after="240" w:line="276" w:lineRule="auto"/>
        <w:jc w:val="both"/>
        <w:rPr>
          <w:rFonts w:ascii="Times New Roman" w:hAnsi="Times New Roman"/>
          <w:sz w:val="24"/>
        </w:rPr>
      </w:pPr>
      <w:r w:rsidRPr="006D2E57">
        <w:rPr>
          <w:rFonts w:ascii="Times New Roman" w:hAnsi="Times New Roman"/>
          <w:sz w:val="24"/>
        </w:rPr>
        <w:t xml:space="preserve">vhodné pojištění kulturní akce (pro případ nepředvídaných událostí, např. požár, technické důvody, povětrnostní podmínky a s tím související nekonání akce apod.). </w:t>
      </w:r>
    </w:p>
    <w:p w14:paraId="383FEEAD" w14:textId="77777777" w:rsidR="006D2E57" w:rsidRPr="006D2E57" w:rsidRDefault="006D2E57" w:rsidP="006D2E57">
      <w:pPr>
        <w:pBdr>
          <w:top w:val="threeDEngrave" w:sz="24" w:space="1" w:color="auto"/>
        </w:pBdr>
        <w:spacing w:after="120" w:line="276" w:lineRule="auto"/>
        <w:ind w:firstLine="284"/>
        <w:jc w:val="both"/>
        <w:rPr>
          <w:rFonts w:ascii="Times New Roman" w:hAnsi="Times New Roman"/>
          <w:sz w:val="24"/>
        </w:rPr>
      </w:pPr>
    </w:p>
    <w:p w14:paraId="07B42CCE" w14:textId="77777777" w:rsidR="006D2E57" w:rsidRPr="006D2E57" w:rsidRDefault="006D2E57" w:rsidP="006D2E57">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sz w:val="24"/>
        </w:rPr>
      </w:pPr>
      <w:r w:rsidRPr="006D2E57">
        <w:rPr>
          <w:rFonts w:ascii="Arial" w:hAnsi="Arial"/>
          <w:b/>
          <w:i/>
          <w:caps/>
          <w:sz w:val="24"/>
        </w:rPr>
        <w:t>Shrnutí kapitoly</w:t>
      </w:r>
    </w:p>
    <w:p w14:paraId="26279907" w14:textId="77777777" w:rsidR="006D2E57" w:rsidRPr="006D2E57" w:rsidRDefault="006D2E57" w:rsidP="006D2E57">
      <w:pPr>
        <w:framePr w:w="624" w:h="624" w:hRule="exact" w:hSpace="170" w:wrap="around" w:vAnchor="text" w:hAnchor="page" w:xAlign="outside" w:y="-623" w:anchorLock="1"/>
      </w:pPr>
      <w:r w:rsidRPr="006D2E57">
        <w:rPr>
          <w:noProof/>
          <w:lang w:eastAsia="cs-CZ"/>
        </w:rPr>
        <w:drawing>
          <wp:inline distT="0" distB="0" distL="0" distR="0" wp14:anchorId="164AF996" wp14:editId="5555A8D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26723D" w14:textId="77777777" w:rsidR="006D2E57" w:rsidRPr="006D2E57" w:rsidRDefault="006D2E57" w:rsidP="006D2E57">
      <w:pPr>
        <w:numPr>
          <w:ilvl w:val="0"/>
          <w:numId w:val="3"/>
        </w:numPr>
        <w:spacing w:before="240" w:after="240" w:line="276" w:lineRule="auto"/>
        <w:jc w:val="both"/>
        <w:rPr>
          <w:rFonts w:ascii="Times New Roman" w:hAnsi="Times New Roman"/>
          <w:sz w:val="24"/>
        </w:rPr>
      </w:pPr>
      <w:r w:rsidRPr="006D2E57">
        <w:rPr>
          <w:rFonts w:ascii="Times New Roman" w:hAnsi="Times New Roman"/>
          <w:sz w:val="24"/>
        </w:rPr>
        <w:t xml:space="preserve">Dominantní roli v našich úvahách o marketingu hraje vztah k trhu, identifikace a poznání trhu, stávajících i budoucích potřeb zákazníka, v našem případě diváka.  </w:t>
      </w:r>
    </w:p>
    <w:p w14:paraId="55F9800D" w14:textId="77777777" w:rsidR="006D2E57" w:rsidRPr="006D2E57" w:rsidRDefault="006D2E57" w:rsidP="006D2E57">
      <w:pPr>
        <w:numPr>
          <w:ilvl w:val="0"/>
          <w:numId w:val="3"/>
        </w:numPr>
        <w:spacing w:before="240" w:after="240" w:line="276" w:lineRule="auto"/>
        <w:jc w:val="both"/>
        <w:rPr>
          <w:rFonts w:ascii="Times New Roman" w:hAnsi="Times New Roman"/>
          <w:sz w:val="24"/>
        </w:rPr>
      </w:pPr>
      <w:r w:rsidRPr="006D2E57">
        <w:rPr>
          <w:rFonts w:ascii="Times New Roman" w:hAnsi="Times New Roman"/>
          <w:sz w:val="24"/>
        </w:rPr>
        <w:t xml:space="preserve">Zákazníci zařazeni do segmentů by měli shodně reagovat na určité marketingové podněty. Segmentace trhu přispívá k odhalení podnikatelských příležitostí. </w:t>
      </w:r>
    </w:p>
    <w:p w14:paraId="5FB25028" w14:textId="77777777" w:rsidR="006D2E57" w:rsidRPr="006D2E57" w:rsidRDefault="006D2E57" w:rsidP="006D2E57">
      <w:pPr>
        <w:numPr>
          <w:ilvl w:val="0"/>
          <w:numId w:val="3"/>
        </w:numPr>
        <w:spacing w:before="240" w:after="240" w:line="276" w:lineRule="auto"/>
        <w:jc w:val="both"/>
        <w:rPr>
          <w:rFonts w:ascii="Times New Roman" w:hAnsi="Times New Roman"/>
          <w:sz w:val="24"/>
        </w:rPr>
      </w:pPr>
      <w:r w:rsidRPr="006D2E57">
        <w:rPr>
          <w:rFonts w:ascii="Times New Roman" w:hAnsi="Times New Roman"/>
          <w:sz w:val="24"/>
        </w:rPr>
        <w:t>Festival je zřizován z vyššího (veřejného a kulturního) zájmu, státem, krajem, obcí, univerzitou nebo spolkem. Slouží k uspokojení kulturní potřeby segmentů osob.</w:t>
      </w:r>
    </w:p>
    <w:p w14:paraId="56B9FBC7" w14:textId="77777777" w:rsidR="006D2E57" w:rsidRPr="006D2E57" w:rsidRDefault="006D2E57" w:rsidP="006D2E57">
      <w:pPr>
        <w:numPr>
          <w:ilvl w:val="0"/>
          <w:numId w:val="3"/>
        </w:numPr>
        <w:spacing w:after="200" w:line="276" w:lineRule="auto"/>
        <w:contextualSpacing/>
        <w:rPr>
          <w:rFonts w:ascii="Times New Roman" w:hAnsi="Times New Roman"/>
          <w:sz w:val="24"/>
        </w:rPr>
      </w:pPr>
      <w:r w:rsidRPr="006D2E57">
        <w:rPr>
          <w:rFonts w:ascii="Times New Roman" w:hAnsi="Times New Roman"/>
          <w:sz w:val="24"/>
        </w:rPr>
        <w:t>Ve festivalovém prostředí se konkurence dá chápat jako soutěž, rivalita, střet zájmů, boj konkurentů. Je zapotřebí usilovat o posílení konkurence, vždy to přináší zkvalitnění divadelní či festivalové činnosti.</w:t>
      </w:r>
    </w:p>
    <w:p w14:paraId="37FCD4B0" w14:textId="77777777" w:rsidR="006D2E57" w:rsidRPr="006D2E57" w:rsidRDefault="006D2E57" w:rsidP="006D2E57">
      <w:pPr>
        <w:spacing w:after="200" w:line="276" w:lineRule="auto"/>
        <w:ind w:left="720"/>
        <w:contextualSpacing/>
        <w:rPr>
          <w:rFonts w:ascii="Times New Roman" w:hAnsi="Times New Roman"/>
          <w:sz w:val="24"/>
        </w:rPr>
      </w:pPr>
    </w:p>
    <w:p w14:paraId="25903CC3" w14:textId="77777777" w:rsidR="006D2E57" w:rsidRPr="006D2E57" w:rsidRDefault="006D2E57" w:rsidP="006D2E57">
      <w:pPr>
        <w:pBdr>
          <w:top w:val="threeDEngrave" w:sz="24" w:space="1" w:color="auto"/>
        </w:pBdr>
        <w:spacing w:after="120" w:line="276" w:lineRule="auto"/>
        <w:ind w:firstLine="284"/>
        <w:jc w:val="both"/>
        <w:rPr>
          <w:rFonts w:ascii="Times New Roman" w:hAnsi="Times New Roman"/>
          <w:sz w:val="24"/>
        </w:rPr>
      </w:pPr>
    </w:p>
    <w:p w14:paraId="2977C295" w14:textId="77777777" w:rsidR="006D2E57" w:rsidRPr="006D2E57" w:rsidRDefault="006D2E57" w:rsidP="006D2E57">
      <w:pPr>
        <w:spacing w:before="240" w:after="240" w:line="276" w:lineRule="auto"/>
        <w:jc w:val="both"/>
        <w:rPr>
          <w:rFonts w:ascii="Times New Roman" w:hAnsi="Times New Roman"/>
          <w:sz w:val="24"/>
        </w:rPr>
      </w:pPr>
    </w:p>
    <w:p w14:paraId="0BDC961D" w14:textId="77777777" w:rsidR="00FE09D4" w:rsidRDefault="00FE09D4"/>
    <w:sectPr w:rsidR="00FE0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859"/>
    <w:multiLevelType w:val="hybridMultilevel"/>
    <w:tmpl w:val="F14A4914"/>
    <w:lvl w:ilvl="0" w:tplc="AF689FE0">
      <w:start w:val="1"/>
      <w:numFmt w:val="decimal"/>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6E527BA"/>
    <w:multiLevelType w:val="hybridMultilevel"/>
    <w:tmpl w:val="75026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7091E"/>
    <w:multiLevelType w:val="hybridMultilevel"/>
    <w:tmpl w:val="46105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BA2DA0"/>
    <w:multiLevelType w:val="hybridMultilevel"/>
    <w:tmpl w:val="402403E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6DC530D"/>
    <w:multiLevelType w:val="hybridMultilevel"/>
    <w:tmpl w:val="E702DDA0"/>
    <w:lvl w:ilvl="0" w:tplc="AF689FE0">
      <w:start w:val="1"/>
      <w:numFmt w:val="decimal"/>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3C3F7484"/>
    <w:multiLevelType w:val="hybridMultilevel"/>
    <w:tmpl w:val="B484E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A82A8D"/>
    <w:multiLevelType w:val="hybridMultilevel"/>
    <w:tmpl w:val="4C9A3CA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5BE05A86"/>
    <w:multiLevelType w:val="hybridMultilevel"/>
    <w:tmpl w:val="30B29F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57"/>
    <w:rsid w:val="002C2B0C"/>
    <w:rsid w:val="006D2E57"/>
    <w:rsid w:val="00FE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4CE6"/>
  <w15:chartTrackingRefBased/>
  <w15:docId w15:val="{A9EDFE3C-AC73-4879-B9D6-F841EA75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6748</Characters>
  <Application>Microsoft Office Word</Application>
  <DocSecurity>0</DocSecurity>
  <Lines>56</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Zahirović Hasan</dc:creator>
  <cp:keywords/>
  <dc:description/>
  <cp:lastModifiedBy>Zahirović Hasan</cp:lastModifiedBy>
  <cp:revision>1</cp:revision>
  <dcterms:created xsi:type="dcterms:W3CDTF">2022-05-29T17:17:00Z</dcterms:created>
  <dcterms:modified xsi:type="dcterms:W3CDTF">2022-05-29T17:18:00Z</dcterms:modified>
</cp:coreProperties>
</file>