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853A" w14:textId="77777777" w:rsidR="00AA3369" w:rsidRPr="00AA3369" w:rsidRDefault="00AA3369" w:rsidP="00AA3369">
      <w:pPr>
        <w:keepNext/>
        <w:keepLines/>
        <w:pageBreakBefore/>
        <w:spacing w:before="480" w:after="480" w:line="276" w:lineRule="auto"/>
        <w:ind w:left="431"/>
        <w:outlineLvl w:val="0"/>
        <w:rPr>
          <w:rFonts w:ascii="Arial" w:eastAsiaTheme="majorEastAsia" w:hAnsi="Arial" w:cstheme="majorBidi"/>
          <w:b/>
          <w:bCs/>
          <w:caps/>
          <w:color w:val="981E3A"/>
          <w:sz w:val="32"/>
          <w:szCs w:val="28"/>
        </w:rPr>
      </w:pPr>
      <w:bookmarkStart w:id="0" w:name="_Toc57500372"/>
      <w:r w:rsidRPr="00AA3369">
        <w:rPr>
          <w:rFonts w:ascii="Arial" w:eastAsiaTheme="majorEastAsia" w:hAnsi="Arial" w:cstheme="majorBidi"/>
          <w:b/>
          <w:bCs/>
          <w:caps/>
          <w:color w:val="981E3A"/>
          <w:sz w:val="32"/>
          <w:szCs w:val="28"/>
        </w:rPr>
        <w:t>swot analýza festivalu</w:t>
      </w:r>
      <w:bookmarkEnd w:id="0"/>
    </w:p>
    <w:p w14:paraId="6DEECEB8"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AA3369">
        <w:rPr>
          <w:rFonts w:ascii="Arial" w:hAnsi="Arial"/>
          <w:b/>
          <w:i/>
          <w:caps/>
          <w:sz w:val="24"/>
        </w:rPr>
        <w:t>Rychlý náhled kapitoly</w:t>
      </w:r>
    </w:p>
    <w:p w14:paraId="7D7D6213" w14:textId="77777777" w:rsidR="00AA3369" w:rsidRPr="00AA3369" w:rsidRDefault="00AA3369" w:rsidP="00AA3369">
      <w:pPr>
        <w:framePr w:w="624" w:h="624" w:hRule="exact" w:hSpace="170" w:wrap="around" w:vAnchor="text" w:hAnchor="page" w:xAlign="outside" w:y="-622" w:anchorLock="1"/>
      </w:pPr>
      <w:r w:rsidRPr="00AA3369">
        <w:rPr>
          <w:noProof/>
          <w:lang w:eastAsia="cs-CZ"/>
        </w:rPr>
        <w:drawing>
          <wp:inline distT="0" distB="0" distL="0" distR="0" wp14:anchorId="60CF6072" wp14:editId="0EB3EB5B">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286F35" w14:textId="77777777" w:rsidR="00AA3369" w:rsidRPr="00AA3369" w:rsidRDefault="00AA3369" w:rsidP="00AA3369">
      <w:pPr>
        <w:spacing w:before="240" w:after="240" w:line="276" w:lineRule="auto"/>
        <w:ind w:firstLine="284"/>
        <w:jc w:val="both"/>
        <w:rPr>
          <w:rFonts w:ascii="Times New Roman" w:hAnsi="Times New Roman" w:cs="Times New Roman"/>
          <w:i/>
          <w:sz w:val="24"/>
          <w:szCs w:val="24"/>
        </w:rPr>
      </w:pPr>
      <w:r w:rsidRPr="00AA3369">
        <w:rPr>
          <w:rFonts w:ascii="Times New Roman" w:hAnsi="Times New Roman" w:cs="Times New Roman"/>
          <w:i/>
          <w:iCs/>
          <w:color w:val="000000"/>
          <w:sz w:val="24"/>
          <w:szCs w:val="24"/>
        </w:rPr>
        <w:t>SWOT analýza je nejčastěji používanou technikou pro </w:t>
      </w:r>
      <w:r w:rsidRPr="00AA3369">
        <w:rPr>
          <w:rFonts w:ascii="Times New Roman" w:hAnsi="Times New Roman" w:cs="Times New Roman"/>
          <w:b/>
          <w:bCs/>
          <w:iCs/>
          <w:color w:val="000000"/>
          <w:sz w:val="24"/>
          <w:szCs w:val="24"/>
        </w:rPr>
        <w:t>hodnocení faktorů ovlivňujících úspěšnost organizace</w:t>
      </w:r>
      <w:r w:rsidRPr="00AA3369">
        <w:rPr>
          <w:rFonts w:ascii="Times New Roman" w:hAnsi="Times New Roman" w:cs="Times New Roman"/>
          <w:i/>
          <w:iCs/>
          <w:color w:val="000000"/>
          <w:sz w:val="24"/>
          <w:szCs w:val="24"/>
        </w:rPr>
        <w:t>. Nejen, že je graficky přehledná, dále je velmi stručná a přitom komplexní. V této kapitole nahlédneme do teoretické podstaty analýzy a praktické ukázky z festivalu Na cestě.</w:t>
      </w:r>
    </w:p>
    <w:p w14:paraId="003F2B49" w14:textId="77777777" w:rsidR="00AA3369" w:rsidRPr="00AA3369" w:rsidRDefault="00AA3369" w:rsidP="00AA3369">
      <w:pPr>
        <w:pBdr>
          <w:top w:val="threeDEngrave" w:sz="24" w:space="0" w:color="auto"/>
        </w:pBdr>
        <w:spacing w:after="120" w:line="276" w:lineRule="auto"/>
        <w:ind w:firstLine="284"/>
        <w:jc w:val="both"/>
        <w:rPr>
          <w:rFonts w:ascii="Times New Roman" w:hAnsi="Times New Roman"/>
          <w:sz w:val="24"/>
        </w:rPr>
      </w:pPr>
    </w:p>
    <w:p w14:paraId="126C39A2"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AA3369">
        <w:rPr>
          <w:rFonts w:ascii="Arial" w:hAnsi="Arial"/>
          <w:b/>
          <w:i/>
          <w:caps/>
          <w:sz w:val="24"/>
        </w:rPr>
        <w:t>Cíle kapitoly</w:t>
      </w:r>
    </w:p>
    <w:p w14:paraId="5CEBB279" w14:textId="77777777" w:rsidR="00AA3369" w:rsidRPr="00AA3369" w:rsidRDefault="00AA3369" w:rsidP="00AA3369">
      <w:pPr>
        <w:framePr w:w="624" w:h="624" w:hRule="exact" w:hSpace="170" w:wrap="around" w:vAnchor="text" w:hAnchor="page" w:xAlign="outside" w:y="-622" w:anchorLock="1"/>
      </w:pPr>
      <w:r w:rsidRPr="00AA3369">
        <w:rPr>
          <w:noProof/>
          <w:lang w:eastAsia="cs-CZ"/>
        </w:rPr>
        <w:drawing>
          <wp:inline distT="0" distB="0" distL="0" distR="0" wp14:anchorId="2758B1CA" wp14:editId="10A960E9">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2AC41F" w14:textId="77777777" w:rsidR="00AA3369" w:rsidRPr="00AA3369" w:rsidRDefault="00AA3369" w:rsidP="00AA3369">
      <w:pPr>
        <w:spacing w:before="240" w:after="240" w:line="276" w:lineRule="auto"/>
        <w:ind w:left="641" w:hanging="357"/>
        <w:contextualSpacing/>
        <w:jc w:val="both"/>
        <w:rPr>
          <w:rFonts w:ascii="Times New Roman" w:hAnsi="Times New Roman"/>
          <w:sz w:val="24"/>
        </w:rPr>
      </w:pPr>
      <w:r w:rsidRPr="00AA3369">
        <w:rPr>
          <w:rFonts w:ascii="Times New Roman" w:hAnsi="Times New Roman"/>
          <w:sz w:val="24"/>
        </w:rPr>
        <w:t>Charakterizovat podstatu SWOT analýzy.</w:t>
      </w:r>
    </w:p>
    <w:p w14:paraId="58B2C874" w14:textId="77777777" w:rsidR="00AA3369" w:rsidRPr="00AA3369" w:rsidRDefault="00AA3369" w:rsidP="00AA3369">
      <w:pPr>
        <w:spacing w:before="240" w:after="240" w:line="276" w:lineRule="auto"/>
        <w:ind w:left="641" w:hanging="357"/>
        <w:contextualSpacing/>
        <w:jc w:val="both"/>
        <w:rPr>
          <w:rFonts w:ascii="Times New Roman" w:hAnsi="Times New Roman"/>
          <w:sz w:val="24"/>
        </w:rPr>
      </w:pPr>
      <w:r w:rsidRPr="00AA3369">
        <w:rPr>
          <w:rFonts w:ascii="Times New Roman" w:hAnsi="Times New Roman"/>
          <w:sz w:val="24"/>
        </w:rPr>
        <w:t>Zvládnout vytvoření SWOT analýzy.</w:t>
      </w:r>
    </w:p>
    <w:p w14:paraId="5DC0F942" w14:textId="77777777" w:rsidR="00AA3369" w:rsidRPr="00AA3369" w:rsidRDefault="00AA3369" w:rsidP="00AA3369">
      <w:pPr>
        <w:spacing w:before="240" w:after="240" w:line="276" w:lineRule="auto"/>
        <w:ind w:left="641" w:hanging="357"/>
        <w:contextualSpacing/>
        <w:jc w:val="both"/>
        <w:rPr>
          <w:rFonts w:ascii="Times New Roman" w:hAnsi="Times New Roman"/>
          <w:sz w:val="24"/>
        </w:rPr>
      </w:pPr>
      <w:r w:rsidRPr="00AA3369">
        <w:rPr>
          <w:rFonts w:ascii="Times New Roman" w:hAnsi="Times New Roman"/>
          <w:sz w:val="24"/>
        </w:rPr>
        <w:t>Orientovat se v slabých a silných stranách SWOT analýzy.</w:t>
      </w:r>
    </w:p>
    <w:p w14:paraId="4F274120" w14:textId="77777777" w:rsidR="00AA3369" w:rsidRPr="00AA3369" w:rsidRDefault="00AA3369" w:rsidP="00AA3369">
      <w:pPr>
        <w:spacing w:before="240" w:after="240" w:line="276" w:lineRule="auto"/>
        <w:ind w:left="641" w:hanging="357"/>
        <w:contextualSpacing/>
        <w:jc w:val="both"/>
        <w:rPr>
          <w:rFonts w:ascii="Times New Roman" w:hAnsi="Times New Roman"/>
          <w:sz w:val="24"/>
        </w:rPr>
      </w:pPr>
      <w:r w:rsidRPr="00AA3369">
        <w:rPr>
          <w:rFonts w:ascii="Times New Roman" w:hAnsi="Times New Roman"/>
          <w:sz w:val="24"/>
        </w:rPr>
        <w:t>Umět pracovat s výsledky SWOT analýzy.</w:t>
      </w:r>
    </w:p>
    <w:p w14:paraId="2FFA54E6" w14:textId="77777777" w:rsidR="00AA3369" w:rsidRPr="00AA3369" w:rsidRDefault="00AA3369" w:rsidP="00AA3369">
      <w:pPr>
        <w:pBdr>
          <w:top w:val="threeDEngrave" w:sz="24" w:space="0" w:color="auto"/>
        </w:pBdr>
        <w:spacing w:after="120" w:line="276" w:lineRule="auto"/>
        <w:jc w:val="both"/>
        <w:rPr>
          <w:rFonts w:ascii="Times New Roman" w:hAnsi="Times New Roman"/>
          <w:sz w:val="24"/>
        </w:rPr>
      </w:pPr>
    </w:p>
    <w:p w14:paraId="3197C117"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AA3369">
        <w:rPr>
          <w:rFonts w:ascii="Arial" w:hAnsi="Arial"/>
          <w:b/>
          <w:i/>
          <w:caps/>
          <w:sz w:val="24"/>
        </w:rPr>
        <w:t>Čas potřebný ke studiu</w:t>
      </w:r>
    </w:p>
    <w:p w14:paraId="25D7586A" w14:textId="77777777" w:rsidR="00AA3369" w:rsidRPr="00AA3369" w:rsidRDefault="00AA3369" w:rsidP="00AA3369">
      <w:pPr>
        <w:framePr w:w="624" w:h="624" w:hRule="exact" w:hSpace="170" w:wrap="around" w:vAnchor="text" w:hAnchor="page" w:xAlign="outside" w:y="-622" w:anchorLock="1"/>
        <w:jc w:val="both"/>
      </w:pPr>
      <w:r w:rsidRPr="00AA3369">
        <w:rPr>
          <w:noProof/>
          <w:lang w:eastAsia="cs-CZ"/>
        </w:rPr>
        <w:drawing>
          <wp:inline distT="0" distB="0" distL="0" distR="0" wp14:anchorId="4CF78BE8" wp14:editId="4FBF2523">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6791CE" w14:textId="77777777" w:rsidR="00AA3369" w:rsidRPr="00AA3369" w:rsidRDefault="00AA3369" w:rsidP="00AA3369">
      <w:pPr>
        <w:spacing w:before="240" w:after="240" w:line="276" w:lineRule="auto"/>
        <w:jc w:val="both"/>
        <w:rPr>
          <w:rFonts w:ascii="Times New Roman" w:hAnsi="Times New Roman"/>
          <w:sz w:val="24"/>
        </w:rPr>
      </w:pPr>
      <w:r w:rsidRPr="00AA3369">
        <w:rPr>
          <w:rFonts w:ascii="Times New Roman" w:hAnsi="Times New Roman"/>
          <w:sz w:val="24"/>
        </w:rPr>
        <w:tab/>
        <w:t>3 hodiny</w:t>
      </w:r>
    </w:p>
    <w:p w14:paraId="0D5167A0" w14:textId="77777777" w:rsidR="00AA3369" w:rsidRPr="00AA3369" w:rsidRDefault="00AA3369" w:rsidP="00AA3369">
      <w:pPr>
        <w:pBdr>
          <w:top w:val="threeDEngrave" w:sz="24" w:space="0" w:color="auto"/>
        </w:pBdr>
        <w:spacing w:after="120" w:line="276" w:lineRule="auto"/>
        <w:ind w:firstLine="284"/>
        <w:jc w:val="both"/>
        <w:rPr>
          <w:rFonts w:ascii="Times New Roman" w:hAnsi="Times New Roman"/>
          <w:sz w:val="24"/>
        </w:rPr>
      </w:pPr>
    </w:p>
    <w:p w14:paraId="07012C29" w14:textId="77777777" w:rsidR="00AA3369" w:rsidRPr="00AA3369" w:rsidRDefault="00AA3369" w:rsidP="00AA3369">
      <w:pPr>
        <w:spacing w:before="240" w:after="240" w:line="276" w:lineRule="auto"/>
        <w:ind w:firstLine="284"/>
        <w:jc w:val="both"/>
        <w:rPr>
          <w:rFonts w:ascii="Times New Roman" w:hAnsi="Times New Roman"/>
          <w:sz w:val="24"/>
        </w:rPr>
      </w:pPr>
    </w:p>
    <w:p w14:paraId="5307DBDD"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AA3369">
        <w:rPr>
          <w:rFonts w:ascii="Arial" w:hAnsi="Arial"/>
          <w:b/>
          <w:i/>
          <w:caps/>
          <w:sz w:val="24"/>
        </w:rPr>
        <w:t>Klíčová slova kapitoly</w:t>
      </w:r>
    </w:p>
    <w:p w14:paraId="6F8A8540" w14:textId="77777777" w:rsidR="00AA3369" w:rsidRPr="00AA3369" w:rsidRDefault="00AA3369" w:rsidP="00AA3369">
      <w:pPr>
        <w:framePr w:w="624" w:h="624" w:hRule="exact" w:hSpace="170" w:wrap="around" w:vAnchor="text" w:hAnchor="page" w:xAlign="outside" w:y="-622" w:anchorLock="1"/>
        <w:jc w:val="both"/>
      </w:pPr>
      <w:r w:rsidRPr="00AA3369">
        <w:rPr>
          <w:noProof/>
          <w:lang w:eastAsia="cs-CZ"/>
        </w:rPr>
        <w:drawing>
          <wp:inline distT="0" distB="0" distL="0" distR="0" wp14:anchorId="73009218" wp14:editId="77F18F83">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26CB88"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t>SWOT analýza, silné stránky, slabé stránky, příležitosti, hrozby.</w:t>
      </w:r>
    </w:p>
    <w:p w14:paraId="5B5AEDCE" w14:textId="77777777" w:rsidR="00AA3369" w:rsidRPr="00AA3369" w:rsidRDefault="00AA3369" w:rsidP="00AA3369">
      <w:pPr>
        <w:pBdr>
          <w:top w:val="threeDEngrave" w:sz="24" w:space="1" w:color="auto"/>
        </w:pBdr>
        <w:spacing w:after="120" w:line="276" w:lineRule="auto"/>
        <w:ind w:firstLine="284"/>
        <w:jc w:val="both"/>
        <w:rPr>
          <w:rFonts w:ascii="Times New Roman" w:hAnsi="Times New Roman"/>
          <w:sz w:val="24"/>
        </w:rPr>
      </w:pPr>
    </w:p>
    <w:p w14:paraId="4A61EA07" w14:textId="77777777" w:rsidR="00AA3369" w:rsidRPr="00AA3369" w:rsidRDefault="00AA3369" w:rsidP="00AA3369">
      <w:pPr>
        <w:keepNext/>
        <w:keepLines/>
        <w:numPr>
          <w:ilvl w:val="1"/>
          <w:numId w:val="0"/>
        </w:numPr>
        <w:spacing w:before="480" w:after="240" w:line="276" w:lineRule="auto"/>
        <w:ind w:left="578" w:hanging="578"/>
        <w:outlineLvl w:val="1"/>
        <w:rPr>
          <w:rFonts w:ascii="Arial" w:eastAsiaTheme="majorEastAsia" w:hAnsi="Arial" w:cstheme="majorBidi"/>
          <w:b/>
          <w:bCs/>
          <w:color w:val="981E3A"/>
          <w:sz w:val="28"/>
          <w:szCs w:val="26"/>
        </w:rPr>
      </w:pPr>
      <w:bookmarkStart w:id="1" w:name="_Toc57500373"/>
      <w:r w:rsidRPr="00AA3369">
        <w:rPr>
          <w:rFonts w:ascii="Arial" w:eastAsiaTheme="majorEastAsia" w:hAnsi="Arial" w:cstheme="majorBidi"/>
          <w:b/>
          <w:bCs/>
          <w:color w:val="981E3A"/>
          <w:sz w:val="28"/>
          <w:szCs w:val="26"/>
        </w:rPr>
        <w:t>SWOT analýza</w:t>
      </w:r>
      <w:bookmarkEnd w:id="1"/>
    </w:p>
    <w:p w14:paraId="295BE17E"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t>Z důvodu jejího integrujícího charakteru se řadí mezi primární metodu strategické analýzy. Sjednocuje a vyhodnocuje poznatky, ze kterých jsou generovány alternativy strategií.</w:t>
      </w:r>
    </w:p>
    <w:p w14:paraId="44E6552C"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lastRenderedPageBreak/>
        <w:t xml:space="preserve">Zkratka SWOT znamená </w:t>
      </w:r>
      <w:proofErr w:type="spellStart"/>
      <w:r w:rsidRPr="00AA3369">
        <w:rPr>
          <w:rFonts w:ascii="Times New Roman" w:hAnsi="Times New Roman"/>
          <w:sz w:val="24"/>
        </w:rPr>
        <w:t>strengths</w:t>
      </w:r>
      <w:proofErr w:type="spellEnd"/>
      <w:r w:rsidRPr="00AA3369">
        <w:rPr>
          <w:rFonts w:ascii="Times New Roman" w:hAnsi="Times New Roman"/>
          <w:sz w:val="24"/>
        </w:rPr>
        <w:t xml:space="preserve">, </w:t>
      </w:r>
      <w:proofErr w:type="spellStart"/>
      <w:r w:rsidRPr="00AA3369">
        <w:rPr>
          <w:rFonts w:ascii="Times New Roman" w:hAnsi="Times New Roman"/>
          <w:sz w:val="24"/>
        </w:rPr>
        <w:t>weaknesses</w:t>
      </w:r>
      <w:proofErr w:type="spellEnd"/>
      <w:r w:rsidRPr="00AA3369">
        <w:rPr>
          <w:rFonts w:ascii="Times New Roman" w:hAnsi="Times New Roman"/>
          <w:sz w:val="24"/>
        </w:rPr>
        <w:t xml:space="preserve">, </w:t>
      </w:r>
      <w:proofErr w:type="spellStart"/>
      <w:r w:rsidRPr="00AA3369">
        <w:rPr>
          <w:rFonts w:ascii="Times New Roman" w:hAnsi="Times New Roman"/>
          <w:sz w:val="24"/>
        </w:rPr>
        <w:t>opportunities</w:t>
      </w:r>
      <w:proofErr w:type="spellEnd"/>
      <w:r w:rsidRPr="00AA3369">
        <w:rPr>
          <w:rFonts w:ascii="Times New Roman" w:hAnsi="Times New Roman"/>
          <w:sz w:val="24"/>
        </w:rPr>
        <w:t xml:space="preserve">, </w:t>
      </w:r>
      <w:proofErr w:type="spellStart"/>
      <w:r w:rsidRPr="00AA3369">
        <w:rPr>
          <w:rFonts w:ascii="Times New Roman" w:hAnsi="Times New Roman"/>
          <w:sz w:val="24"/>
        </w:rPr>
        <w:t>threats</w:t>
      </w:r>
      <w:proofErr w:type="spellEnd"/>
      <w:r w:rsidRPr="00AA3369">
        <w:rPr>
          <w:rFonts w:ascii="Times New Roman" w:hAnsi="Times New Roman"/>
          <w:sz w:val="24"/>
        </w:rPr>
        <w:t xml:space="preserve">. Díky těmto pojmům se analýza dělí na čtyři skupiny, zatímco S-W – slabé a silné stránky se týkají vnitřního prostředí, O-T – příležitosti a hrozby se týkají vnějšího prostředí organizace. </w:t>
      </w:r>
    </w:p>
    <w:p w14:paraId="535E4DE1" w14:textId="77777777" w:rsidR="00AA3369" w:rsidRPr="00AA3369" w:rsidRDefault="00AA3369" w:rsidP="00AA3369">
      <w:pPr>
        <w:keepNext/>
        <w:keepLines/>
        <w:numPr>
          <w:ilvl w:val="2"/>
          <w:numId w:val="0"/>
        </w:numPr>
        <w:spacing w:before="480" w:after="240" w:line="276" w:lineRule="auto"/>
        <w:ind w:left="720" w:hanging="720"/>
        <w:outlineLvl w:val="2"/>
        <w:rPr>
          <w:rFonts w:ascii="Arial" w:eastAsiaTheme="majorEastAsia" w:hAnsi="Arial" w:cstheme="majorBidi"/>
          <w:b/>
          <w:bCs/>
          <w:smallCaps/>
          <w:color w:val="981E3A"/>
          <w:sz w:val="26"/>
        </w:rPr>
      </w:pPr>
      <w:bookmarkStart w:id="2" w:name="_Toc57500374"/>
      <w:r w:rsidRPr="00AA3369">
        <w:rPr>
          <w:rFonts w:ascii="Arial" w:eastAsiaTheme="majorEastAsia" w:hAnsi="Arial" w:cstheme="majorBidi"/>
          <w:b/>
          <w:bCs/>
          <w:smallCaps/>
          <w:color w:val="981E3A"/>
          <w:sz w:val="26"/>
        </w:rPr>
        <w:t>SWOT pro kulturní instituci</w:t>
      </w:r>
      <w:bookmarkEnd w:id="2"/>
    </w:p>
    <w:p w14:paraId="63DE82DC"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t>SWOT analýza pro kulturní instituci by měla zahrnovat:</w:t>
      </w:r>
    </w:p>
    <w:p w14:paraId="6A4F0EC1" w14:textId="77777777" w:rsidR="00AA3369" w:rsidRPr="00AA3369" w:rsidRDefault="00AA3369" w:rsidP="00AA3369">
      <w:pPr>
        <w:numPr>
          <w:ilvl w:val="0"/>
          <w:numId w:val="1"/>
        </w:numPr>
        <w:spacing w:before="240" w:after="240" w:line="276" w:lineRule="auto"/>
        <w:jc w:val="both"/>
        <w:rPr>
          <w:rFonts w:ascii="Times New Roman" w:hAnsi="Times New Roman"/>
          <w:sz w:val="24"/>
        </w:rPr>
      </w:pPr>
      <w:r w:rsidRPr="00AA3369">
        <w:rPr>
          <w:rFonts w:ascii="Times New Roman" w:hAnsi="Times New Roman"/>
          <w:sz w:val="24"/>
        </w:rPr>
        <w:t xml:space="preserve">vnitřní prostředí, </w:t>
      </w:r>
    </w:p>
    <w:p w14:paraId="75F60456" w14:textId="77777777" w:rsidR="00AA3369" w:rsidRPr="00AA3369" w:rsidRDefault="00AA3369" w:rsidP="00AA3369">
      <w:pPr>
        <w:numPr>
          <w:ilvl w:val="0"/>
          <w:numId w:val="1"/>
        </w:numPr>
        <w:spacing w:before="240" w:after="240" w:line="276" w:lineRule="auto"/>
        <w:jc w:val="both"/>
        <w:rPr>
          <w:rFonts w:ascii="Times New Roman" w:hAnsi="Times New Roman"/>
          <w:sz w:val="24"/>
        </w:rPr>
      </w:pPr>
      <w:r w:rsidRPr="00AA3369">
        <w:rPr>
          <w:rFonts w:ascii="Times New Roman" w:hAnsi="Times New Roman"/>
          <w:sz w:val="24"/>
        </w:rPr>
        <w:t xml:space="preserve">tržní prostředí, </w:t>
      </w:r>
    </w:p>
    <w:p w14:paraId="7A114B9A" w14:textId="77777777" w:rsidR="00AA3369" w:rsidRPr="00AA3369" w:rsidRDefault="00AA3369" w:rsidP="00AA3369">
      <w:pPr>
        <w:numPr>
          <w:ilvl w:val="0"/>
          <w:numId w:val="1"/>
        </w:numPr>
        <w:spacing w:before="240" w:after="240" w:line="276" w:lineRule="auto"/>
        <w:jc w:val="both"/>
        <w:rPr>
          <w:rFonts w:ascii="Times New Roman" w:hAnsi="Times New Roman"/>
          <w:sz w:val="24"/>
        </w:rPr>
      </w:pPr>
      <w:r w:rsidRPr="00AA3369">
        <w:rPr>
          <w:rFonts w:ascii="Times New Roman" w:hAnsi="Times New Roman"/>
          <w:sz w:val="24"/>
        </w:rPr>
        <w:t xml:space="preserve">legislativní prostředí, </w:t>
      </w:r>
    </w:p>
    <w:p w14:paraId="048E5699" w14:textId="77777777" w:rsidR="00AA3369" w:rsidRPr="00AA3369" w:rsidRDefault="00AA3369" w:rsidP="00AA3369">
      <w:pPr>
        <w:numPr>
          <w:ilvl w:val="0"/>
          <w:numId w:val="1"/>
        </w:numPr>
        <w:spacing w:before="240" w:after="240" w:line="276" w:lineRule="auto"/>
        <w:jc w:val="both"/>
        <w:rPr>
          <w:rFonts w:ascii="Times New Roman" w:hAnsi="Times New Roman"/>
          <w:sz w:val="24"/>
        </w:rPr>
      </w:pPr>
      <w:r w:rsidRPr="00AA3369">
        <w:rPr>
          <w:rFonts w:ascii="Times New Roman" w:hAnsi="Times New Roman"/>
          <w:sz w:val="24"/>
        </w:rPr>
        <w:t>konkurenční prostředí,</w:t>
      </w:r>
    </w:p>
    <w:p w14:paraId="639CE49A" w14:textId="77777777" w:rsidR="00AA3369" w:rsidRPr="00AA3369" w:rsidRDefault="00AA3369" w:rsidP="00AA3369">
      <w:pPr>
        <w:numPr>
          <w:ilvl w:val="0"/>
          <w:numId w:val="1"/>
        </w:numPr>
        <w:spacing w:before="240" w:after="240" w:line="276" w:lineRule="auto"/>
        <w:jc w:val="both"/>
        <w:rPr>
          <w:rFonts w:ascii="Times New Roman" w:hAnsi="Times New Roman"/>
          <w:sz w:val="24"/>
        </w:rPr>
      </w:pPr>
      <w:r w:rsidRPr="00AA3369">
        <w:rPr>
          <w:rFonts w:ascii="Times New Roman" w:hAnsi="Times New Roman"/>
          <w:sz w:val="24"/>
        </w:rPr>
        <w:t xml:space="preserve">makroprostředí. </w:t>
      </w:r>
    </w:p>
    <w:p w14:paraId="14FACA8E" w14:textId="77777777" w:rsidR="00AA3369" w:rsidRPr="00AA3369" w:rsidRDefault="00AA3369" w:rsidP="00AA3369">
      <w:pPr>
        <w:keepNext/>
        <w:keepLines/>
        <w:numPr>
          <w:ilvl w:val="2"/>
          <w:numId w:val="0"/>
        </w:numPr>
        <w:spacing w:before="480" w:after="240" w:line="276" w:lineRule="auto"/>
        <w:ind w:left="720" w:hanging="720"/>
        <w:outlineLvl w:val="2"/>
        <w:rPr>
          <w:rFonts w:ascii="Arial" w:eastAsiaTheme="majorEastAsia" w:hAnsi="Arial" w:cstheme="majorBidi"/>
          <w:b/>
          <w:bCs/>
          <w:smallCaps/>
          <w:color w:val="981E3A"/>
          <w:sz w:val="26"/>
        </w:rPr>
      </w:pPr>
      <w:bookmarkStart w:id="3" w:name="_Toc57500375"/>
      <w:r w:rsidRPr="00AA3369">
        <w:rPr>
          <w:rFonts w:ascii="Arial" w:eastAsiaTheme="majorEastAsia" w:hAnsi="Arial" w:cstheme="majorBidi"/>
          <w:b/>
          <w:bCs/>
          <w:smallCaps/>
          <w:color w:val="981E3A"/>
          <w:sz w:val="26"/>
        </w:rPr>
        <w:t>Tvorba SWOT analýzy</w:t>
      </w:r>
      <w:bookmarkEnd w:id="3"/>
    </w:p>
    <w:p w14:paraId="74395E8F"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noProof/>
          <w:sz w:val="24"/>
        </w:rPr>
        <w:drawing>
          <wp:inline distT="0" distB="0" distL="0" distR="0" wp14:anchorId="091B8AE8" wp14:editId="00AC9291">
            <wp:extent cx="4721290" cy="4721290"/>
            <wp:effectExtent l="0" t="0" r="3175" b="31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7167" cy="4727167"/>
                    </a:xfrm>
                    <a:prstGeom prst="rect">
                      <a:avLst/>
                    </a:prstGeom>
                    <a:noFill/>
                    <a:ln>
                      <a:noFill/>
                    </a:ln>
                  </pic:spPr>
                </pic:pic>
              </a:graphicData>
            </a:graphic>
          </wp:inline>
        </w:drawing>
      </w:r>
    </w:p>
    <w:p w14:paraId="57ED7DE6"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lastRenderedPageBreak/>
        <w:t xml:space="preserve">zdroj: </w:t>
      </w:r>
      <w:hyperlink r:id="rId10" w:history="1">
        <w:r w:rsidRPr="00AA3369">
          <w:rPr>
            <w:rFonts w:ascii="Times New Roman" w:hAnsi="Times New Roman"/>
            <w:color w:val="000080"/>
            <w:sz w:val="24"/>
            <w:u w:val="single"/>
          </w:rPr>
          <w:t>https://www.ecommercebridge.cz/swot-analyza-a-jeji-vyuziti/</w:t>
        </w:r>
      </w:hyperlink>
    </w:p>
    <w:p w14:paraId="4D03B466" w14:textId="77777777" w:rsidR="00AA3369" w:rsidRPr="00AA3369" w:rsidRDefault="00AA3369" w:rsidP="00AA3369">
      <w:pPr>
        <w:keepNext/>
        <w:keepLines/>
        <w:numPr>
          <w:ilvl w:val="2"/>
          <w:numId w:val="0"/>
        </w:numPr>
        <w:spacing w:before="480" w:after="240" w:line="276" w:lineRule="auto"/>
        <w:ind w:left="720" w:hanging="720"/>
        <w:outlineLvl w:val="2"/>
        <w:rPr>
          <w:rFonts w:ascii="Arial" w:eastAsiaTheme="majorEastAsia" w:hAnsi="Arial" w:cstheme="majorBidi"/>
          <w:b/>
          <w:bCs/>
          <w:smallCaps/>
          <w:color w:val="981E3A"/>
          <w:sz w:val="26"/>
        </w:rPr>
      </w:pPr>
      <w:bookmarkStart w:id="4" w:name="_Toc57500376"/>
      <w:r w:rsidRPr="00AA3369">
        <w:rPr>
          <w:rFonts w:ascii="Arial" w:eastAsiaTheme="majorEastAsia" w:hAnsi="Arial" w:cstheme="majorBidi"/>
          <w:b/>
          <w:bCs/>
          <w:smallCaps/>
          <w:color w:val="981E3A"/>
          <w:sz w:val="26"/>
        </w:rPr>
        <w:t>SWOT analýza ve festivalovém prostředí</w:t>
      </w:r>
      <w:bookmarkEnd w:id="4"/>
    </w:p>
    <w:p w14:paraId="222C90B6"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b/>
          <w:sz w:val="24"/>
        </w:rPr>
        <w:t>Silné stránky</w:t>
      </w:r>
      <w:r w:rsidRPr="00AA3369">
        <w:rPr>
          <w:rFonts w:ascii="Times New Roman" w:hAnsi="Times New Roman"/>
          <w:sz w:val="24"/>
        </w:rPr>
        <w:t xml:space="preserve"> – vynikající tým odborníků nebo znamenitých a známých umělců, zkušený a úspěšný manažer v čele, dobrá organizace, dosavadní dobré výsledky, kvalitní inscenace, bohaté a moderní vybavení, pozoruhodné objekty, dostatek prostoru, přízeň podnikatelských kruhů, komunikační a jiné přednosti lokací, skvělá image a pověst.</w:t>
      </w:r>
    </w:p>
    <w:p w14:paraId="22B85FEC"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b/>
          <w:sz w:val="24"/>
        </w:rPr>
        <w:t>Slabé stránky</w:t>
      </w:r>
      <w:r w:rsidRPr="00AA3369">
        <w:rPr>
          <w:rFonts w:ascii="Times New Roman" w:hAnsi="Times New Roman"/>
          <w:sz w:val="24"/>
        </w:rPr>
        <w:t xml:space="preserve"> – špatná pověst, nefunkční organizace, prostorová tíseň, zastaralá technologická vybavení, nedostatek personálu, nepříznivá lokace, nedostatečné dopravní spojení.</w:t>
      </w:r>
    </w:p>
    <w:p w14:paraId="1644B75B"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b/>
          <w:sz w:val="24"/>
        </w:rPr>
        <w:t>Šance neboli příležitosti</w:t>
      </w:r>
      <w:r w:rsidRPr="00AA3369">
        <w:rPr>
          <w:rFonts w:ascii="Times New Roman" w:hAnsi="Times New Roman"/>
          <w:sz w:val="24"/>
        </w:rPr>
        <w:t xml:space="preserve"> – neobsazené místo na trhu, rozšíření trhu, získání více financí, možnost nových zdrojů, nové divácké okruhy, bližší či širší prostředí historicky cenných památek, růst prestiže kultury a umění v regionálním a mezinárodním kontextu. </w:t>
      </w:r>
    </w:p>
    <w:p w14:paraId="653AD0A2"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b/>
          <w:sz w:val="24"/>
        </w:rPr>
        <w:t>Rizika neboli hrozby</w:t>
      </w:r>
      <w:r w:rsidRPr="00AA3369">
        <w:rPr>
          <w:rFonts w:ascii="Times New Roman" w:hAnsi="Times New Roman"/>
          <w:sz w:val="24"/>
        </w:rPr>
        <w:t xml:space="preserve"> – konkurence, změny v politice, legislativě a ekonomice, úroveň diváka, demografické faktory atd.</w:t>
      </w:r>
    </w:p>
    <w:p w14:paraId="1C62C7FF" w14:textId="77777777" w:rsidR="00AA3369" w:rsidRPr="00AA3369" w:rsidRDefault="00AA3369" w:rsidP="00AA3369">
      <w:pPr>
        <w:keepNext/>
        <w:keepLines/>
        <w:numPr>
          <w:ilvl w:val="2"/>
          <w:numId w:val="0"/>
        </w:numPr>
        <w:spacing w:before="480" w:after="240" w:line="276" w:lineRule="auto"/>
        <w:ind w:left="720" w:hanging="720"/>
        <w:outlineLvl w:val="2"/>
        <w:rPr>
          <w:rFonts w:ascii="Arial" w:eastAsiaTheme="majorEastAsia" w:hAnsi="Arial" w:cstheme="majorBidi"/>
          <w:b/>
          <w:bCs/>
          <w:smallCaps/>
          <w:color w:val="981E3A"/>
          <w:sz w:val="26"/>
        </w:rPr>
      </w:pPr>
      <w:bookmarkStart w:id="5" w:name="_Toc57500377"/>
      <w:r w:rsidRPr="00AA3369">
        <w:rPr>
          <w:rFonts w:ascii="Arial" w:eastAsiaTheme="majorEastAsia" w:hAnsi="Arial" w:cstheme="majorBidi"/>
          <w:b/>
          <w:bCs/>
          <w:smallCaps/>
          <w:color w:val="981E3A"/>
          <w:sz w:val="26"/>
        </w:rPr>
        <w:t xml:space="preserve">Sdílení vlastních zkušeností, formulace klíčových organizačních </w:t>
      </w:r>
      <w:proofErr w:type="gramStart"/>
      <w:r w:rsidRPr="00AA3369">
        <w:rPr>
          <w:rFonts w:ascii="Arial" w:eastAsiaTheme="majorEastAsia" w:hAnsi="Arial" w:cstheme="majorBidi"/>
          <w:b/>
          <w:bCs/>
          <w:smallCaps/>
          <w:color w:val="981E3A"/>
          <w:sz w:val="26"/>
        </w:rPr>
        <w:t>principů - SWOT</w:t>
      </w:r>
      <w:proofErr w:type="gramEnd"/>
      <w:r w:rsidRPr="00AA3369">
        <w:rPr>
          <w:rFonts w:ascii="Arial" w:eastAsiaTheme="majorEastAsia" w:hAnsi="Arial" w:cstheme="majorBidi"/>
          <w:b/>
          <w:bCs/>
          <w:smallCaps/>
          <w:color w:val="981E3A"/>
          <w:sz w:val="26"/>
        </w:rPr>
        <w:t xml:space="preserve"> analýza 13.ročníku festivalu Na cestě</w:t>
      </w:r>
      <w:bookmarkEnd w:id="5"/>
    </w:p>
    <w:p w14:paraId="149F3FC1" w14:textId="77777777" w:rsidR="00AA3369" w:rsidRPr="00AA3369" w:rsidRDefault="00AA3369" w:rsidP="00AA3369">
      <w:pPr>
        <w:spacing w:after="0"/>
      </w:pPr>
      <w:r w:rsidRPr="00AA3369">
        <w:t xml:space="preserve">Následující SWOT analýzu 13. ročníku festivalu Na cestě (13–16. 11. 2019) spravovala studentka Kateřina Tomanová, která byla jednou z organizátorek. </w:t>
      </w:r>
    </w:p>
    <w:p w14:paraId="3C5D98D8" w14:textId="77777777" w:rsidR="00AA3369" w:rsidRPr="00AA3369" w:rsidRDefault="00AA3369" w:rsidP="00AA3369">
      <w:pPr>
        <w:spacing w:after="0"/>
      </w:pPr>
    </w:p>
    <w:tbl>
      <w:tblPr>
        <w:tblStyle w:val="Mkatabulky"/>
        <w:tblW w:w="0" w:type="auto"/>
        <w:tblLook w:val="04A0" w:firstRow="1" w:lastRow="0" w:firstColumn="1" w:lastColumn="0" w:noHBand="0" w:noVBand="1"/>
      </w:tblPr>
      <w:tblGrid>
        <w:gridCol w:w="3964"/>
        <w:gridCol w:w="5098"/>
      </w:tblGrid>
      <w:tr w:rsidR="00AA3369" w:rsidRPr="00AA3369" w14:paraId="1C04CCEC" w14:textId="77777777" w:rsidTr="00743E09">
        <w:tc>
          <w:tcPr>
            <w:tcW w:w="3964" w:type="dxa"/>
          </w:tcPr>
          <w:p w14:paraId="6DBD661D" w14:textId="77777777" w:rsidR="00AA3369" w:rsidRPr="00AA3369" w:rsidRDefault="00AA3369" w:rsidP="00AA3369">
            <w:pPr>
              <w:jc w:val="center"/>
            </w:pPr>
            <w:r w:rsidRPr="00AA3369">
              <w:rPr>
                <w:b/>
              </w:rPr>
              <w:t>Silné stránky</w:t>
            </w:r>
          </w:p>
        </w:tc>
        <w:tc>
          <w:tcPr>
            <w:tcW w:w="5098" w:type="dxa"/>
          </w:tcPr>
          <w:p w14:paraId="160369F6" w14:textId="77777777" w:rsidR="00AA3369" w:rsidRPr="00AA3369" w:rsidRDefault="00AA3369" w:rsidP="00AA3369">
            <w:pPr>
              <w:jc w:val="center"/>
            </w:pPr>
            <w:r w:rsidRPr="00AA3369">
              <w:rPr>
                <w:b/>
              </w:rPr>
              <w:t>Slabé stránky</w:t>
            </w:r>
          </w:p>
        </w:tc>
      </w:tr>
      <w:tr w:rsidR="00AA3369" w:rsidRPr="00AA3369" w14:paraId="7DF4FB94" w14:textId="77777777" w:rsidTr="00743E09">
        <w:tc>
          <w:tcPr>
            <w:tcW w:w="3964" w:type="dxa"/>
          </w:tcPr>
          <w:p w14:paraId="7F36494E"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početný tým</w:t>
            </w:r>
          </w:p>
          <w:p w14:paraId="60A731CA"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týmová spolupráce</w:t>
            </w:r>
          </w:p>
          <w:p w14:paraId="092E0759"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jednotné vedení</w:t>
            </w:r>
          </w:p>
          <w:p w14:paraId="45DCA990"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sestaven program před prázdninami</w:t>
            </w:r>
          </w:p>
          <w:p w14:paraId="3D61D70C"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reklama</w:t>
            </w:r>
          </w:p>
          <w:p w14:paraId="6D83CA1D"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velký počet návštěvníků</w:t>
            </w:r>
          </w:p>
          <w:p w14:paraId="73EDA3CE"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rauty na zahájení</w:t>
            </w:r>
          </w:p>
          <w:p w14:paraId="7EB21DFA"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osobní pozvánky</w:t>
            </w:r>
          </w:p>
          <w:p w14:paraId="123501AD"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pozitivní vnímání festivalu návštěvníky</w:t>
            </w:r>
          </w:p>
        </w:tc>
        <w:tc>
          <w:tcPr>
            <w:tcW w:w="5098" w:type="dxa"/>
          </w:tcPr>
          <w:p w14:paraId="168DF516"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nespolupráce mezi obory</w:t>
            </w:r>
          </w:p>
          <w:p w14:paraId="5EFFF90C"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nebyly k dispozici prostory</w:t>
            </w:r>
          </w:p>
          <w:p w14:paraId="1D023A12" w14:textId="77777777" w:rsidR="00AA3369" w:rsidRPr="00AA3369" w:rsidRDefault="00AA3369" w:rsidP="00AA3369">
            <w:pPr>
              <w:numPr>
                <w:ilvl w:val="0"/>
                <w:numId w:val="2"/>
              </w:numPr>
              <w:contextualSpacing/>
              <w:rPr>
                <w:rFonts w:ascii="Times New Roman" w:hAnsi="Times New Roman"/>
              </w:rPr>
            </w:pPr>
            <w:r w:rsidRPr="00AA3369">
              <w:rPr>
                <w:rFonts w:ascii="Times New Roman" w:hAnsi="Times New Roman"/>
              </w:rPr>
              <w:t>nebyla reflexe na denní fermany</w:t>
            </w:r>
          </w:p>
          <w:p w14:paraId="797A8FEA"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 xml:space="preserve">nebyly plněny dané úkoly některými studenty (zejména zajištění občerstveni v dalších dnech, nabídka škol atd., doplňování informací na web, </w:t>
            </w:r>
            <w:proofErr w:type="spellStart"/>
            <w:r w:rsidRPr="00AA3369">
              <w:rPr>
                <w:rFonts w:ascii="Times New Roman" w:hAnsi="Times New Roman"/>
              </w:rPr>
              <w:t>instagram</w:t>
            </w:r>
            <w:proofErr w:type="spellEnd"/>
            <w:r w:rsidRPr="00AA3369">
              <w:rPr>
                <w:rFonts w:ascii="Times New Roman" w:hAnsi="Times New Roman"/>
              </w:rPr>
              <w:t>)</w:t>
            </w:r>
          </w:p>
          <w:p w14:paraId="6DEFF9DE"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na webu se stále objevovaly loňské události</w:t>
            </w:r>
          </w:p>
          <w:p w14:paraId="2A51AF36"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web byl nedokonalý, těžký, nepřehledný</w:t>
            </w:r>
          </w:p>
          <w:p w14:paraId="1ABB844F"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nemohli jsme zasahovat svými názory na grafické úpravy, na plakátech chyběly informace</w:t>
            </w:r>
          </w:p>
          <w:p w14:paraId="26CF8E70"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inscenace 3jsou3 neměli hrát studenti</w:t>
            </w:r>
          </w:p>
          <w:p w14:paraId="039819F6"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 xml:space="preserve">příprava inscenací 3jsou3 na poslední chvíli (měly by se připravovat půl roku </w:t>
            </w:r>
            <w:proofErr w:type="gramStart"/>
            <w:r w:rsidRPr="00AA3369">
              <w:rPr>
                <w:rFonts w:ascii="Times New Roman" w:hAnsi="Times New Roman"/>
              </w:rPr>
              <w:t>dopředu</w:t>
            </w:r>
            <w:proofErr w:type="gramEnd"/>
            <w:r w:rsidRPr="00AA3369">
              <w:rPr>
                <w:rFonts w:ascii="Times New Roman" w:hAnsi="Times New Roman"/>
              </w:rPr>
              <w:t xml:space="preserve"> a ne zkoušet těsně před festivalem nebo v jeho průběhu, což narušovalo klidné přípravy)</w:t>
            </w:r>
          </w:p>
          <w:p w14:paraId="7D28997A"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ozvučování akcí</w:t>
            </w:r>
          </w:p>
          <w:p w14:paraId="1994D67B" w14:textId="77777777" w:rsidR="00AA3369" w:rsidRPr="00AA3369" w:rsidRDefault="00AA3369" w:rsidP="00AA3369">
            <w:pPr>
              <w:numPr>
                <w:ilvl w:val="0"/>
                <w:numId w:val="3"/>
              </w:numPr>
              <w:contextualSpacing/>
              <w:rPr>
                <w:rFonts w:ascii="Times New Roman" w:hAnsi="Times New Roman"/>
              </w:rPr>
            </w:pPr>
            <w:proofErr w:type="spellStart"/>
            <w:r w:rsidRPr="00AA3369">
              <w:rPr>
                <w:rFonts w:ascii="Times New Roman" w:hAnsi="Times New Roman"/>
              </w:rPr>
              <w:t>after</w:t>
            </w:r>
            <w:proofErr w:type="spellEnd"/>
            <w:r w:rsidRPr="00AA3369">
              <w:rPr>
                <w:rFonts w:ascii="Times New Roman" w:hAnsi="Times New Roman"/>
              </w:rPr>
              <w:t xml:space="preserve"> party některých studentů po celý den (studenti by neměli po čas akce vůbec pít alkohol)</w:t>
            </w:r>
          </w:p>
        </w:tc>
      </w:tr>
      <w:tr w:rsidR="00AA3369" w:rsidRPr="00AA3369" w14:paraId="7FFB4E9C" w14:textId="77777777" w:rsidTr="00743E09">
        <w:tc>
          <w:tcPr>
            <w:tcW w:w="3964" w:type="dxa"/>
          </w:tcPr>
          <w:p w14:paraId="3A64673C" w14:textId="77777777" w:rsidR="00AA3369" w:rsidRPr="00AA3369" w:rsidRDefault="00AA3369" w:rsidP="00AA3369">
            <w:pPr>
              <w:jc w:val="center"/>
              <w:rPr>
                <w:b/>
              </w:rPr>
            </w:pPr>
            <w:r w:rsidRPr="00AA3369">
              <w:rPr>
                <w:b/>
              </w:rPr>
              <w:lastRenderedPageBreak/>
              <w:t>Příležitosti</w:t>
            </w:r>
          </w:p>
        </w:tc>
        <w:tc>
          <w:tcPr>
            <w:tcW w:w="5098" w:type="dxa"/>
          </w:tcPr>
          <w:p w14:paraId="38D9360C" w14:textId="77777777" w:rsidR="00AA3369" w:rsidRPr="00AA3369" w:rsidRDefault="00AA3369" w:rsidP="00AA3369">
            <w:pPr>
              <w:jc w:val="center"/>
              <w:rPr>
                <w:b/>
              </w:rPr>
            </w:pPr>
            <w:r w:rsidRPr="00AA3369">
              <w:rPr>
                <w:b/>
              </w:rPr>
              <w:t>Hrozby</w:t>
            </w:r>
          </w:p>
        </w:tc>
      </w:tr>
      <w:tr w:rsidR="00AA3369" w:rsidRPr="00AA3369" w14:paraId="7D6C0678" w14:textId="77777777" w:rsidTr="00743E09">
        <w:tc>
          <w:tcPr>
            <w:tcW w:w="3964" w:type="dxa"/>
          </w:tcPr>
          <w:p w14:paraId="6703B839"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další ročník má „nastartováno“, o festivalu se ví v širší veřejnosti než v předešlých letech</w:t>
            </w:r>
          </w:p>
          <w:p w14:paraId="14BF3ECC"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 xml:space="preserve">může se navázat na stávající kontakty </w:t>
            </w:r>
          </w:p>
          <w:p w14:paraId="07D8D4A8"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další ročníky mají hotový web, billboardy, trička</w:t>
            </w:r>
          </w:p>
          <w:p w14:paraId="2462DB85"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mohou pokračovat v soutěži pro studenty SŠ</w:t>
            </w:r>
          </w:p>
          <w:p w14:paraId="7F8C306A" w14:textId="77777777" w:rsidR="00AA3369" w:rsidRPr="00AA3369" w:rsidRDefault="00AA3369" w:rsidP="00AA3369">
            <w:pPr>
              <w:numPr>
                <w:ilvl w:val="0"/>
                <w:numId w:val="3"/>
              </w:numPr>
              <w:contextualSpacing/>
              <w:rPr>
                <w:rFonts w:ascii="Times New Roman" w:hAnsi="Times New Roman"/>
              </w:rPr>
            </w:pPr>
            <w:r w:rsidRPr="00AA3369">
              <w:rPr>
                <w:rFonts w:ascii="Times New Roman" w:hAnsi="Times New Roman"/>
              </w:rPr>
              <w:t>před koncem letního semestru 2. roč. kontaktovat vedoucí oborů (</w:t>
            </w:r>
            <w:proofErr w:type="spellStart"/>
            <w:r w:rsidRPr="00AA3369">
              <w:rPr>
                <w:rFonts w:ascii="Times New Roman" w:hAnsi="Times New Roman"/>
              </w:rPr>
              <w:t>Horskáková</w:t>
            </w:r>
            <w:proofErr w:type="spellEnd"/>
            <w:r w:rsidRPr="00AA3369">
              <w:rPr>
                <w:rFonts w:ascii="Times New Roman" w:hAnsi="Times New Roman"/>
              </w:rPr>
              <w:t xml:space="preserve">, Peterka) a požádat </w:t>
            </w:r>
          </w:p>
          <w:p w14:paraId="402A4E11" w14:textId="77777777" w:rsidR="00AA3369" w:rsidRPr="00AA3369" w:rsidRDefault="00AA3369" w:rsidP="00AA3369">
            <w:pPr>
              <w:spacing w:after="200" w:line="276" w:lineRule="auto"/>
              <w:ind w:left="720"/>
              <w:contextualSpacing/>
              <w:rPr>
                <w:rFonts w:ascii="Times New Roman" w:hAnsi="Times New Roman"/>
              </w:rPr>
            </w:pPr>
            <w:r w:rsidRPr="00AA3369">
              <w:rPr>
                <w:rFonts w:ascii="Times New Roman" w:hAnsi="Times New Roman"/>
              </w:rPr>
              <w:t>o zapojení studentů do FNC v rámci výuky – natáčení, semestrální úkoly atp., zajistit jejich návštěvnost na festivale a uvolnění výuky.</w:t>
            </w:r>
          </w:p>
        </w:tc>
        <w:tc>
          <w:tcPr>
            <w:tcW w:w="5098" w:type="dxa"/>
          </w:tcPr>
          <w:p w14:paraId="3201A9E2" w14:textId="77777777" w:rsidR="00AA3369" w:rsidRPr="00AA3369" w:rsidRDefault="00AA3369" w:rsidP="00AA3369">
            <w:pPr>
              <w:numPr>
                <w:ilvl w:val="0"/>
                <w:numId w:val="4"/>
              </w:numPr>
              <w:contextualSpacing/>
              <w:rPr>
                <w:rFonts w:ascii="Times New Roman" w:hAnsi="Times New Roman"/>
              </w:rPr>
            </w:pPr>
            <w:r w:rsidRPr="00AA3369">
              <w:rPr>
                <w:rFonts w:ascii="Times New Roman" w:hAnsi="Times New Roman"/>
              </w:rPr>
              <w:t>včas sestavit program a smluvně zavázat</w:t>
            </w:r>
          </w:p>
          <w:p w14:paraId="04DF166D" w14:textId="77777777" w:rsidR="00AA3369" w:rsidRPr="00AA3369" w:rsidRDefault="00AA3369" w:rsidP="00AA3369">
            <w:pPr>
              <w:numPr>
                <w:ilvl w:val="0"/>
                <w:numId w:val="4"/>
              </w:numPr>
              <w:contextualSpacing/>
              <w:rPr>
                <w:rFonts w:ascii="Times New Roman" w:hAnsi="Times New Roman"/>
              </w:rPr>
            </w:pPr>
            <w:r w:rsidRPr="00AA3369">
              <w:rPr>
                <w:rFonts w:ascii="Times New Roman" w:hAnsi="Times New Roman"/>
              </w:rPr>
              <w:t>nevyužití získaného potenciálu</w:t>
            </w:r>
          </w:p>
        </w:tc>
      </w:tr>
    </w:tbl>
    <w:p w14:paraId="3441369C" w14:textId="77777777" w:rsidR="00AA3369" w:rsidRPr="00AA3369" w:rsidRDefault="00AA3369" w:rsidP="00AA3369"/>
    <w:p w14:paraId="44D8D2D1" w14:textId="77777777" w:rsidR="00AA3369" w:rsidRPr="00AA3369" w:rsidRDefault="00AA3369" w:rsidP="00AA3369">
      <w:r w:rsidRPr="00AA3369">
        <w:t xml:space="preserve">3.1.3 Monokratický a kolegiální princip Uplatnění monokratického či kolegiálního principu ve veřejné správě vypovídá o tom, jakým způsobem je tvořena vůle správního orgánu. Monokratický princip spočívá v tom, </w:t>
      </w:r>
      <w:proofErr w:type="spellStart"/>
      <w:r w:rsidRPr="00AA3369">
        <w:t>ţe</w:t>
      </w:r>
      <w:proofErr w:type="spellEnd"/>
      <w:r w:rsidRPr="00AA3369">
        <w:t xml:space="preserve"> orgán veřejné správy je navenek představován jedinou fyzickou osobou. Princip monokratický je typický pro státní správu (např. ministerstva či jiné ústřední orgány státní správy). Při uplatnění principu kolegiálního (sborového) ve veřejné správě je orgán veřejné správy tvořen více rovnocennými členy, </w:t>
      </w:r>
      <w:proofErr w:type="spellStart"/>
      <w:r w:rsidRPr="00AA3369">
        <w:t>jejichţ</w:t>
      </w:r>
      <w:proofErr w:type="spellEnd"/>
      <w:r w:rsidRPr="00AA3369">
        <w:t xml:space="preserve"> společná vůle tvoří rozhodnutí tohoto orgánu. Princip kolegiální je typický pro samosprávu (např. zastupitelstvo a rada obce či kraje) nebo pro vládu (</w:t>
      </w:r>
      <w:proofErr w:type="spellStart"/>
      <w:r w:rsidRPr="00AA3369">
        <w:t>Horzinková</w:t>
      </w:r>
      <w:proofErr w:type="spellEnd"/>
      <w:r w:rsidRPr="00AA3369">
        <w:t>, 2010).</w:t>
      </w:r>
    </w:p>
    <w:p w14:paraId="4D1C7517" w14:textId="77777777" w:rsidR="00AA3369" w:rsidRPr="00AA3369" w:rsidRDefault="00AA3369" w:rsidP="00AA3369">
      <w:pPr>
        <w:pBdr>
          <w:top w:val="threeDEngrave" w:sz="24" w:space="1" w:color="auto"/>
        </w:pBdr>
        <w:spacing w:after="120" w:line="276" w:lineRule="auto"/>
        <w:ind w:firstLine="284"/>
        <w:jc w:val="both"/>
        <w:rPr>
          <w:rFonts w:ascii="Times New Roman" w:hAnsi="Times New Roman"/>
          <w:sz w:val="24"/>
        </w:rPr>
      </w:pPr>
    </w:p>
    <w:p w14:paraId="7EA20519"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color w:val="000066"/>
          <w:sz w:val="24"/>
        </w:rPr>
      </w:pPr>
      <w:r w:rsidRPr="00AA3369">
        <w:rPr>
          <w:rFonts w:ascii="Arial" w:hAnsi="Arial"/>
          <w:b/>
          <w:i/>
          <w:caps/>
          <w:color w:val="000066"/>
          <w:sz w:val="24"/>
        </w:rPr>
        <w:t>Samostatný úkol</w:t>
      </w:r>
    </w:p>
    <w:p w14:paraId="28AA832C" w14:textId="77777777" w:rsidR="00AA3369" w:rsidRPr="00AA3369" w:rsidRDefault="00AA3369" w:rsidP="00AA3369">
      <w:pPr>
        <w:framePr w:w="624" w:h="624" w:hRule="exact" w:hSpace="170" w:wrap="around" w:vAnchor="text" w:hAnchor="page" w:xAlign="outside" w:y="-622" w:anchorLock="1"/>
        <w:jc w:val="both"/>
      </w:pPr>
      <w:r w:rsidRPr="00AA3369">
        <w:rPr>
          <w:noProof/>
          <w:lang w:eastAsia="cs-CZ"/>
        </w:rPr>
        <w:drawing>
          <wp:inline distT="0" distB="0" distL="0" distR="0" wp14:anchorId="47F3C48A" wp14:editId="6DC7ACAF">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7708D3"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t>Na základě vámi navštíveného divadelního festivalu/kulturní akce, zkuste vytvořit vlastní SWOT analýzu.</w:t>
      </w:r>
    </w:p>
    <w:p w14:paraId="619A5853" w14:textId="77777777" w:rsidR="00AA3369" w:rsidRPr="00AA3369" w:rsidRDefault="00AA3369" w:rsidP="00AA3369">
      <w:pPr>
        <w:pBdr>
          <w:top w:val="threeDEngrave" w:sz="24" w:space="1" w:color="auto"/>
        </w:pBdr>
        <w:spacing w:after="120" w:line="276" w:lineRule="auto"/>
        <w:ind w:firstLine="284"/>
        <w:jc w:val="both"/>
        <w:rPr>
          <w:rFonts w:ascii="Times New Roman" w:hAnsi="Times New Roman"/>
          <w:sz w:val="24"/>
        </w:rPr>
      </w:pPr>
    </w:p>
    <w:p w14:paraId="793B418A" w14:textId="77777777" w:rsidR="00AA3369" w:rsidRPr="00AA3369" w:rsidRDefault="00AA3369" w:rsidP="00AA3369">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AA3369">
        <w:rPr>
          <w:rFonts w:ascii="Arial" w:hAnsi="Arial"/>
          <w:b/>
          <w:i/>
          <w:caps/>
          <w:sz w:val="24"/>
        </w:rPr>
        <w:t>Shrnutí kapitoly</w:t>
      </w:r>
    </w:p>
    <w:p w14:paraId="714E3FB8" w14:textId="77777777" w:rsidR="00AA3369" w:rsidRPr="00AA3369" w:rsidRDefault="00AA3369" w:rsidP="00AA3369">
      <w:pPr>
        <w:framePr w:w="624" w:h="624" w:hRule="exact" w:hSpace="170" w:wrap="around" w:vAnchor="text" w:hAnchor="page" w:xAlign="outside" w:y="-623" w:anchorLock="1"/>
      </w:pPr>
      <w:r w:rsidRPr="00AA3369">
        <w:rPr>
          <w:noProof/>
          <w:lang w:eastAsia="cs-CZ"/>
        </w:rPr>
        <w:drawing>
          <wp:inline distT="0" distB="0" distL="0" distR="0" wp14:anchorId="2038AB83" wp14:editId="391896D5">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EF67F5" w14:textId="77777777" w:rsidR="00AA3369" w:rsidRPr="00AA3369" w:rsidRDefault="00AA3369" w:rsidP="00AA3369">
      <w:pPr>
        <w:spacing w:before="240" w:after="240" w:line="276" w:lineRule="auto"/>
        <w:ind w:firstLine="284"/>
        <w:jc w:val="both"/>
        <w:rPr>
          <w:rFonts w:ascii="Times New Roman" w:hAnsi="Times New Roman"/>
          <w:sz w:val="24"/>
        </w:rPr>
      </w:pPr>
      <w:r w:rsidRPr="00AA3369">
        <w:rPr>
          <w:rFonts w:ascii="Times New Roman" w:hAnsi="Times New Roman"/>
          <w:sz w:val="24"/>
        </w:rPr>
        <w:t>V této kapitole je teoreticky nastíněna SWOT analýza. Na daném praktickém příkladu ze studentského poloprofesionálního festivalu Na cestě si studenti mohli vytvořit nejen obraz o daném ročníku festivalu, ale také si představit vlastní koncepci.</w:t>
      </w:r>
    </w:p>
    <w:p w14:paraId="3874146C" w14:textId="77777777" w:rsidR="00AA3369" w:rsidRPr="00AA3369" w:rsidRDefault="00AA3369" w:rsidP="00AA3369">
      <w:pPr>
        <w:pBdr>
          <w:top w:val="threeDEngrave" w:sz="24" w:space="1" w:color="auto"/>
        </w:pBdr>
        <w:spacing w:after="120" w:line="276" w:lineRule="auto"/>
        <w:ind w:firstLine="284"/>
        <w:jc w:val="both"/>
        <w:rPr>
          <w:rFonts w:ascii="Times New Roman" w:hAnsi="Times New Roman"/>
          <w:sz w:val="24"/>
        </w:rPr>
      </w:pPr>
    </w:p>
    <w:p w14:paraId="3BE52529" w14:textId="77777777" w:rsidR="00AA3369" w:rsidRPr="00AA3369" w:rsidRDefault="00AA3369" w:rsidP="00AA3369">
      <w:pPr>
        <w:spacing w:before="240" w:after="240" w:line="276" w:lineRule="auto"/>
        <w:ind w:firstLine="284"/>
        <w:jc w:val="both"/>
        <w:rPr>
          <w:rFonts w:ascii="Times New Roman" w:hAnsi="Times New Roman"/>
          <w:sz w:val="24"/>
        </w:rPr>
      </w:pPr>
    </w:p>
    <w:p w14:paraId="0103CE96" w14:textId="77777777" w:rsidR="00FE09D4" w:rsidRDefault="00FE09D4"/>
    <w:sectPr w:rsidR="00FE0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32"/>
    <w:multiLevelType w:val="hybridMultilevel"/>
    <w:tmpl w:val="EB1C3E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B6565A5"/>
    <w:multiLevelType w:val="hybridMultilevel"/>
    <w:tmpl w:val="81089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131876"/>
    <w:multiLevelType w:val="hybridMultilevel"/>
    <w:tmpl w:val="4E684B9A"/>
    <w:lvl w:ilvl="0" w:tplc="A370AE46">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413D0BF1"/>
    <w:multiLevelType w:val="hybridMultilevel"/>
    <w:tmpl w:val="CA9C74AC"/>
    <w:lvl w:ilvl="0" w:tplc="AF689FE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42E7EB4"/>
    <w:multiLevelType w:val="hybridMultilevel"/>
    <w:tmpl w:val="C23E6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F84624"/>
    <w:multiLevelType w:val="hybridMultilevel"/>
    <w:tmpl w:val="4E44D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69"/>
    <w:rsid w:val="002C2B0C"/>
    <w:rsid w:val="00AA3369"/>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4DCB"/>
  <w15:chartTrackingRefBased/>
  <w15:docId w15:val="{0F2FDE65-21F3-41A2-A075-06B88C54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A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www.ecommercebridge.cz/swot-analyza-a-jeji-vyuzit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4458</Characters>
  <Application>Microsoft Office Word</Application>
  <DocSecurity>0</DocSecurity>
  <Lines>37</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dc:creator>
  <cp:keywords/>
  <dc:description/>
  <cp:lastModifiedBy>Zahirović Hasan</cp:lastModifiedBy>
  <cp:revision>1</cp:revision>
  <dcterms:created xsi:type="dcterms:W3CDTF">2022-05-29T17:32:00Z</dcterms:created>
  <dcterms:modified xsi:type="dcterms:W3CDTF">2022-05-29T17:33:00Z</dcterms:modified>
</cp:coreProperties>
</file>