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9225B" w14:textId="69E91D7B" w:rsidR="00CF58D9" w:rsidRDefault="00F547F8" w:rsidP="00CF58D9">
      <w:pPr>
        <w:pStyle w:val="Nadpis1"/>
        <w:numPr>
          <w:ilvl w:val="0"/>
          <w:numId w:val="0"/>
        </w:numPr>
        <w:ind w:left="431"/>
      </w:pPr>
      <w:bookmarkStart w:id="0" w:name="_Toc175995541"/>
      <w:r>
        <w:t xml:space="preserve">IV </w:t>
      </w:r>
      <w:bookmarkStart w:id="1" w:name="_GoBack"/>
      <w:bookmarkEnd w:id="1"/>
      <w:r w:rsidR="00CF58D9">
        <w:t>Komuny a signorie</w:t>
      </w:r>
      <w:bookmarkEnd w:id="0"/>
    </w:p>
    <w:p w14:paraId="3CA7D879" w14:textId="77777777" w:rsidR="00CF58D9" w:rsidRPr="004B005B" w:rsidRDefault="00CF58D9" w:rsidP="00CF58D9">
      <w:pPr>
        <w:pStyle w:val="parNadpisPrvkuCerveny"/>
      </w:pPr>
      <w:r w:rsidRPr="004B005B">
        <w:t>Rychlý náhled kapitoly</w:t>
      </w:r>
    </w:p>
    <w:p w14:paraId="0E286484"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3D790879" wp14:editId="6746DF60">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A4C52A" w14:textId="77777777" w:rsidR="00CF58D9" w:rsidRDefault="00CF58D9" w:rsidP="00CF58D9">
      <w:pPr>
        <w:pStyle w:val="Tlotextu"/>
      </w:pPr>
      <w:r>
        <w:t>Renesance by nebyla možná bez hospodářského rozkvětu a bez změn v politickém životě významných „italských měst“ (psáno v uvozovkách vzhledem k tomu, že jde spíše o města na území dnešní Itálie). Tato kapitola se bude zabývat jejich vzestupem a změnami, které v nich probíhají.</w:t>
      </w:r>
    </w:p>
    <w:p w14:paraId="522CB25A" w14:textId="77777777" w:rsidR="00CF58D9" w:rsidRDefault="00CF58D9" w:rsidP="00CF58D9">
      <w:pPr>
        <w:pStyle w:val="parUkonceniPrvku"/>
      </w:pPr>
    </w:p>
    <w:p w14:paraId="17C2F539" w14:textId="77777777" w:rsidR="00CF58D9" w:rsidRPr="004B005B" w:rsidRDefault="00CF58D9" w:rsidP="00CF58D9">
      <w:pPr>
        <w:pStyle w:val="parNadpisPrvkuCerveny"/>
      </w:pPr>
      <w:r w:rsidRPr="004B005B">
        <w:t>Cíle kapitoly</w:t>
      </w:r>
    </w:p>
    <w:p w14:paraId="2D464CF9"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24F4426A" wp14:editId="49A49C7F">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03A7F2" w14:textId="77777777" w:rsidR="00CF58D9" w:rsidRDefault="00CF58D9" w:rsidP="00CF58D9">
      <w:pPr>
        <w:pStyle w:val="parOdrazky01"/>
      </w:pPr>
      <w:r>
        <w:t>Objasnit příčiny odlišného vývoje „italských měst“.</w:t>
      </w:r>
    </w:p>
    <w:p w14:paraId="104EF7A9" w14:textId="77777777" w:rsidR="00CF58D9" w:rsidRDefault="00CF58D9" w:rsidP="00CF58D9">
      <w:pPr>
        <w:pStyle w:val="parOdrazky01"/>
      </w:pPr>
      <w:r>
        <w:t>Provést rozbor fenoménu „středověké město“.</w:t>
      </w:r>
    </w:p>
    <w:p w14:paraId="407FD4E7" w14:textId="77777777" w:rsidR="00CF58D9" w:rsidRDefault="00CF58D9" w:rsidP="00CF58D9">
      <w:pPr>
        <w:pStyle w:val="parOdrazky01"/>
      </w:pPr>
      <w:r>
        <w:t>Vysvětlit roli kupce ve středověku.</w:t>
      </w:r>
    </w:p>
    <w:p w14:paraId="031778D7" w14:textId="77777777" w:rsidR="00CF58D9" w:rsidRDefault="00CF58D9" w:rsidP="00CF58D9">
      <w:pPr>
        <w:pStyle w:val="parOdrazky01"/>
      </w:pPr>
      <w:r>
        <w:t xml:space="preserve">Porovnat politickou a ekonomickou situaci v největších „italských městech“. </w:t>
      </w:r>
    </w:p>
    <w:p w14:paraId="36837831" w14:textId="77777777" w:rsidR="00CF58D9" w:rsidRDefault="00CF58D9" w:rsidP="00CF58D9">
      <w:pPr>
        <w:pStyle w:val="parUkonceniPrvku"/>
      </w:pPr>
    </w:p>
    <w:p w14:paraId="6CA6D075" w14:textId="77777777" w:rsidR="00CF58D9" w:rsidRPr="004B005B" w:rsidRDefault="00CF58D9" w:rsidP="00CF58D9">
      <w:pPr>
        <w:pStyle w:val="parNadpisPrvkuCerveny"/>
      </w:pPr>
      <w:r w:rsidRPr="004B005B">
        <w:t>Klíčová slova kapitoly</w:t>
      </w:r>
    </w:p>
    <w:p w14:paraId="5698157C"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4B14929F" wp14:editId="6F49B979">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7D0EFD" w14:textId="77777777" w:rsidR="00CF58D9" w:rsidRDefault="00CF58D9" w:rsidP="00CF58D9">
      <w:pPr>
        <w:pStyle w:val="Tlotextu"/>
      </w:pPr>
      <w:r>
        <w:t>komuna, signorie, Florencie</w:t>
      </w:r>
    </w:p>
    <w:p w14:paraId="0FB4CAB1" w14:textId="77777777" w:rsidR="00CF58D9" w:rsidRDefault="00CF58D9" w:rsidP="00CF58D9">
      <w:pPr>
        <w:pStyle w:val="parUkonceniPrvku"/>
      </w:pPr>
    </w:p>
    <w:p w14:paraId="25D0A66B" w14:textId="77777777" w:rsidR="00CF58D9" w:rsidRPr="003F3D71" w:rsidRDefault="00CF58D9" w:rsidP="00CF58D9">
      <w:pPr>
        <w:pStyle w:val="Tlotextu"/>
      </w:pPr>
    </w:p>
    <w:p w14:paraId="508D209A" w14:textId="77777777" w:rsidR="00CF58D9" w:rsidRPr="002A43AD" w:rsidRDefault="00CF58D9" w:rsidP="00CF58D9">
      <w:pPr>
        <w:pStyle w:val="Tlotextu"/>
        <w:rPr>
          <w:lang w:val="is-IS"/>
        </w:rPr>
      </w:pPr>
    </w:p>
    <w:p w14:paraId="51288398" w14:textId="77777777" w:rsidR="00CF58D9" w:rsidRDefault="00CF58D9" w:rsidP="00CF58D9">
      <w:pPr>
        <w:pStyle w:val="Tlotextu"/>
        <w:rPr>
          <w:lang w:val="is-IS"/>
        </w:rPr>
      </w:pPr>
    </w:p>
    <w:p w14:paraId="1A4D3B48" w14:textId="77777777" w:rsidR="00CF58D9" w:rsidRPr="002A43AD" w:rsidRDefault="00CF58D9" w:rsidP="00CF58D9">
      <w:pPr>
        <w:pStyle w:val="Tlotextu"/>
        <w:rPr>
          <w:lang w:val="is-IS"/>
        </w:rPr>
      </w:pPr>
    </w:p>
    <w:p w14:paraId="1FE80390" w14:textId="77777777" w:rsidR="00CF58D9" w:rsidRPr="002A43AD" w:rsidRDefault="00CF58D9" w:rsidP="00CF58D9">
      <w:pPr>
        <w:pStyle w:val="Tlotextu"/>
        <w:rPr>
          <w:lang w:val="is-IS"/>
        </w:rPr>
      </w:pPr>
    </w:p>
    <w:p w14:paraId="22DD6CF4" w14:textId="77777777" w:rsidR="00CF58D9" w:rsidRDefault="00CF58D9" w:rsidP="00CF58D9">
      <w:pPr>
        <w:pStyle w:val="Tlotextu"/>
      </w:pPr>
    </w:p>
    <w:p w14:paraId="23A9849D" w14:textId="77777777" w:rsidR="00CF58D9" w:rsidRDefault="00CF58D9" w:rsidP="00CF58D9">
      <w:pPr>
        <w:pStyle w:val="Tlotextu"/>
      </w:pPr>
    </w:p>
    <w:p w14:paraId="395148D0" w14:textId="77777777" w:rsidR="00CF58D9" w:rsidRDefault="00CF58D9" w:rsidP="00CF58D9">
      <w:pPr>
        <w:pStyle w:val="Tlotextu"/>
      </w:pPr>
    </w:p>
    <w:p w14:paraId="7E631BDD" w14:textId="77777777" w:rsidR="00CF58D9" w:rsidRDefault="00CF58D9" w:rsidP="00CF58D9">
      <w:pPr>
        <w:pStyle w:val="Tlotextu"/>
        <w:ind w:firstLine="0"/>
      </w:pPr>
    </w:p>
    <w:p w14:paraId="3B30F85A" w14:textId="77777777" w:rsidR="00CF58D9" w:rsidRDefault="00CF58D9" w:rsidP="00CF58D9">
      <w:pPr>
        <w:pStyle w:val="Nadpis2"/>
        <w:rPr>
          <w:lang w:val="is-IS"/>
        </w:rPr>
      </w:pPr>
      <w:bookmarkStart w:id="2" w:name="_Toc175995542"/>
      <w:r>
        <w:rPr>
          <w:lang w:val="is-IS"/>
        </w:rPr>
        <w:t>Epocha komun a signorií</w:t>
      </w:r>
      <w:bookmarkEnd w:id="2"/>
    </w:p>
    <w:p w14:paraId="60B47354" w14:textId="77777777" w:rsidR="00CF58D9" w:rsidRDefault="00CF58D9" w:rsidP="00CF58D9">
      <w:pPr>
        <w:pStyle w:val="Tlotextu"/>
        <w:rPr>
          <w:lang w:val="is-IS"/>
        </w:rPr>
      </w:pPr>
      <w:r>
        <w:rPr>
          <w:lang w:val="is-IS"/>
        </w:rPr>
        <w:t>Nebohatší města na území dnešní Itálie navazují na tradici městské společnost v antickém Římě a postupně se uvolňují z feudálního sevření. Jejich bohatství vede ke zvýšenému sebebědomí jejich obyvatel a logickým vyústěním je pak snaha převzít v těcto městech vládu založenou na dobově podmíněných demokratických principech.</w:t>
      </w:r>
    </w:p>
    <w:p w14:paraId="05B9472B" w14:textId="77777777" w:rsidR="00CF58D9" w:rsidRPr="00B03557" w:rsidRDefault="00CF58D9" w:rsidP="00CF58D9">
      <w:pPr>
        <w:pStyle w:val="Tlotextu"/>
      </w:pPr>
      <w:r>
        <w:rPr>
          <w:lang w:val="is-IS"/>
        </w:rPr>
        <w:t xml:space="preserve">Severoitalská města si sice ve 12. stol. vydobyly faktickou samostatnost, časem však v nich získaly rozhodující moc některé rodiny a tato samosprávná města se měnila v panství takových rodin čili v signorie. Tento proces zašal ve 2. pol. 13. stol. Některá města a jejich okolí se tak postupně měnila v dědičné monarchie. </w:t>
      </w:r>
    </w:p>
    <w:p w14:paraId="2FEBF472" w14:textId="77777777" w:rsidR="00CF58D9" w:rsidRDefault="00CF58D9" w:rsidP="00CF58D9">
      <w:pPr>
        <w:pStyle w:val="Tlotextu"/>
        <w:rPr>
          <w:lang w:val="is-IS"/>
        </w:rPr>
      </w:pPr>
      <w:r>
        <w:rPr>
          <w:lang w:val="is-IS"/>
        </w:rPr>
        <w:t xml:space="preserve">Viz Procacci: </w:t>
      </w:r>
      <w:r w:rsidRPr="002A43AD">
        <w:rPr>
          <w:i/>
          <w:lang w:val="is-IS"/>
        </w:rPr>
        <w:t>Dějiny Itálie</w:t>
      </w:r>
      <w:r>
        <w:rPr>
          <w:lang w:val="is-IS"/>
        </w:rPr>
        <w:t>, str. 38-53.</w:t>
      </w:r>
    </w:p>
    <w:p w14:paraId="0A0D7942" w14:textId="77777777" w:rsidR="00CF58D9" w:rsidRPr="004B005B" w:rsidRDefault="00CF58D9" w:rsidP="00CF58D9">
      <w:pPr>
        <w:pStyle w:val="parNadpisPrvkuZeleny"/>
      </w:pPr>
      <w:r w:rsidRPr="004B005B">
        <w:t>Definice</w:t>
      </w:r>
    </w:p>
    <w:p w14:paraId="41F18329"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7A5D3D61" wp14:editId="6608BE21">
            <wp:extent cx="381635" cy="381635"/>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419FD9" w14:textId="77777777" w:rsidR="00CF58D9" w:rsidRDefault="00CF58D9" w:rsidP="00CF58D9">
      <w:pPr>
        <w:pStyle w:val="Tlotextu"/>
      </w:pPr>
      <w:r>
        <w:t>SIGNORIE – označení formy vlády v řadě italských městských států (zejména ve 13.-16. stol.), kdy v čele stál buď doživotně nebo na určité období zvolený vládce. Postupem doby se jednotlivé signorie změnily buď na knížectví, vévodství atd., nebo byly pohlceny mocnějšími sousedy.</w:t>
      </w:r>
    </w:p>
    <w:p w14:paraId="159E2D83" w14:textId="77777777" w:rsidR="00CF58D9" w:rsidRDefault="00CF58D9" w:rsidP="00CF58D9">
      <w:pPr>
        <w:pStyle w:val="parUkonceniPrvku"/>
      </w:pPr>
    </w:p>
    <w:p w14:paraId="7044C0B8" w14:textId="77777777" w:rsidR="00CF58D9" w:rsidRDefault="00CF58D9" w:rsidP="00CF58D9">
      <w:pPr>
        <w:pStyle w:val="Nadpis3"/>
        <w:rPr>
          <w:lang w:val="is-IS"/>
        </w:rPr>
      </w:pPr>
      <w:bookmarkStart w:id="3" w:name="_Toc175995543"/>
      <w:r>
        <w:rPr>
          <w:lang w:val="is-IS"/>
        </w:rPr>
        <w:t>Středověké město</w:t>
      </w:r>
      <w:bookmarkEnd w:id="3"/>
    </w:p>
    <w:p w14:paraId="18A253A6" w14:textId="77777777" w:rsidR="00CF58D9" w:rsidRDefault="00CF58D9" w:rsidP="00CF58D9">
      <w:pPr>
        <w:pStyle w:val="Tlotextu"/>
      </w:pPr>
      <w:r w:rsidRPr="00584F75">
        <w:t xml:space="preserve">Město představuje zcela nový sociálně-ekonomický organismus </w:t>
      </w:r>
      <w:r>
        <w:t>ve srovnání s venkovským charakterem feudální společnosti. Jeho vliv daleko překračuje jeho demografickou váhu, neboť zde žije pospolu složité společenství lidí od šlechty přes řemeslníky, kupce, studenty po žebravé řády. Vzniká tak zcela nová sociabilita se specifickým způsobem života s obdivuhodnou vzájemnou solidaritou. Demografická hustota ovlivňuje nejen architekturu, ale i mentalitu obyvatel. Nutností je vnitroměstská solidarita mezi sousedy a přáteli, vznikají cechy, různá bratrstva. Kolektivní síla je demonstrována různými slavnostmi a procesími. Obyvatel města „Žije skromně. Hlady nestrádá, neobává se již chudoby, protože má okruh přátel a spolubratrů, bojí se Boha, ale ne smrti, protože si již náležitě předplatil posmrtný život; žije v míru za hradbami. Má čisté svědomí. Věří v město.“</w:t>
      </w:r>
    </w:p>
    <w:p w14:paraId="266FC413" w14:textId="77777777" w:rsidR="00CF58D9" w:rsidRDefault="00CF58D9" w:rsidP="00CF58D9">
      <w:pPr>
        <w:ind w:firstLine="1417"/>
        <w:jc w:val="both"/>
      </w:pPr>
      <w:r>
        <w:t xml:space="preserve">Každodenní používaní peněz vede k novinkám, jako jsou pojištění, šeky, podvojné účetnictví, banky, arabské číslice apod. „Peníze jsou krví města“ a právě ony „prohlodaly hradby středověku“. Není tedy divu, že ústřední postavou se stává kupec, který zásadním způsobem ovlivnil tvář středověku a předznamenal moderní dobu. Kupec, </w:t>
      </w:r>
      <w:r>
        <w:lastRenderedPageBreak/>
        <w:t xml:space="preserve">zpočátku sice výrazný, nicméně druhořadý prvek převážně agrární společnosti, se postupně dostává do popředí jako tvůrce nových vztahů, které podrývají tradiční základy feudalismu. V průběhu 13. stol. se nepostradatelnost kupců projevuje právě ve městech, které je závislé na trhu, proto se jim přizpůsobuje i systém městského práva, které zřizuje jarmarky a trhy, kontroluje míry a váhy apod. </w:t>
      </w:r>
    </w:p>
    <w:p w14:paraId="28C1CC4B" w14:textId="77777777" w:rsidR="00CF58D9" w:rsidRDefault="00CF58D9" w:rsidP="00CF58D9">
      <w:pPr>
        <w:ind w:firstLine="1417"/>
        <w:jc w:val="both"/>
      </w:pPr>
      <w:r>
        <w:t xml:space="preserve">Kupci jsou často velmi inteligentní a přizpůsobiví lidé, takže rychle bohatnou a ve městech i díky tomu získávají podíl na jeho správě. Jsou členy městských rad, ovlivňují zákonodárství. Musí s nimi dobře vycházet řemeslníci i místní drobní obchodníci. Nezakládají si na svém urozeném původu jako šlechtici, ale na vlastních schopnostech – a takovému člověku mimochodem budou určitě bližší ideje humanismu a renesance než středověké scholastiky. Je pravda, že obchod nevyžadoval jen inteligenci a energii, ale také jistou bezohlednost a sobeckost. Ale i to jsou charakteristické rysy moderního Evropana. </w:t>
      </w:r>
    </w:p>
    <w:p w14:paraId="2DC72659" w14:textId="77777777" w:rsidR="00CF58D9" w:rsidRPr="00584F75" w:rsidRDefault="00CF58D9" w:rsidP="00CF58D9">
      <w:pPr>
        <w:ind w:firstLine="1417"/>
        <w:jc w:val="both"/>
      </w:pPr>
      <w:r>
        <w:t>V kupeckých rodinách je také možno najít základy moderní rodiny. Kupec musel dbát na výchovu a vzdělání svých dětí, aby mohly pokračovat v jeho práci. Spolu s ním se na obchodu často podíleli i další příbuzní a jejich vzájemné důvěra byla nezbytná pro udržení majetku a postavení. Kupci rovněž změnili chápání a vnímání času. Pořádání trhů, počítání úroků, to vše vyžadovalo jiné prostředky. Byl nově upraven kalendář, hodiny začaly měřit i krátké úseky dne. Čas se změnil v peníze.</w:t>
      </w:r>
    </w:p>
    <w:p w14:paraId="4C16FAA6" w14:textId="77777777" w:rsidR="00CF58D9" w:rsidRDefault="00CF58D9" w:rsidP="00CF58D9">
      <w:pPr>
        <w:pStyle w:val="Nadpis2"/>
        <w:rPr>
          <w:lang w:val="is-IS"/>
        </w:rPr>
      </w:pPr>
      <w:bookmarkStart w:id="4" w:name="_Toc175995544"/>
      <w:r>
        <w:rPr>
          <w:lang w:val="is-IS"/>
        </w:rPr>
        <w:t>Itálie ve 14. století</w:t>
      </w:r>
      <w:bookmarkEnd w:id="4"/>
    </w:p>
    <w:p w14:paraId="289A95BC" w14:textId="77777777" w:rsidR="00CF58D9" w:rsidRPr="002A43AD" w:rsidRDefault="00CF58D9" w:rsidP="00CF58D9">
      <w:pPr>
        <w:pStyle w:val="Tlotextu"/>
        <w:rPr>
          <w:lang w:val="is-IS"/>
        </w:rPr>
      </w:pPr>
      <w:r>
        <w:rPr>
          <w:lang w:val="is-IS"/>
        </w:rPr>
        <w:t>Protože jednotlivá města mají různé dějiny a odlišný vývoj, je odlišný i jejich vývoj, třebaže ho spojuje výše uvedená snaha o politické nezávislosti. Je tedy nutné se podívat na situaci v těchto městech, přinejmenším v Benátkách, Janově, Miláně a v Neapoli.</w:t>
      </w:r>
    </w:p>
    <w:p w14:paraId="4D6F288F" w14:textId="77777777" w:rsidR="00CF58D9" w:rsidRDefault="00CF58D9" w:rsidP="00CF58D9">
      <w:pPr>
        <w:pStyle w:val="Tlotextu"/>
        <w:rPr>
          <w:lang w:val="is-IS"/>
        </w:rPr>
      </w:pPr>
      <w:r>
        <w:rPr>
          <w:lang w:val="is-IS"/>
        </w:rPr>
        <w:t xml:space="preserve">Viz Procacci: </w:t>
      </w:r>
      <w:r w:rsidRPr="002A43AD">
        <w:rPr>
          <w:i/>
          <w:lang w:val="is-IS"/>
        </w:rPr>
        <w:t>Dějiny Itálie</w:t>
      </w:r>
      <w:r>
        <w:rPr>
          <w:lang w:val="is-IS"/>
        </w:rPr>
        <w:t>, str. 55-82.</w:t>
      </w:r>
    </w:p>
    <w:p w14:paraId="3C73D8EE" w14:textId="77777777" w:rsidR="00CF58D9" w:rsidRPr="004B005B" w:rsidRDefault="00CF58D9" w:rsidP="00CF58D9">
      <w:pPr>
        <w:pStyle w:val="parNadpisPrvkuModry"/>
      </w:pPr>
      <w:r w:rsidRPr="004B005B">
        <w:t>Samostatný úkol</w:t>
      </w:r>
      <w:r>
        <w:t xml:space="preserve"> 1</w:t>
      </w:r>
    </w:p>
    <w:p w14:paraId="4355FA47"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7872D69F" wp14:editId="68A07B69">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6F4B23" w14:textId="77777777" w:rsidR="00CF58D9" w:rsidRDefault="00CF58D9" w:rsidP="00CF58D9">
      <w:pPr>
        <w:pStyle w:val="Tlotextu"/>
        <w:numPr>
          <w:ilvl w:val="0"/>
          <w:numId w:val="10"/>
        </w:numPr>
      </w:pPr>
      <w:r>
        <w:t>Čtrnácté století je poznamenáno papežským schizmatem. Zopakujte si nebo zjistěte, o co jde a co to znamenalo pro Itálii.</w:t>
      </w:r>
    </w:p>
    <w:p w14:paraId="4CA25348" w14:textId="77777777" w:rsidR="00CF58D9" w:rsidRDefault="00CF58D9" w:rsidP="00CF58D9">
      <w:pPr>
        <w:pStyle w:val="Tlotextu"/>
        <w:numPr>
          <w:ilvl w:val="0"/>
          <w:numId w:val="10"/>
        </w:numPr>
      </w:pPr>
      <w:r>
        <w:t>Do dějin na území Itálie zasáhl i Karel IV. Kdy, jak, čím?</w:t>
      </w:r>
    </w:p>
    <w:p w14:paraId="0A61DBA2" w14:textId="77777777" w:rsidR="00CF58D9" w:rsidRDefault="00CF58D9" w:rsidP="00CF58D9">
      <w:pPr>
        <w:pStyle w:val="parUkonceniPrvku"/>
      </w:pPr>
    </w:p>
    <w:p w14:paraId="67338D99" w14:textId="77777777" w:rsidR="00CF58D9" w:rsidRDefault="00CF58D9" w:rsidP="00CF58D9">
      <w:pPr>
        <w:pStyle w:val="Nadpis3"/>
        <w:rPr>
          <w:lang w:val="is-IS"/>
        </w:rPr>
      </w:pPr>
      <w:bookmarkStart w:id="5" w:name="_Toc175995545"/>
      <w:r>
        <w:rPr>
          <w:lang w:val="is-IS"/>
        </w:rPr>
        <w:t>Florencie</w:t>
      </w:r>
      <w:bookmarkEnd w:id="5"/>
    </w:p>
    <w:p w14:paraId="3FCC05D1" w14:textId="77777777" w:rsidR="00CF58D9" w:rsidRPr="002A43AD" w:rsidRDefault="00CF58D9" w:rsidP="00CF58D9">
      <w:pPr>
        <w:pStyle w:val="Tlotextu"/>
        <w:rPr>
          <w:lang w:val="is-IS"/>
        </w:rPr>
      </w:pPr>
      <w:r>
        <w:rPr>
          <w:lang w:val="is-IS"/>
        </w:rPr>
        <w:t xml:space="preserve">Jednoznačně nejvýznamnějším městem byla Florencie, která hrála několik desetiletí ústřední roli na poli hospodářství i umění. Až smrt Lorenza Medicejského v roce 1492 </w:t>
      </w:r>
      <w:r>
        <w:rPr>
          <w:lang w:val="is-IS"/>
        </w:rPr>
        <w:lastRenderedPageBreak/>
        <w:t>znamenala postupnou ztrátu prestiže, ale to už bylo nové myšlení i nové umění upevněny  a připraveny dobýt zbytek Apeninského poloostrova a posléze prakticky celou Evropu.</w:t>
      </w:r>
    </w:p>
    <w:p w14:paraId="1107F799" w14:textId="77777777" w:rsidR="00CF58D9" w:rsidRDefault="00CF58D9" w:rsidP="00CF58D9">
      <w:pPr>
        <w:pStyle w:val="Tlotextu"/>
        <w:rPr>
          <w:lang w:val="is-IS"/>
        </w:rPr>
      </w:pPr>
      <w:r>
        <w:rPr>
          <w:lang w:val="is-IS"/>
        </w:rPr>
        <w:t xml:space="preserve">Viz Procacci: </w:t>
      </w:r>
      <w:r w:rsidRPr="002A43AD">
        <w:rPr>
          <w:i/>
          <w:lang w:val="is-IS"/>
        </w:rPr>
        <w:t>Dějiny Itálie</w:t>
      </w:r>
      <w:r>
        <w:rPr>
          <w:lang w:val="is-IS"/>
        </w:rPr>
        <w:t>, str. 53-55, 68-71, 82-85.</w:t>
      </w:r>
    </w:p>
    <w:p w14:paraId="79B265CC" w14:textId="77777777" w:rsidR="00CF58D9" w:rsidRPr="004B005B" w:rsidRDefault="00CF58D9" w:rsidP="00CF58D9">
      <w:pPr>
        <w:pStyle w:val="parNadpisPrvkuModry"/>
      </w:pPr>
      <w:r w:rsidRPr="004B005B">
        <w:t>Samostatný úkol</w:t>
      </w:r>
      <w:r>
        <w:t xml:space="preserve"> 2</w:t>
      </w:r>
    </w:p>
    <w:p w14:paraId="4BF82C4F"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6FAB497A" wp14:editId="192EC176">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C8AD71" w14:textId="77777777" w:rsidR="00CF58D9" w:rsidRPr="00FA0E85" w:rsidRDefault="00CF58D9" w:rsidP="00CF58D9">
      <w:pPr>
        <w:pStyle w:val="Tlotextu"/>
      </w:pPr>
      <w:r>
        <w:t xml:space="preserve">Prohlédněte si prezentaci o Florencii a jejích umělcích v době největšího rozkvětu. Dohledejte si další informace k informacím, které zde najdete tak, abyste je mohli doplnit.  </w:t>
      </w:r>
    </w:p>
    <w:p w14:paraId="4FB27A41" w14:textId="77777777" w:rsidR="00CF58D9" w:rsidRDefault="00CF58D9" w:rsidP="00CF58D9">
      <w:pPr>
        <w:pStyle w:val="parUkonceniPrvku"/>
      </w:pPr>
    </w:p>
    <w:p w14:paraId="0D08DDEB" w14:textId="77777777" w:rsidR="00CF58D9" w:rsidRPr="004B005B" w:rsidRDefault="00CF58D9" w:rsidP="00CF58D9">
      <w:pPr>
        <w:pStyle w:val="parNadpisPrvkuModry"/>
      </w:pPr>
      <w:r w:rsidRPr="004B005B">
        <w:t>Samostatný úkol</w:t>
      </w:r>
      <w:r>
        <w:t xml:space="preserve"> 3</w:t>
      </w:r>
    </w:p>
    <w:p w14:paraId="28362CBB"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31C09453" wp14:editId="4407006E">
            <wp:extent cx="381635" cy="381635"/>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5EC9CA" w14:textId="77777777" w:rsidR="00CF58D9" w:rsidRPr="00FA0E85" w:rsidRDefault="00CF58D9" w:rsidP="00CF58D9">
      <w:pPr>
        <w:pStyle w:val="Tlotextu"/>
      </w:pPr>
      <w:r>
        <w:t xml:space="preserve">Připravte podobnou prezentaci o dalších italských městech ve 14., resp. 15. stol., kde významné rody ovlivnily jejich dějiny, např. Benátky, Janov, Milán, </w:t>
      </w:r>
      <w:r w:rsidRPr="00FA0E85">
        <w:rPr>
          <w:lang w:val="la-Latn"/>
        </w:rPr>
        <w:t>Rimini</w:t>
      </w:r>
      <w:r>
        <w:t xml:space="preserve">, </w:t>
      </w:r>
      <w:r w:rsidRPr="00FA0E85">
        <w:rPr>
          <w:lang w:val="la-Latn"/>
        </w:rPr>
        <w:t>Urbino</w:t>
      </w:r>
      <w:r>
        <w:t xml:space="preserve">, Ferrara, Mantova, </w:t>
      </w:r>
      <w:proofErr w:type="spellStart"/>
      <w:r>
        <w:t>Modena</w:t>
      </w:r>
      <w:proofErr w:type="spellEnd"/>
      <w:r>
        <w:t xml:space="preserve"> aj. </w:t>
      </w:r>
    </w:p>
    <w:p w14:paraId="6C702BA3" w14:textId="77777777" w:rsidR="00CF58D9" w:rsidRDefault="00CF58D9" w:rsidP="00CF58D9">
      <w:pPr>
        <w:pStyle w:val="parUkonceniPrvku"/>
      </w:pPr>
    </w:p>
    <w:p w14:paraId="26470394" w14:textId="77777777" w:rsidR="00CF58D9" w:rsidRPr="004B005B" w:rsidRDefault="00CF58D9" w:rsidP="00CF58D9">
      <w:pPr>
        <w:pStyle w:val="parNadpisPrvkuCerveny"/>
      </w:pPr>
      <w:r>
        <w:t>sh</w:t>
      </w:r>
      <w:r w:rsidRPr="004B005B">
        <w:t>rnutí kapitoly</w:t>
      </w:r>
    </w:p>
    <w:p w14:paraId="0D6105E2"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5BA8525A" wp14:editId="636C3117">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2B5CA8" w14:textId="77777777" w:rsidR="00CF58D9" w:rsidRDefault="00CF58D9" w:rsidP="00CF58D9">
      <w:pPr>
        <w:pStyle w:val="Tlotextu"/>
      </w:pPr>
      <w:r>
        <w:t>Překonání středověkého pojetí myšlení a politického uspořádaní se dělo postupně, ale i tak bylo překvapivé. Mocná města neměla zájem o cizí nadvládu a jejich bohatství umožňovalo měnit nejen hospodářské a politické poměry, ale přináší i nové pojetí kultury a potažmo života vůbec.</w:t>
      </w:r>
    </w:p>
    <w:p w14:paraId="408E83A8" w14:textId="77777777" w:rsidR="00CF58D9" w:rsidRDefault="00CF58D9" w:rsidP="00CF58D9">
      <w:pPr>
        <w:pStyle w:val="parUkonceniPrvku"/>
      </w:pPr>
    </w:p>
    <w:p w14:paraId="365D89B7" w14:textId="77777777" w:rsidR="00CF58D9" w:rsidRPr="00BD20DA" w:rsidRDefault="00CF58D9" w:rsidP="00CF58D9">
      <w:pPr>
        <w:pStyle w:val="Tlotextu"/>
        <w:ind w:firstLine="0"/>
      </w:pPr>
    </w:p>
    <w:p w14:paraId="199614E7" w14:textId="77777777" w:rsidR="005003F6" w:rsidRPr="00CF58D9" w:rsidRDefault="005003F6" w:rsidP="00CF58D9"/>
    <w:sectPr w:rsidR="005003F6" w:rsidRPr="00CF58D9" w:rsidSect="00822B1C">
      <w:headerReference w:type="even" r:id="rId14"/>
      <w:headerReference w:type="default" r:id="rId15"/>
      <w:footerReference w:type="even" r:id="rId16"/>
      <w:footerReference w:type="default" r:id="rId17"/>
      <w:pgSz w:w="11906" w:h="16838" w:code="9"/>
      <w:pgMar w:top="1440" w:right="1440" w:bottom="1440" w:left="1797"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BA708" w14:textId="77777777" w:rsidR="00021E7F" w:rsidRDefault="00021E7F">
      <w:pPr>
        <w:spacing w:after="0" w:line="240" w:lineRule="auto"/>
      </w:pPr>
      <w:r>
        <w:separator/>
      </w:r>
    </w:p>
  </w:endnote>
  <w:endnote w:type="continuationSeparator" w:id="0">
    <w:p w14:paraId="64C5BB81" w14:textId="77777777" w:rsidR="00021E7F" w:rsidRDefault="0002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0B0D" w14:textId="77777777" w:rsidR="00F74001" w:rsidRDefault="00F74001" w:rsidP="00822B1C">
    <w:pPr>
      <w:pStyle w:val="Zpat"/>
      <w:tabs>
        <w:tab w:val="clear" w:pos="4536"/>
        <w:tab w:val="clear" w:pos="9072"/>
        <w:tab w:val="left" w:pos="13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559C" w14:textId="77777777" w:rsidR="00F74001" w:rsidRDefault="00F740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5EFBB" w14:textId="77777777" w:rsidR="00021E7F" w:rsidRDefault="00021E7F">
      <w:pPr>
        <w:spacing w:after="0" w:line="240" w:lineRule="auto"/>
      </w:pPr>
      <w:r>
        <w:separator/>
      </w:r>
    </w:p>
  </w:footnote>
  <w:footnote w:type="continuationSeparator" w:id="0">
    <w:p w14:paraId="18C6A928" w14:textId="77777777" w:rsidR="00021E7F" w:rsidRDefault="0002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BCA70" w14:textId="77777777" w:rsidR="00F74001" w:rsidRPr="00C87D9B" w:rsidRDefault="00F74001">
    <w:pPr>
      <w:pStyle w:val="Zhlav"/>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0032" w14:textId="77777777" w:rsidR="00F74001" w:rsidRDefault="00F74001" w:rsidP="00822B1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718"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E206383"/>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6570462"/>
    <w:multiLevelType w:val="hybridMultilevel"/>
    <w:tmpl w:val="7F02E7C8"/>
    <w:lvl w:ilvl="0" w:tplc="47CE329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8451FA0"/>
    <w:multiLevelType w:val="hybridMultilevel"/>
    <w:tmpl w:val="88E4275C"/>
    <w:lvl w:ilvl="0" w:tplc="EBC0AD8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B294B4B"/>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428942B8"/>
    <w:multiLevelType w:val="hybridMultilevel"/>
    <w:tmpl w:val="CBE0C4D8"/>
    <w:lvl w:ilvl="0" w:tplc="90F0A906">
      <w:start w:val="5"/>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4F1225D0"/>
    <w:multiLevelType w:val="hybridMultilevel"/>
    <w:tmpl w:val="9086D62C"/>
    <w:lvl w:ilvl="0" w:tplc="D5B62558">
      <w:start w:val="1"/>
      <w:numFmt w:val="bullet"/>
      <w:lvlText w:val=""/>
      <w:lvlJc w:val="left"/>
      <w:pPr>
        <w:tabs>
          <w:tab w:val="num" w:pos="720"/>
        </w:tabs>
        <w:ind w:left="720" w:hanging="360"/>
      </w:pPr>
      <w:rPr>
        <w:rFonts w:ascii="Wingdings" w:hAnsi="Wingdings" w:hint="default"/>
      </w:rPr>
    </w:lvl>
    <w:lvl w:ilvl="1" w:tplc="1736BE4E" w:tentative="1">
      <w:start w:val="1"/>
      <w:numFmt w:val="bullet"/>
      <w:lvlText w:val=""/>
      <w:lvlJc w:val="left"/>
      <w:pPr>
        <w:tabs>
          <w:tab w:val="num" w:pos="1440"/>
        </w:tabs>
        <w:ind w:left="1440" w:hanging="360"/>
      </w:pPr>
      <w:rPr>
        <w:rFonts w:ascii="Wingdings" w:hAnsi="Wingdings" w:hint="default"/>
      </w:rPr>
    </w:lvl>
    <w:lvl w:ilvl="2" w:tplc="6F48BC4E" w:tentative="1">
      <w:start w:val="1"/>
      <w:numFmt w:val="bullet"/>
      <w:lvlText w:val=""/>
      <w:lvlJc w:val="left"/>
      <w:pPr>
        <w:tabs>
          <w:tab w:val="num" w:pos="2160"/>
        </w:tabs>
        <w:ind w:left="2160" w:hanging="360"/>
      </w:pPr>
      <w:rPr>
        <w:rFonts w:ascii="Wingdings" w:hAnsi="Wingdings" w:hint="default"/>
      </w:rPr>
    </w:lvl>
    <w:lvl w:ilvl="3" w:tplc="81763348" w:tentative="1">
      <w:start w:val="1"/>
      <w:numFmt w:val="bullet"/>
      <w:lvlText w:val=""/>
      <w:lvlJc w:val="left"/>
      <w:pPr>
        <w:tabs>
          <w:tab w:val="num" w:pos="2880"/>
        </w:tabs>
        <w:ind w:left="2880" w:hanging="360"/>
      </w:pPr>
      <w:rPr>
        <w:rFonts w:ascii="Wingdings" w:hAnsi="Wingdings" w:hint="default"/>
      </w:rPr>
    </w:lvl>
    <w:lvl w:ilvl="4" w:tplc="DD44F9FA" w:tentative="1">
      <w:start w:val="1"/>
      <w:numFmt w:val="bullet"/>
      <w:lvlText w:val=""/>
      <w:lvlJc w:val="left"/>
      <w:pPr>
        <w:tabs>
          <w:tab w:val="num" w:pos="3600"/>
        </w:tabs>
        <w:ind w:left="3600" w:hanging="360"/>
      </w:pPr>
      <w:rPr>
        <w:rFonts w:ascii="Wingdings" w:hAnsi="Wingdings" w:hint="default"/>
      </w:rPr>
    </w:lvl>
    <w:lvl w:ilvl="5" w:tplc="A53EB94A" w:tentative="1">
      <w:start w:val="1"/>
      <w:numFmt w:val="bullet"/>
      <w:lvlText w:val=""/>
      <w:lvlJc w:val="left"/>
      <w:pPr>
        <w:tabs>
          <w:tab w:val="num" w:pos="4320"/>
        </w:tabs>
        <w:ind w:left="4320" w:hanging="360"/>
      </w:pPr>
      <w:rPr>
        <w:rFonts w:ascii="Wingdings" w:hAnsi="Wingdings" w:hint="default"/>
      </w:rPr>
    </w:lvl>
    <w:lvl w:ilvl="6" w:tplc="BB30B80A" w:tentative="1">
      <w:start w:val="1"/>
      <w:numFmt w:val="bullet"/>
      <w:lvlText w:val=""/>
      <w:lvlJc w:val="left"/>
      <w:pPr>
        <w:tabs>
          <w:tab w:val="num" w:pos="5040"/>
        </w:tabs>
        <w:ind w:left="5040" w:hanging="360"/>
      </w:pPr>
      <w:rPr>
        <w:rFonts w:ascii="Wingdings" w:hAnsi="Wingdings" w:hint="default"/>
      </w:rPr>
    </w:lvl>
    <w:lvl w:ilvl="7" w:tplc="CBA03FB4" w:tentative="1">
      <w:start w:val="1"/>
      <w:numFmt w:val="bullet"/>
      <w:lvlText w:val=""/>
      <w:lvlJc w:val="left"/>
      <w:pPr>
        <w:tabs>
          <w:tab w:val="num" w:pos="5760"/>
        </w:tabs>
        <w:ind w:left="5760" w:hanging="360"/>
      </w:pPr>
      <w:rPr>
        <w:rFonts w:ascii="Wingdings" w:hAnsi="Wingdings" w:hint="default"/>
      </w:rPr>
    </w:lvl>
    <w:lvl w:ilvl="8" w:tplc="2CC607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25548"/>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5713487F"/>
    <w:multiLevelType w:val="hybridMultilevel"/>
    <w:tmpl w:val="C4D489B4"/>
    <w:lvl w:ilvl="0" w:tplc="28CEC4DA">
      <w:start w:val="1"/>
      <w:numFmt w:val="bullet"/>
      <w:lvlText w:val="•"/>
      <w:lvlJc w:val="left"/>
      <w:pPr>
        <w:tabs>
          <w:tab w:val="num" w:pos="720"/>
        </w:tabs>
        <w:ind w:left="720" w:hanging="360"/>
      </w:pPr>
      <w:rPr>
        <w:rFonts w:ascii="Arial" w:hAnsi="Arial" w:hint="default"/>
      </w:rPr>
    </w:lvl>
    <w:lvl w:ilvl="1" w:tplc="67C804F2" w:tentative="1">
      <w:start w:val="1"/>
      <w:numFmt w:val="bullet"/>
      <w:lvlText w:val="•"/>
      <w:lvlJc w:val="left"/>
      <w:pPr>
        <w:tabs>
          <w:tab w:val="num" w:pos="1440"/>
        </w:tabs>
        <w:ind w:left="1440" w:hanging="360"/>
      </w:pPr>
      <w:rPr>
        <w:rFonts w:ascii="Arial" w:hAnsi="Arial" w:hint="default"/>
      </w:rPr>
    </w:lvl>
    <w:lvl w:ilvl="2" w:tplc="15C214C6" w:tentative="1">
      <w:start w:val="1"/>
      <w:numFmt w:val="bullet"/>
      <w:lvlText w:val="•"/>
      <w:lvlJc w:val="left"/>
      <w:pPr>
        <w:tabs>
          <w:tab w:val="num" w:pos="2160"/>
        </w:tabs>
        <w:ind w:left="2160" w:hanging="360"/>
      </w:pPr>
      <w:rPr>
        <w:rFonts w:ascii="Arial" w:hAnsi="Arial" w:hint="default"/>
      </w:rPr>
    </w:lvl>
    <w:lvl w:ilvl="3" w:tplc="56347F80" w:tentative="1">
      <w:start w:val="1"/>
      <w:numFmt w:val="bullet"/>
      <w:lvlText w:val="•"/>
      <w:lvlJc w:val="left"/>
      <w:pPr>
        <w:tabs>
          <w:tab w:val="num" w:pos="2880"/>
        </w:tabs>
        <w:ind w:left="2880" w:hanging="360"/>
      </w:pPr>
      <w:rPr>
        <w:rFonts w:ascii="Arial" w:hAnsi="Arial" w:hint="default"/>
      </w:rPr>
    </w:lvl>
    <w:lvl w:ilvl="4" w:tplc="C622A53E" w:tentative="1">
      <w:start w:val="1"/>
      <w:numFmt w:val="bullet"/>
      <w:lvlText w:val="•"/>
      <w:lvlJc w:val="left"/>
      <w:pPr>
        <w:tabs>
          <w:tab w:val="num" w:pos="3600"/>
        </w:tabs>
        <w:ind w:left="3600" w:hanging="360"/>
      </w:pPr>
      <w:rPr>
        <w:rFonts w:ascii="Arial" w:hAnsi="Arial" w:hint="default"/>
      </w:rPr>
    </w:lvl>
    <w:lvl w:ilvl="5" w:tplc="AC3CFE14" w:tentative="1">
      <w:start w:val="1"/>
      <w:numFmt w:val="bullet"/>
      <w:lvlText w:val="•"/>
      <w:lvlJc w:val="left"/>
      <w:pPr>
        <w:tabs>
          <w:tab w:val="num" w:pos="4320"/>
        </w:tabs>
        <w:ind w:left="4320" w:hanging="360"/>
      </w:pPr>
      <w:rPr>
        <w:rFonts w:ascii="Arial" w:hAnsi="Arial" w:hint="default"/>
      </w:rPr>
    </w:lvl>
    <w:lvl w:ilvl="6" w:tplc="F336EB88" w:tentative="1">
      <w:start w:val="1"/>
      <w:numFmt w:val="bullet"/>
      <w:lvlText w:val="•"/>
      <w:lvlJc w:val="left"/>
      <w:pPr>
        <w:tabs>
          <w:tab w:val="num" w:pos="5040"/>
        </w:tabs>
        <w:ind w:left="5040" w:hanging="360"/>
      </w:pPr>
      <w:rPr>
        <w:rFonts w:ascii="Arial" w:hAnsi="Arial" w:hint="default"/>
      </w:rPr>
    </w:lvl>
    <w:lvl w:ilvl="7" w:tplc="7E0ADFCA" w:tentative="1">
      <w:start w:val="1"/>
      <w:numFmt w:val="bullet"/>
      <w:lvlText w:val="•"/>
      <w:lvlJc w:val="left"/>
      <w:pPr>
        <w:tabs>
          <w:tab w:val="num" w:pos="5760"/>
        </w:tabs>
        <w:ind w:left="5760" w:hanging="360"/>
      </w:pPr>
      <w:rPr>
        <w:rFonts w:ascii="Arial" w:hAnsi="Arial" w:hint="default"/>
      </w:rPr>
    </w:lvl>
    <w:lvl w:ilvl="8" w:tplc="E1DEAF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1C36F2"/>
    <w:multiLevelType w:val="hybridMultilevel"/>
    <w:tmpl w:val="8AE60B4A"/>
    <w:lvl w:ilvl="0" w:tplc="09DECE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2" w15:restartNumberingAfterBreak="0">
    <w:nsid w:val="70F362E9"/>
    <w:multiLevelType w:val="hybridMultilevel"/>
    <w:tmpl w:val="9F3EA2D2"/>
    <w:lvl w:ilvl="0" w:tplc="883009B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2B4274D"/>
    <w:multiLevelType w:val="hybridMultilevel"/>
    <w:tmpl w:val="D638A22E"/>
    <w:lvl w:ilvl="0" w:tplc="66D4476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7E8A4EA7"/>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7F425821"/>
    <w:multiLevelType w:val="hybridMultilevel"/>
    <w:tmpl w:val="AD58AD8A"/>
    <w:lvl w:ilvl="0" w:tplc="0234DA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1"/>
  </w:num>
  <w:num w:numId="3">
    <w:abstractNumId w:val="11"/>
  </w:num>
  <w:num w:numId="4">
    <w:abstractNumId w:val="0"/>
    <w:lvlOverride w:ilvl="0">
      <w:startOverride w:val="5"/>
    </w:lvlOverride>
    <w:lvlOverride w:ilvl="1">
      <w:startOverride w:val="2"/>
    </w:lvlOverride>
    <w:lvlOverride w:ilvl="2">
      <w:startOverride w:val="1"/>
    </w:lvlOverride>
  </w:num>
  <w:num w:numId="5">
    <w:abstractNumId w:val="0"/>
    <w:lvlOverride w:ilvl="0">
      <w:startOverride w:val="6"/>
    </w:lvlOverride>
    <w:lvlOverride w:ilvl="1">
      <w:startOverride w:val="3"/>
    </w:lvlOverride>
    <w:lvlOverride w:ilvl="2">
      <w:startOverride w:val="1"/>
    </w:lvlOverride>
  </w:num>
  <w:num w:numId="6">
    <w:abstractNumId w:val="13"/>
  </w:num>
  <w:num w:numId="7">
    <w:abstractNumId w:val="10"/>
  </w:num>
  <w:num w:numId="8">
    <w:abstractNumId w:val="4"/>
  </w:num>
  <w:num w:numId="9">
    <w:abstractNumId w:val="15"/>
  </w:num>
  <w:num w:numId="10">
    <w:abstractNumId w:val="8"/>
  </w:num>
  <w:num w:numId="11">
    <w:abstractNumId w:val="12"/>
  </w:num>
  <w:num w:numId="12">
    <w:abstractNumId w:val="3"/>
  </w:num>
  <w:num w:numId="13">
    <w:abstractNumId w:val="14"/>
  </w:num>
  <w:num w:numId="14">
    <w:abstractNumId w:val="5"/>
  </w:num>
  <w:num w:numId="15">
    <w:abstractNumId w:val="2"/>
  </w:num>
  <w:num w:numId="16">
    <w:abstractNumId w:val="7"/>
  </w:num>
  <w:num w:numId="17">
    <w:abstractNumId w:val="6"/>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01"/>
    <w:rsid w:val="000026F5"/>
    <w:rsid w:val="00021E7F"/>
    <w:rsid w:val="00023F2A"/>
    <w:rsid w:val="00063400"/>
    <w:rsid w:val="000656C1"/>
    <w:rsid w:val="00072C4F"/>
    <w:rsid w:val="00083442"/>
    <w:rsid w:val="00093748"/>
    <w:rsid w:val="00095DFB"/>
    <w:rsid w:val="000976EC"/>
    <w:rsid w:val="000A4AD2"/>
    <w:rsid w:val="000D58BA"/>
    <w:rsid w:val="000E40AE"/>
    <w:rsid w:val="000F7F4F"/>
    <w:rsid w:val="00125062"/>
    <w:rsid w:val="00140105"/>
    <w:rsid w:val="00141402"/>
    <w:rsid w:val="00146913"/>
    <w:rsid w:val="00166878"/>
    <w:rsid w:val="0017084E"/>
    <w:rsid w:val="001B2F7F"/>
    <w:rsid w:val="001B7D60"/>
    <w:rsid w:val="001C5D98"/>
    <w:rsid w:val="001F0F8C"/>
    <w:rsid w:val="001F1F50"/>
    <w:rsid w:val="001F4180"/>
    <w:rsid w:val="00215B27"/>
    <w:rsid w:val="00224AF0"/>
    <w:rsid w:val="0023187B"/>
    <w:rsid w:val="00236570"/>
    <w:rsid w:val="00237AE6"/>
    <w:rsid w:val="00247B5E"/>
    <w:rsid w:val="00251813"/>
    <w:rsid w:val="00267E14"/>
    <w:rsid w:val="0027775E"/>
    <w:rsid w:val="0028105E"/>
    <w:rsid w:val="00286E9B"/>
    <w:rsid w:val="00295D1A"/>
    <w:rsid w:val="002C6234"/>
    <w:rsid w:val="002C6790"/>
    <w:rsid w:val="002C7C04"/>
    <w:rsid w:val="002F5C32"/>
    <w:rsid w:val="00334E5C"/>
    <w:rsid w:val="00337C09"/>
    <w:rsid w:val="00376ED0"/>
    <w:rsid w:val="00380C69"/>
    <w:rsid w:val="00392D89"/>
    <w:rsid w:val="003C7906"/>
    <w:rsid w:val="003E3852"/>
    <w:rsid w:val="003E5950"/>
    <w:rsid w:val="00421139"/>
    <w:rsid w:val="00426305"/>
    <w:rsid w:val="00450905"/>
    <w:rsid w:val="004703EE"/>
    <w:rsid w:val="00470820"/>
    <w:rsid w:val="00491B00"/>
    <w:rsid w:val="00492EE3"/>
    <w:rsid w:val="004A0F16"/>
    <w:rsid w:val="004C45FF"/>
    <w:rsid w:val="004E5ABB"/>
    <w:rsid w:val="004F29C4"/>
    <w:rsid w:val="004F36D8"/>
    <w:rsid w:val="004F61AA"/>
    <w:rsid w:val="005003F6"/>
    <w:rsid w:val="0053036D"/>
    <w:rsid w:val="005465BF"/>
    <w:rsid w:val="00551E4D"/>
    <w:rsid w:val="005550C5"/>
    <w:rsid w:val="00556C7F"/>
    <w:rsid w:val="00560925"/>
    <w:rsid w:val="00573E47"/>
    <w:rsid w:val="00581A13"/>
    <w:rsid w:val="00584F75"/>
    <w:rsid w:val="00597BBD"/>
    <w:rsid w:val="005A530B"/>
    <w:rsid w:val="005D0C4A"/>
    <w:rsid w:val="005D1752"/>
    <w:rsid w:val="005D246A"/>
    <w:rsid w:val="005E2A9A"/>
    <w:rsid w:val="006006A8"/>
    <w:rsid w:val="006024B3"/>
    <w:rsid w:val="00603AE3"/>
    <w:rsid w:val="00612BE0"/>
    <w:rsid w:val="0062287B"/>
    <w:rsid w:val="00631675"/>
    <w:rsid w:val="00655507"/>
    <w:rsid w:val="006771D0"/>
    <w:rsid w:val="00692007"/>
    <w:rsid w:val="006A00A4"/>
    <w:rsid w:val="006B1406"/>
    <w:rsid w:val="006B6BB1"/>
    <w:rsid w:val="006C6B4D"/>
    <w:rsid w:val="006E26BD"/>
    <w:rsid w:val="006F06C5"/>
    <w:rsid w:val="006F5741"/>
    <w:rsid w:val="007474B4"/>
    <w:rsid w:val="007656DD"/>
    <w:rsid w:val="0077550E"/>
    <w:rsid w:val="0077706F"/>
    <w:rsid w:val="00780E5A"/>
    <w:rsid w:val="0078213A"/>
    <w:rsid w:val="00782E0A"/>
    <w:rsid w:val="0078535B"/>
    <w:rsid w:val="00793D48"/>
    <w:rsid w:val="00794D9D"/>
    <w:rsid w:val="007A0FEE"/>
    <w:rsid w:val="007B21E9"/>
    <w:rsid w:val="007B5EE3"/>
    <w:rsid w:val="007D501E"/>
    <w:rsid w:val="007D518C"/>
    <w:rsid w:val="007E1BD8"/>
    <w:rsid w:val="007F7E43"/>
    <w:rsid w:val="008023A3"/>
    <w:rsid w:val="00810F31"/>
    <w:rsid w:val="00822B1C"/>
    <w:rsid w:val="0083283B"/>
    <w:rsid w:val="0083742E"/>
    <w:rsid w:val="00851887"/>
    <w:rsid w:val="00857DD5"/>
    <w:rsid w:val="0086025C"/>
    <w:rsid w:val="0086430C"/>
    <w:rsid w:val="00880E5B"/>
    <w:rsid w:val="008908F3"/>
    <w:rsid w:val="008B2280"/>
    <w:rsid w:val="008B5158"/>
    <w:rsid w:val="008C22DA"/>
    <w:rsid w:val="008C30F7"/>
    <w:rsid w:val="008E240C"/>
    <w:rsid w:val="008E5267"/>
    <w:rsid w:val="00912FA9"/>
    <w:rsid w:val="00917395"/>
    <w:rsid w:val="00932A93"/>
    <w:rsid w:val="00943416"/>
    <w:rsid w:val="009439CC"/>
    <w:rsid w:val="00947667"/>
    <w:rsid w:val="00967B22"/>
    <w:rsid w:val="00995A60"/>
    <w:rsid w:val="00996D74"/>
    <w:rsid w:val="00A0028C"/>
    <w:rsid w:val="00A058DF"/>
    <w:rsid w:val="00A36571"/>
    <w:rsid w:val="00A7347A"/>
    <w:rsid w:val="00A95E16"/>
    <w:rsid w:val="00A95ED1"/>
    <w:rsid w:val="00AB7416"/>
    <w:rsid w:val="00AC0A40"/>
    <w:rsid w:val="00AE19FB"/>
    <w:rsid w:val="00AF09BE"/>
    <w:rsid w:val="00AF127E"/>
    <w:rsid w:val="00AF3AFF"/>
    <w:rsid w:val="00AF3F7B"/>
    <w:rsid w:val="00AF7A8D"/>
    <w:rsid w:val="00B03557"/>
    <w:rsid w:val="00B101CD"/>
    <w:rsid w:val="00B21167"/>
    <w:rsid w:val="00B26342"/>
    <w:rsid w:val="00B2736A"/>
    <w:rsid w:val="00B30D61"/>
    <w:rsid w:val="00B34D0D"/>
    <w:rsid w:val="00B34D5B"/>
    <w:rsid w:val="00B45580"/>
    <w:rsid w:val="00B51A1D"/>
    <w:rsid w:val="00B61407"/>
    <w:rsid w:val="00B746BC"/>
    <w:rsid w:val="00B80D93"/>
    <w:rsid w:val="00B904BB"/>
    <w:rsid w:val="00BA16DD"/>
    <w:rsid w:val="00BA744D"/>
    <w:rsid w:val="00BC0C5C"/>
    <w:rsid w:val="00BC58B4"/>
    <w:rsid w:val="00BD2C59"/>
    <w:rsid w:val="00BF3996"/>
    <w:rsid w:val="00C00FE8"/>
    <w:rsid w:val="00C13866"/>
    <w:rsid w:val="00C14386"/>
    <w:rsid w:val="00C427FD"/>
    <w:rsid w:val="00C42DFD"/>
    <w:rsid w:val="00C65602"/>
    <w:rsid w:val="00C773E9"/>
    <w:rsid w:val="00C853A6"/>
    <w:rsid w:val="00C94EB9"/>
    <w:rsid w:val="00CA4033"/>
    <w:rsid w:val="00CA6156"/>
    <w:rsid w:val="00CC2C4E"/>
    <w:rsid w:val="00CD7311"/>
    <w:rsid w:val="00CF4BE4"/>
    <w:rsid w:val="00CF58D9"/>
    <w:rsid w:val="00D03D9B"/>
    <w:rsid w:val="00D05DFD"/>
    <w:rsid w:val="00D12701"/>
    <w:rsid w:val="00D166A7"/>
    <w:rsid w:val="00D53B6C"/>
    <w:rsid w:val="00D53BF9"/>
    <w:rsid w:val="00D57C14"/>
    <w:rsid w:val="00D62BF8"/>
    <w:rsid w:val="00D80B84"/>
    <w:rsid w:val="00D841C1"/>
    <w:rsid w:val="00D95B82"/>
    <w:rsid w:val="00D97AA1"/>
    <w:rsid w:val="00DB6EA5"/>
    <w:rsid w:val="00DC0D01"/>
    <w:rsid w:val="00DC2FE5"/>
    <w:rsid w:val="00DC38A4"/>
    <w:rsid w:val="00DC5591"/>
    <w:rsid w:val="00DD467A"/>
    <w:rsid w:val="00DD4AA2"/>
    <w:rsid w:val="00DE0F5A"/>
    <w:rsid w:val="00DE25B4"/>
    <w:rsid w:val="00E16048"/>
    <w:rsid w:val="00E255E5"/>
    <w:rsid w:val="00E347CB"/>
    <w:rsid w:val="00E37E66"/>
    <w:rsid w:val="00E4603A"/>
    <w:rsid w:val="00E86344"/>
    <w:rsid w:val="00EC40F6"/>
    <w:rsid w:val="00ED5BDF"/>
    <w:rsid w:val="00EE37C1"/>
    <w:rsid w:val="00EE6194"/>
    <w:rsid w:val="00EF52B5"/>
    <w:rsid w:val="00EF5315"/>
    <w:rsid w:val="00EF5352"/>
    <w:rsid w:val="00EF568C"/>
    <w:rsid w:val="00F04A78"/>
    <w:rsid w:val="00F304A4"/>
    <w:rsid w:val="00F547F8"/>
    <w:rsid w:val="00F64FC5"/>
    <w:rsid w:val="00F71017"/>
    <w:rsid w:val="00F74001"/>
    <w:rsid w:val="00F85425"/>
    <w:rsid w:val="00F942AE"/>
    <w:rsid w:val="00FA0E85"/>
    <w:rsid w:val="00FA1367"/>
    <w:rsid w:val="00FA19DD"/>
    <w:rsid w:val="00FE4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B611"/>
  <w15:chartTrackingRefBased/>
  <w15:docId w15:val="{E4D17EA8-2C4E-4126-82F7-1E1EE319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DC0D01"/>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DC0D01"/>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DC0D01"/>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DC0D01"/>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unhideWhenUsed/>
    <w:rsid w:val="00DC0D01"/>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DC0D0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19"/>
    <w:semiHidden/>
    <w:unhideWhenUsed/>
    <w:qFormat/>
    <w:rsid w:val="00DC0D0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19"/>
    <w:semiHidden/>
    <w:unhideWhenUsed/>
    <w:qFormat/>
    <w:rsid w:val="00DC0D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DC0D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DC0D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DC0D01"/>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DC0D01"/>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DC0D01"/>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rsid w:val="00DC0D01"/>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DC0D01"/>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19"/>
    <w:semiHidden/>
    <w:rsid w:val="00DC0D01"/>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19"/>
    <w:semiHidden/>
    <w:rsid w:val="00DC0D01"/>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DC0D0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DC0D01"/>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DC0D01"/>
    <w:pPr>
      <w:spacing w:before="240" w:after="240"/>
      <w:ind w:firstLine="284"/>
      <w:jc w:val="both"/>
    </w:pPr>
  </w:style>
  <w:style w:type="paragraph" w:customStyle="1" w:styleId="parNadpisPrvkuCerveny">
    <w:name w:val="parNadpisPrvkuCerveny"/>
    <w:basedOn w:val="Normln"/>
    <w:next w:val="Tlotextu"/>
    <w:uiPriority w:val="14"/>
    <w:qFormat/>
    <w:rsid w:val="00DC0D01"/>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DC0D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0D01"/>
    <w:rPr>
      <w:rFonts w:ascii="Tahoma" w:hAnsi="Tahoma" w:cs="Tahoma"/>
      <w:sz w:val="16"/>
      <w:szCs w:val="16"/>
    </w:rPr>
  </w:style>
  <w:style w:type="table" w:styleId="Mkatabulky">
    <w:name w:val="Table Grid"/>
    <w:basedOn w:val="Normlntabulka"/>
    <w:rsid w:val="00DC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DC0D01"/>
    <w:rPr>
      <w:color w:val="006600"/>
    </w:rPr>
  </w:style>
  <w:style w:type="paragraph" w:customStyle="1" w:styleId="parNadpisPrvkuModry">
    <w:name w:val="parNadpisPrvkuModry"/>
    <w:basedOn w:val="parNadpisPrvkuZeleny"/>
    <w:next w:val="Tlotextu"/>
    <w:uiPriority w:val="14"/>
    <w:qFormat/>
    <w:rsid w:val="00DC0D01"/>
    <w:rPr>
      <w:color w:val="000066"/>
    </w:rPr>
  </w:style>
  <w:style w:type="paragraph" w:customStyle="1" w:styleId="parNadpisPrvkuOranzovy">
    <w:name w:val="parNadpisPrvkuOranzovy"/>
    <w:basedOn w:val="parNadpisPrvkuModry"/>
    <w:next w:val="Tlotextu"/>
    <w:uiPriority w:val="14"/>
    <w:qFormat/>
    <w:rsid w:val="00DC0D01"/>
    <w:rPr>
      <w:color w:val="981E3A"/>
    </w:rPr>
  </w:style>
  <w:style w:type="paragraph" w:styleId="Bezmezer">
    <w:name w:val="No Spacing"/>
    <w:link w:val="BezmezerChar"/>
    <w:uiPriority w:val="1"/>
    <w:qFormat/>
    <w:rsid w:val="00DC0D01"/>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DC0D01"/>
    <w:rPr>
      <w:rFonts w:eastAsiaTheme="minorEastAsia"/>
      <w:lang w:eastAsia="cs-CZ"/>
    </w:rPr>
  </w:style>
  <w:style w:type="paragraph" w:styleId="Normlnweb">
    <w:name w:val="Normal (Web)"/>
    <w:basedOn w:val="Normln"/>
    <w:link w:val="NormlnwebChar"/>
    <w:uiPriority w:val="99"/>
    <w:unhideWhenUsed/>
    <w:rsid w:val="00DC0D01"/>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DC0D01"/>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DC0D01"/>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DC0D01"/>
    <w:rPr>
      <w:rFonts w:ascii="Times New Roman" w:hAnsi="Times New Roman"/>
      <w:sz w:val="24"/>
    </w:rPr>
  </w:style>
  <w:style w:type="paragraph" w:styleId="Zpat">
    <w:name w:val="footer"/>
    <w:basedOn w:val="Normln"/>
    <w:link w:val="ZpatChar"/>
    <w:uiPriority w:val="99"/>
    <w:unhideWhenUsed/>
    <w:rsid w:val="00DC0D01"/>
    <w:pPr>
      <w:tabs>
        <w:tab w:val="center" w:pos="4536"/>
        <w:tab w:val="right" w:pos="9072"/>
      </w:tabs>
      <w:spacing w:after="0" w:line="240" w:lineRule="auto"/>
    </w:pPr>
  </w:style>
  <w:style w:type="character" w:customStyle="1" w:styleId="ZpatChar">
    <w:name w:val="Zápatí Char"/>
    <w:basedOn w:val="Standardnpsmoodstavce"/>
    <w:link w:val="Zpat"/>
    <w:uiPriority w:val="99"/>
    <w:rsid w:val="00DC0D01"/>
    <w:rPr>
      <w:rFonts w:ascii="Times New Roman" w:hAnsi="Times New Roman"/>
      <w:sz w:val="24"/>
    </w:rPr>
  </w:style>
  <w:style w:type="character" w:styleId="Hypertextovodkaz">
    <w:name w:val="Hyperlink"/>
    <w:basedOn w:val="Standardnpsmoodstavce"/>
    <w:uiPriority w:val="99"/>
    <w:unhideWhenUsed/>
    <w:rsid w:val="00DC0D01"/>
    <w:rPr>
      <w:color w:val="000080"/>
      <w:u w:val="single"/>
    </w:rPr>
  </w:style>
  <w:style w:type="paragraph" w:styleId="Nadpisobsahu">
    <w:name w:val="TOC Heading"/>
    <w:basedOn w:val="Nadpis1"/>
    <w:next w:val="Normln"/>
    <w:uiPriority w:val="39"/>
    <w:semiHidden/>
    <w:unhideWhenUsed/>
    <w:qFormat/>
    <w:rsid w:val="00DC0D01"/>
    <w:pPr>
      <w:pageBreakBefore w:val="0"/>
      <w:numPr>
        <w:numId w:val="0"/>
      </w:numPr>
      <w:spacing w:after="0"/>
      <w:outlineLvl w:val="9"/>
    </w:pPr>
    <w:rPr>
      <w:rFonts w:asciiTheme="majorHAnsi" w:hAnsiTheme="majorHAnsi"/>
      <w:caps w:val="0"/>
      <w:color w:val="2F5496" w:themeColor="accent1" w:themeShade="BF"/>
      <w:lang w:eastAsia="cs-CZ"/>
    </w:rPr>
  </w:style>
  <w:style w:type="paragraph" w:styleId="Obsah1">
    <w:name w:val="toc 1"/>
    <w:basedOn w:val="Normln"/>
    <w:next w:val="Normln"/>
    <w:autoRedefine/>
    <w:uiPriority w:val="39"/>
    <w:unhideWhenUsed/>
    <w:rsid w:val="00DC0D01"/>
    <w:pPr>
      <w:spacing w:after="100"/>
    </w:pPr>
    <w:rPr>
      <w:caps/>
    </w:rPr>
  </w:style>
  <w:style w:type="paragraph" w:styleId="Obsah2">
    <w:name w:val="toc 2"/>
    <w:basedOn w:val="Normln"/>
    <w:next w:val="Normln"/>
    <w:autoRedefine/>
    <w:uiPriority w:val="39"/>
    <w:unhideWhenUsed/>
    <w:rsid w:val="00DC0D01"/>
    <w:pPr>
      <w:spacing w:after="100"/>
      <w:ind w:left="240"/>
    </w:pPr>
  </w:style>
  <w:style w:type="paragraph" w:styleId="Obsah3">
    <w:name w:val="toc 3"/>
    <w:basedOn w:val="Normln"/>
    <w:next w:val="Normln"/>
    <w:autoRedefine/>
    <w:uiPriority w:val="39"/>
    <w:unhideWhenUsed/>
    <w:rsid w:val="00DC0D01"/>
    <w:pPr>
      <w:spacing w:after="100"/>
      <w:ind w:left="480"/>
    </w:pPr>
  </w:style>
  <w:style w:type="paragraph" w:customStyle="1" w:styleId="Nadpis1neslovan">
    <w:name w:val="Nadpis 1 nečíslovaný"/>
    <w:basedOn w:val="Nadpis1"/>
    <w:next w:val="Normln"/>
    <w:uiPriority w:val="17"/>
    <w:qFormat/>
    <w:rsid w:val="00DC0D01"/>
    <w:pPr>
      <w:numPr>
        <w:numId w:val="0"/>
      </w:numPr>
    </w:pPr>
  </w:style>
  <w:style w:type="paragraph" w:customStyle="1" w:styleId="parUkonceniPrvku">
    <w:name w:val="parUkonceniPrvku"/>
    <w:basedOn w:val="Tlotextu"/>
    <w:next w:val="Tlotextu"/>
    <w:uiPriority w:val="15"/>
    <w:qFormat/>
    <w:rsid w:val="00DC0D01"/>
    <w:pPr>
      <w:pBdr>
        <w:top w:val="threeDEngrave" w:sz="24" w:space="1" w:color="auto"/>
      </w:pBdr>
      <w:spacing w:before="0" w:after="120"/>
    </w:pPr>
  </w:style>
  <w:style w:type="paragraph" w:customStyle="1" w:styleId="parOdrazky01">
    <w:name w:val="parOdrazky01"/>
    <w:basedOn w:val="Tlotextu"/>
    <w:uiPriority w:val="6"/>
    <w:qFormat/>
    <w:rsid w:val="00DC0D01"/>
    <w:pPr>
      <w:numPr>
        <w:numId w:val="2"/>
      </w:numPr>
      <w:ind w:left="641" w:hanging="357"/>
      <w:contextualSpacing/>
    </w:pPr>
  </w:style>
  <w:style w:type="character" w:styleId="Zdraznn">
    <w:name w:val="Emphasis"/>
    <w:basedOn w:val="Standardnpsmoodstavce"/>
    <w:uiPriority w:val="20"/>
    <w:rsid w:val="00DC0D01"/>
    <w:rPr>
      <w:i/>
      <w:iCs/>
    </w:rPr>
  </w:style>
  <w:style w:type="character" w:styleId="Zdraznnjemn">
    <w:name w:val="Subtle Emphasis"/>
    <w:basedOn w:val="Standardnpsmoodstavce"/>
    <w:uiPriority w:val="19"/>
    <w:rsid w:val="00DC0D01"/>
    <w:rPr>
      <w:i/>
      <w:iCs/>
      <w:color w:val="808080" w:themeColor="text1" w:themeTint="7F"/>
    </w:rPr>
  </w:style>
  <w:style w:type="character" w:styleId="Siln">
    <w:name w:val="Strong"/>
    <w:basedOn w:val="Standardnpsmoodstavce"/>
    <w:uiPriority w:val="22"/>
    <w:rsid w:val="00DC0D01"/>
    <w:rPr>
      <w:b/>
      <w:bCs/>
    </w:rPr>
  </w:style>
  <w:style w:type="paragraph" w:customStyle="1" w:styleId="parNadpisSeznamu">
    <w:name w:val="parNadpisSeznamu"/>
    <w:basedOn w:val="Tlotextu"/>
    <w:next w:val="Tlotextu"/>
    <w:link w:val="parNadpisSeznamuChar"/>
    <w:uiPriority w:val="5"/>
    <w:qFormat/>
    <w:rsid w:val="00DC0D01"/>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DC0D01"/>
    <w:rPr>
      <w:u w:val="single"/>
    </w:rPr>
  </w:style>
  <w:style w:type="paragraph" w:customStyle="1" w:styleId="parNadpisSeznamuTucny">
    <w:name w:val="parNadpisSeznamuTucny"/>
    <w:basedOn w:val="parNadpisSeznamuPodtrzeny"/>
    <w:link w:val="parNadpisSeznamuTucnyChar"/>
    <w:uiPriority w:val="19"/>
    <w:rsid w:val="00DC0D01"/>
    <w:rPr>
      <w:b/>
    </w:rPr>
  </w:style>
  <w:style w:type="paragraph" w:customStyle="1" w:styleId="parNadpisSeznamuTucnyPodtrzeny">
    <w:name w:val="parNadpisSeznamuTucnyPodtrzeny"/>
    <w:basedOn w:val="parNadpisSeznamuTucny"/>
    <w:uiPriority w:val="19"/>
    <w:rsid w:val="00DC0D01"/>
  </w:style>
  <w:style w:type="character" w:customStyle="1" w:styleId="znakMarginalie">
    <w:name w:val="znakMarginalie"/>
    <w:basedOn w:val="Siln"/>
    <w:uiPriority w:val="18"/>
    <w:qFormat/>
    <w:rsid w:val="00DC0D01"/>
    <w:rPr>
      <w:rFonts w:ascii="Arial" w:hAnsi="Arial"/>
      <w:b/>
      <w:bCs/>
      <w:i/>
      <w:sz w:val="16"/>
    </w:rPr>
  </w:style>
  <w:style w:type="character" w:styleId="Zstupntext">
    <w:name w:val="Placeholder Text"/>
    <w:basedOn w:val="Standardnpsmoodstavce"/>
    <w:uiPriority w:val="99"/>
    <w:semiHidden/>
    <w:rsid w:val="00DC0D01"/>
    <w:rPr>
      <w:color w:val="808080"/>
    </w:rPr>
  </w:style>
  <w:style w:type="paragraph" w:styleId="Titulek">
    <w:name w:val="caption"/>
    <w:basedOn w:val="Normln"/>
    <w:next w:val="Normln"/>
    <w:uiPriority w:val="35"/>
    <w:unhideWhenUsed/>
    <w:qFormat/>
    <w:rsid w:val="00DC0D01"/>
    <w:pPr>
      <w:spacing w:line="240" w:lineRule="auto"/>
    </w:pPr>
    <w:rPr>
      <w:b/>
      <w:bCs/>
      <w:szCs w:val="18"/>
    </w:rPr>
  </w:style>
  <w:style w:type="paragraph" w:customStyle="1" w:styleId="parCislovani01">
    <w:name w:val="parCislovani01"/>
    <w:basedOn w:val="parOdrazky01"/>
    <w:uiPriority w:val="6"/>
    <w:qFormat/>
    <w:rsid w:val="00DC0D01"/>
    <w:pPr>
      <w:numPr>
        <w:numId w:val="3"/>
      </w:numPr>
      <w:tabs>
        <w:tab w:val="num" w:pos="360"/>
      </w:tabs>
      <w:ind w:left="641" w:hanging="357"/>
    </w:pPr>
  </w:style>
  <w:style w:type="character" w:styleId="Nzevknihy">
    <w:name w:val="Book Title"/>
    <w:basedOn w:val="Standardnpsmoodstavce"/>
    <w:uiPriority w:val="33"/>
    <w:rsid w:val="00DC0D01"/>
    <w:rPr>
      <w:b/>
      <w:bCs/>
      <w:iCs/>
      <w:color w:val="981E3A"/>
      <w:spacing w:val="5"/>
      <w:sz w:val="56"/>
      <w:szCs w:val="56"/>
    </w:rPr>
  </w:style>
  <w:style w:type="paragraph" w:customStyle="1" w:styleId="autoi">
    <w:name w:val="autoři"/>
    <w:basedOn w:val="Normlnweb"/>
    <w:link w:val="autoiChar"/>
    <w:uiPriority w:val="19"/>
    <w:rsid w:val="00DC0D01"/>
    <w:pPr>
      <w:spacing w:before="0" w:after="0"/>
      <w:ind w:firstLine="0"/>
      <w:jc w:val="center"/>
    </w:pPr>
    <w:rPr>
      <w:b/>
      <w:bCs/>
      <w:sz w:val="36"/>
      <w:szCs w:val="36"/>
    </w:rPr>
  </w:style>
  <w:style w:type="character" w:customStyle="1" w:styleId="autoiChar">
    <w:name w:val="autoři Char"/>
    <w:basedOn w:val="NormlnwebChar"/>
    <w:link w:val="autoi"/>
    <w:uiPriority w:val="19"/>
    <w:rsid w:val="00DC0D01"/>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C0D01"/>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DC0D01"/>
    <w:pPr>
      <w:ind w:left="720"/>
      <w:contextualSpacing/>
    </w:pPr>
  </w:style>
  <w:style w:type="paragraph" w:styleId="Textpoznpodarou">
    <w:name w:val="footnote text"/>
    <w:basedOn w:val="Normln"/>
    <w:link w:val="TextpoznpodarouChar"/>
    <w:uiPriority w:val="99"/>
    <w:semiHidden/>
    <w:unhideWhenUsed/>
    <w:rsid w:val="00DC0D0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0D01"/>
    <w:rPr>
      <w:rFonts w:ascii="Times New Roman" w:hAnsi="Times New Roman"/>
      <w:sz w:val="20"/>
      <w:szCs w:val="20"/>
    </w:rPr>
  </w:style>
  <w:style w:type="character" w:styleId="Znakapoznpodarou">
    <w:name w:val="footnote reference"/>
    <w:basedOn w:val="Standardnpsmoodstavce"/>
    <w:uiPriority w:val="99"/>
    <w:semiHidden/>
    <w:unhideWhenUsed/>
    <w:rsid w:val="00DC0D01"/>
    <w:rPr>
      <w:vertAlign w:val="superscript"/>
    </w:rPr>
  </w:style>
  <w:style w:type="character" w:styleId="Odkaznakoment">
    <w:name w:val="annotation reference"/>
    <w:basedOn w:val="Standardnpsmoodstavce"/>
    <w:uiPriority w:val="99"/>
    <w:semiHidden/>
    <w:unhideWhenUsed/>
    <w:rsid w:val="00DC0D01"/>
    <w:rPr>
      <w:sz w:val="16"/>
      <w:szCs w:val="16"/>
    </w:rPr>
  </w:style>
  <w:style w:type="paragraph" w:styleId="Textkomente">
    <w:name w:val="annotation text"/>
    <w:basedOn w:val="Normln"/>
    <w:link w:val="TextkomenteChar"/>
    <w:uiPriority w:val="99"/>
    <w:semiHidden/>
    <w:unhideWhenUsed/>
    <w:rsid w:val="00DC0D01"/>
    <w:pPr>
      <w:spacing w:line="240" w:lineRule="auto"/>
    </w:pPr>
    <w:rPr>
      <w:sz w:val="20"/>
      <w:szCs w:val="20"/>
    </w:rPr>
  </w:style>
  <w:style w:type="character" w:customStyle="1" w:styleId="TextkomenteChar">
    <w:name w:val="Text komentáře Char"/>
    <w:basedOn w:val="Standardnpsmoodstavce"/>
    <w:link w:val="Textkomente"/>
    <w:uiPriority w:val="99"/>
    <w:semiHidden/>
    <w:rsid w:val="00DC0D0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C0D01"/>
    <w:rPr>
      <w:b/>
      <w:bCs/>
    </w:rPr>
  </w:style>
  <w:style w:type="character" w:customStyle="1" w:styleId="PedmtkomenteChar">
    <w:name w:val="Předmět komentáře Char"/>
    <w:basedOn w:val="TextkomenteChar"/>
    <w:link w:val="Pedmtkomente"/>
    <w:uiPriority w:val="99"/>
    <w:semiHidden/>
    <w:rsid w:val="00DC0D01"/>
    <w:rPr>
      <w:rFonts w:ascii="Times New Roman" w:hAnsi="Times New Roman"/>
      <w:b/>
      <w:bCs/>
      <w:sz w:val="20"/>
      <w:szCs w:val="20"/>
    </w:rPr>
  </w:style>
  <w:style w:type="paragraph" w:customStyle="1" w:styleId="Default">
    <w:name w:val="Default"/>
    <w:rsid w:val="00DC0D01"/>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DC0D01"/>
    <w:pPr>
      <w:ind w:firstLine="0"/>
    </w:pPr>
    <w:rPr>
      <w:smallCaps/>
      <w:color w:val="981E3A"/>
    </w:rPr>
  </w:style>
  <w:style w:type="character" w:styleId="Sledovanodkaz">
    <w:name w:val="FollowedHyperlink"/>
    <w:basedOn w:val="Standardnpsmoodstavce"/>
    <w:uiPriority w:val="99"/>
    <w:semiHidden/>
    <w:unhideWhenUsed/>
    <w:rsid w:val="00DC0D01"/>
    <w:rPr>
      <w:color w:val="954F72" w:themeColor="followedHyperlink"/>
      <w:u w:val="single"/>
    </w:rPr>
  </w:style>
  <w:style w:type="character" w:customStyle="1" w:styleId="TlotextuChar">
    <w:name w:val="Tělo textu Char"/>
    <w:basedOn w:val="Standardnpsmoodstavce"/>
    <w:link w:val="Tlotextu"/>
    <w:rsid w:val="00DC0D01"/>
    <w:rPr>
      <w:rFonts w:ascii="Times New Roman" w:hAnsi="Times New Roman"/>
      <w:sz w:val="24"/>
    </w:rPr>
  </w:style>
  <w:style w:type="character" w:customStyle="1" w:styleId="parNadpisSeznamuChar">
    <w:name w:val="parNadpisSeznamu Char"/>
    <w:basedOn w:val="TlotextuChar"/>
    <w:link w:val="parNadpisSeznamu"/>
    <w:uiPriority w:val="5"/>
    <w:rsid w:val="00DC0D0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DC0D0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DC0D01"/>
    <w:rPr>
      <w:rFonts w:ascii="Times New Roman" w:hAnsi="Times New Roman"/>
      <w:b/>
      <w:sz w:val="24"/>
      <w:u w:val="single"/>
    </w:rPr>
  </w:style>
  <w:style w:type="character" w:customStyle="1" w:styleId="NadpisChar">
    <w:name w:val="Nadpis Char"/>
    <w:basedOn w:val="parNadpisSeznamuTucnyChar"/>
    <w:link w:val="Nadpis"/>
    <w:uiPriority w:val="1"/>
    <w:rsid w:val="00DC0D01"/>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734">
      <w:bodyDiv w:val="1"/>
      <w:marLeft w:val="0"/>
      <w:marRight w:val="0"/>
      <w:marTop w:val="0"/>
      <w:marBottom w:val="0"/>
      <w:divBdr>
        <w:top w:val="none" w:sz="0" w:space="0" w:color="auto"/>
        <w:left w:val="none" w:sz="0" w:space="0" w:color="auto"/>
        <w:bottom w:val="none" w:sz="0" w:space="0" w:color="auto"/>
        <w:right w:val="none" w:sz="0" w:space="0" w:color="auto"/>
      </w:divBdr>
      <w:divsChild>
        <w:div w:id="1980722276">
          <w:marLeft w:val="446"/>
          <w:marRight w:val="0"/>
          <w:marTop w:val="0"/>
          <w:marBottom w:val="0"/>
          <w:divBdr>
            <w:top w:val="none" w:sz="0" w:space="0" w:color="auto"/>
            <w:left w:val="none" w:sz="0" w:space="0" w:color="auto"/>
            <w:bottom w:val="none" w:sz="0" w:space="0" w:color="auto"/>
            <w:right w:val="none" w:sz="0" w:space="0" w:color="auto"/>
          </w:divBdr>
        </w:div>
        <w:div w:id="1012806496">
          <w:marLeft w:val="446"/>
          <w:marRight w:val="0"/>
          <w:marTop w:val="0"/>
          <w:marBottom w:val="0"/>
          <w:divBdr>
            <w:top w:val="none" w:sz="0" w:space="0" w:color="auto"/>
            <w:left w:val="none" w:sz="0" w:space="0" w:color="auto"/>
            <w:bottom w:val="none" w:sz="0" w:space="0" w:color="auto"/>
            <w:right w:val="none" w:sz="0" w:space="0" w:color="auto"/>
          </w:divBdr>
        </w:div>
        <w:div w:id="2114787249">
          <w:marLeft w:val="446"/>
          <w:marRight w:val="0"/>
          <w:marTop w:val="0"/>
          <w:marBottom w:val="0"/>
          <w:divBdr>
            <w:top w:val="none" w:sz="0" w:space="0" w:color="auto"/>
            <w:left w:val="none" w:sz="0" w:space="0" w:color="auto"/>
            <w:bottom w:val="none" w:sz="0" w:space="0" w:color="auto"/>
            <w:right w:val="none" w:sz="0" w:space="0" w:color="auto"/>
          </w:divBdr>
        </w:div>
      </w:divsChild>
    </w:div>
    <w:div w:id="606543306">
      <w:bodyDiv w:val="1"/>
      <w:marLeft w:val="0"/>
      <w:marRight w:val="0"/>
      <w:marTop w:val="0"/>
      <w:marBottom w:val="0"/>
      <w:divBdr>
        <w:top w:val="none" w:sz="0" w:space="0" w:color="auto"/>
        <w:left w:val="none" w:sz="0" w:space="0" w:color="auto"/>
        <w:bottom w:val="none" w:sz="0" w:space="0" w:color="auto"/>
        <w:right w:val="none" w:sz="0" w:space="0" w:color="auto"/>
      </w:divBdr>
      <w:divsChild>
        <w:div w:id="223302440">
          <w:marLeft w:val="360"/>
          <w:marRight w:val="0"/>
          <w:marTop w:val="200"/>
          <w:marBottom w:val="0"/>
          <w:divBdr>
            <w:top w:val="none" w:sz="0" w:space="0" w:color="auto"/>
            <w:left w:val="none" w:sz="0" w:space="0" w:color="auto"/>
            <w:bottom w:val="none" w:sz="0" w:space="0" w:color="auto"/>
            <w:right w:val="none" w:sz="0" w:space="0" w:color="auto"/>
          </w:divBdr>
        </w:div>
        <w:div w:id="1590581078">
          <w:marLeft w:val="360"/>
          <w:marRight w:val="0"/>
          <w:marTop w:val="200"/>
          <w:marBottom w:val="0"/>
          <w:divBdr>
            <w:top w:val="none" w:sz="0" w:space="0" w:color="auto"/>
            <w:left w:val="none" w:sz="0" w:space="0" w:color="auto"/>
            <w:bottom w:val="none" w:sz="0" w:space="0" w:color="auto"/>
            <w:right w:val="none" w:sz="0" w:space="0" w:color="auto"/>
          </w:divBdr>
        </w:div>
        <w:div w:id="1870949793">
          <w:marLeft w:val="360"/>
          <w:marRight w:val="0"/>
          <w:marTop w:val="200"/>
          <w:marBottom w:val="0"/>
          <w:divBdr>
            <w:top w:val="none" w:sz="0" w:space="0" w:color="auto"/>
            <w:left w:val="none" w:sz="0" w:space="0" w:color="auto"/>
            <w:bottom w:val="none" w:sz="0" w:space="0" w:color="auto"/>
            <w:right w:val="none" w:sz="0" w:space="0" w:color="auto"/>
          </w:divBdr>
        </w:div>
        <w:div w:id="1347444095">
          <w:marLeft w:val="360"/>
          <w:marRight w:val="0"/>
          <w:marTop w:val="200"/>
          <w:marBottom w:val="0"/>
          <w:divBdr>
            <w:top w:val="none" w:sz="0" w:space="0" w:color="auto"/>
            <w:left w:val="none" w:sz="0" w:space="0" w:color="auto"/>
            <w:bottom w:val="none" w:sz="0" w:space="0" w:color="auto"/>
            <w:right w:val="none" w:sz="0" w:space="0" w:color="auto"/>
          </w:divBdr>
        </w:div>
        <w:div w:id="2116971582">
          <w:marLeft w:val="360"/>
          <w:marRight w:val="0"/>
          <w:marTop w:val="200"/>
          <w:marBottom w:val="0"/>
          <w:divBdr>
            <w:top w:val="none" w:sz="0" w:space="0" w:color="auto"/>
            <w:left w:val="none" w:sz="0" w:space="0" w:color="auto"/>
            <w:bottom w:val="none" w:sz="0" w:space="0" w:color="auto"/>
            <w:right w:val="none" w:sz="0" w:space="0" w:color="auto"/>
          </w:divBdr>
        </w:div>
        <w:div w:id="1033842095">
          <w:marLeft w:val="360"/>
          <w:marRight w:val="0"/>
          <w:marTop w:val="200"/>
          <w:marBottom w:val="0"/>
          <w:divBdr>
            <w:top w:val="none" w:sz="0" w:space="0" w:color="auto"/>
            <w:left w:val="none" w:sz="0" w:space="0" w:color="auto"/>
            <w:bottom w:val="none" w:sz="0" w:space="0" w:color="auto"/>
            <w:right w:val="none" w:sz="0" w:space="0" w:color="auto"/>
          </w:divBdr>
        </w:div>
        <w:div w:id="1801263070">
          <w:marLeft w:val="360"/>
          <w:marRight w:val="0"/>
          <w:marTop w:val="200"/>
          <w:marBottom w:val="0"/>
          <w:divBdr>
            <w:top w:val="none" w:sz="0" w:space="0" w:color="auto"/>
            <w:left w:val="none" w:sz="0" w:space="0" w:color="auto"/>
            <w:bottom w:val="none" w:sz="0" w:space="0" w:color="auto"/>
            <w:right w:val="none" w:sz="0" w:space="0" w:color="auto"/>
          </w:divBdr>
        </w:div>
      </w:divsChild>
    </w:div>
    <w:div w:id="684405149">
      <w:bodyDiv w:val="1"/>
      <w:marLeft w:val="0"/>
      <w:marRight w:val="0"/>
      <w:marTop w:val="0"/>
      <w:marBottom w:val="0"/>
      <w:divBdr>
        <w:top w:val="none" w:sz="0" w:space="0" w:color="auto"/>
        <w:left w:val="none" w:sz="0" w:space="0" w:color="auto"/>
        <w:bottom w:val="none" w:sz="0" w:space="0" w:color="auto"/>
        <w:right w:val="none" w:sz="0" w:space="0" w:color="auto"/>
      </w:divBdr>
    </w:div>
    <w:div w:id="1168522554">
      <w:bodyDiv w:val="1"/>
      <w:marLeft w:val="0"/>
      <w:marRight w:val="0"/>
      <w:marTop w:val="0"/>
      <w:marBottom w:val="0"/>
      <w:divBdr>
        <w:top w:val="none" w:sz="0" w:space="0" w:color="auto"/>
        <w:left w:val="none" w:sz="0" w:space="0" w:color="auto"/>
        <w:bottom w:val="none" w:sz="0" w:space="0" w:color="auto"/>
        <w:right w:val="none" w:sz="0" w:space="0" w:color="auto"/>
      </w:divBdr>
    </w:div>
    <w:div w:id="13153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542B-5B2B-469B-B1A1-124807D5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863</Words>
  <Characters>5097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Kovaliková</dc:creator>
  <cp:keywords/>
  <dc:description/>
  <cp:lastModifiedBy>Jaroslava Malá</cp:lastModifiedBy>
  <cp:revision>6</cp:revision>
  <cp:lastPrinted>2024-02-26T09:44:00Z</cp:lastPrinted>
  <dcterms:created xsi:type="dcterms:W3CDTF">2024-10-20T16:25:00Z</dcterms:created>
  <dcterms:modified xsi:type="dcterms:W3CDTF">2024-10-20T16:33:00Z</dcterms:modified>
</cp:coreProperties>
</file>