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E9" w:rsidRPr="00362C2F" w:rsidRDefault="00892DE9" w:rsidP="00892DE9">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val="en-GB" w:eastAsia="cs-CZ"/>
        </w:rPr>
      </w:pPr>
      <w:r w:rsidRPr="00362C2F">
        <w:rPr>
          <w:rFonts w:ascii="Times New Roman" w:eastAsia="Times New Roman" w:hAnsi="Times New Roman" w:cs="Times New Roman"/>
          <w:b/>
          <w:bCs/>
          <w:kern w:val="36"/>
          <w:sz w:val="24"/>
          <w:szCs w:val="24"/>
          <w:u w:val="single"/>
          <w:lang w:val="en-GB" w:eastAsia="cs-CZ"/>
        </w:rPr>
        <w:t>Education policy</w:t>
      </w:r>
    </w:p>
    <w:p w:rsidR="00892DE9" w:rsidRPr="00362C2F" w:rsidRDefault="00892DE9" w:rsidP="00892DE9">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62C2F">
        <w:rPr>
          <w:rFonts w:ascii="Times New Roman" w:eastAsia="Times New Roman" w:hAnsi="Times New Roman" w:cs="Times New Roman"/>
          <w:bCs/>
          <w:sz w:val="24"/>
          <w:szCs w:val="24"/>
          <w:lang w:val="en-GB" w:eastAsia="cs-CZ"/>
        </w:rPr>
        <w:t>Education policy</w:t>
      </w:r>
      <w:r w:rsidRPr="00362C2F">
        <w:rPr>
          <w:rFonts w:ascii="Times New Roman" w:eastAsia="Times New Roman" w:hAnsi="Times New Roman" w:cs="Times New Roman"/>
          <w:sz w:val="24"/>
          <w:szCs w:val="24"/>
          <w:lang w:val="en-GB" w:eastAsia="cs-CZ"/>
        </w:rPr>
        <w:t xml:space="preserve"> consists of the principles and </w:t>
      </w:r>
      <w:hyperlink r:id="rId4" w:tooltip="Public policy" w:history="1">
        <w:r w:rsidRPr="00362C2F">
          <w:rPr>
            <w:rFonts w:ascii="Times New Roman" w:eastAsia="Times New Roman" w:hAnsi="Times New Roman" w:cs="Times New Roman"/>
            <w:sz w:val="24"/>
            <w:szCs w:val="24"/>
            <w:lang w:val="en-GB" w:eastAsia="cs-CZ"/>
          </w:rPr>
          <w:t>government policies</w:t>
        </w:r>
      </w:hyperlink>
      <w:r w:rsidRPr="00362C2F">
        <w:rPr>
          <w:rFonts w:ascii="Times New Roman" w:eastAsia="Times New Roman" w:hAnsi="Times New Roman" w:cs="Times New Roman"/>
          <w:sz w:val="24"/>
          <w:szCs w:val="24"/>
          <w:lang w:val="en-GB" w:eastAsia="cs-CZ"/>
        </w:rPr>
        <w:t xml:space="preserve"> in the educational sphere as well as the collection of laws and rules that govern the operation of </w:t>
      </w:r>
      <w:hyperlink r:id="rId5" w:tooltip="Education" w:history="1">
        <w:r w:rsidRPr="00362C2F">
          <w:rPr>
            <w:rFonts w:ascii="Times New Roman" w:eastAsia="Times New Roman" w:hAnsi="Times New Roman" w:cs="Times New Roman"/>
            <w:sz w:val="24"/>
            <w:szCs w:val="24"/>
            <w:lang w:val="en-GB" w:eastAsia="cs-CZ"/>
          </w:rPr>
          <w:t>education</w:t>
        </w:r>
      </w:hyperlink>
      <w:r w:rsidRPr="00362C2F">
        <w:rPr>
          <w:rFonts w:ascii="Times New Roman" w:eastAsia="Times New Roman" w:hAnsi="Times New Roman" w:cs="Times New Roman"/>
          <w:sz w:val="24"/>
          <w:szCs w:val="24"/>
          <w:lang w:val="en-GB" w:eastAsia="cs-CZ"/>
        </w:rPr>
        <w:t xml:space="preserve"> systems. </w:t>
      </w:r>
    </w:p>
    <w:p w:rsidR="00892DE9" w:rsidRPr="00362C2F" w:rsidRDefault="00892DE9" w:rsidP="00892DE9">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62C2F">
        <w:rPr>
          <w:rFonts w:ascii="Times New Roman" w:eastAsia="Times New Roman" w:hAnsi="Times New Roman" w:cs="Times New Roman"/>
          <w:sz w:val="24"/>
          <w:szCs w:val="24"/>
          <w:lang w:val="en-GB" w:eastAsia="cs-CZ"/>
        </w:rPr>
        <w:t xml:space="preserve">Education occurs in many forms for many purposes through many institutions. Examples include </w:t>
      </w:r>
      <w:hyperlink r:id="rId6" w:tooltip="Early childhood education" w:history="1">
        <w:r w:rsidRPr="00362C2F">
          <w:rPr>
            <w:rFonts w:ascii="Times New Roman" w:eastAsia="Times New Roman" w:hAnsi="Times New Roman" w:cs="Times New Roman"/>
            <w:sz w:val="24"/>
            <w:szCs w:val="24"/>
            <w:lang w:val="en-GB" w:eastAsia="cs-CZ"/>
          </w:rPr>
          <w:t>early childhood education</w:t>
        </w:r>
      </w:hyperlink>
      <w:r w:rsidRPr="00362C2F">
        <w:rPr>
          <w:rFonts w:ascii="Times New Roman" w:eastAsia="Times New Roman" w:hAnsi="Times New Roman" w:cs="Times New Roman"/>
          <w:sz w:val="24"/>
          <w:szCs w:val="24"/>
          <w:lang w:val="en-GB" w:eastAsia="cs-CZ"/>
        </w:rPr>
        <w:t xml:space="preserve">, </w:t>
      </w:r>
      <w:hyperlink r:id="rId7" w:tooltip="Kindergarten" w:history="1">
        <w:r w:rsidRPr="00362C2F">
          <w:rPr>
            <w:rFonts w:ascii="Times New Roman" w:eastAsia="Times New Roman" w:hAnsi="Times New Roman" w:cs="Times New Roman"/>
            <w:sz w:val="24"/>
            <w:szCs w:val="24"/>
            <w:lang w:val="en-GB" w:eastAsia="cs-CZ"/>
          </w:rPr>
          <w:t>kindergarten</w:t>
        </w:r>
      </w:hyperlink>
      <w:r w:rsidRPr="00362C2F">
        <w:rPr>
          <w:rFonts w:ascii="Times New Roman" w:eastAsia="Times New Roman" w:hAnsi="Times New Roman" w:cs="Times New Roman"/>
          <w:sz w:val="24"/>
          <w:szCs w:val="24"/>
          <w:lang w:val="en-GB" w:eastAsia="cs-CZ"/>
        </w:rPr>
        <w:t xml:space="preserve"> through to </w:t>
      </w:r>
      <w:r w:rsidR="00362C2F" w:rsidRPr="00362C2F">
        <w:rPr>
          <w:rFonts w:ascii="Times New Roman" w:eastAsia="Times New Roman" w:hAnsi="Times New Roman" w:cs="Times New Roman"/>
          <w:sz w:val="24"/>
          <w:szCs w:val="24"/>
          <w:lang w:val="en-GB" w:eastAsia="cs-CZ"/>
        </w:rPr>
        <w:t xml:space="preserve">the </w:t>
      </w:r>
      <w:r w:rsidRPr="00362C2F">
        <w:rPr>
          <w:rFonts w:ascii="Times New Roman" w:eastAsia="Times New Roman" w:hAnsi="Times New Roman" w:cs="Times New Roman"/>
          <w:sz w:val="24"/>
          <w:szCs w:val="24"/>
          <w:lang w:val="en-GB" w:eastAsia="cs-CZ"/>
        </w:rPr>
        <w:t xml:space="preserve">12th grade, two and four year colleges or universities, graduate and professional education, adult education and job training. Therefore, education policy can directly affect the education people engage in at all ages. </w:t>
      </w:r>
    </w:p>
    <w:p w:rsidR="00892DE9" w:rsidRPr="00362C2F" w:rsidRDefault="00892DE9" w:rsidP="00892DE9">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62C2F">
        <w:rPr>
          <w:rFonts w:ascii="Times New Roman" w:eastAsia="Times New Roman" w:hAnsi="Times New Roman" w:cs="Times New Roman"/>
          <w:sz w:val="24"/>
          <w:szCs w:val="24"/>
          <w:lang w:val="en-GB" w:eastAsia="cs-CZ"/>
        </w:rPr>
        <w:t xml:space="preserve">Examples of areas subject to debate in education policy, specifically from the field of schools, include school size, class size, school choice, school </w:t>
      </w:r>
      <w:hyperlink r:id="rId8" w:tooltip="Privatization" w:history="1">
        <w:r w:rsidRPr="00362C2F">
          <w:rPr>
            <w:rFonts w:ascii="Times New Roman" w:eastAsia="Times New Roman" w:hAnsi="Times New Roman" w:cs="Times New Roman"/>
            <w:sz w:val="24"/>
            <w:szCs w:val="24"/>
            <w:lang w:val="en-GB" w:eastAsia="cs-CZ"/>
          </w:rPr>
          <w:t>privatization</w:t>
        </w:r>
      </w:hyperlink>
      <w:r w:rsidRPr="00362C2F">
        <w:rPr>
          <w:rFonts w:ascii="Times New Roman" w:eastAsia="Times New Roman" w:hAnsi="Times New Roman" w:cs="Times New Roman"/>
          <w:sz w:val="24"/>
          <w:szCs w:val="24"/>
          <w:lang w:val="en-GB" w:eastAsia="cs-CZ"/>
        </w:rPr>
        <w:t xml:space="preserve">, teacher selection, education and certification, teacher pay, teaching methods, curricular content, graduation requirements, school infrastructure investment, and the values that schools are expected to uphold and model. Issues in education policy also address problems within higher education. </w:t>
      </w:r>
    </w:p>
    <w:p w:rsidR="00892DE9" w:rsidRPr="00362C2F" w:rsidRDefault="00892DE9" w:rsidP="00892DE9">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62C2F">
        <w:rPr>
          <w:rFonts w:ascii="Times New Roman" w:eastAsia="Times New Roman" w:hAnsi="Times New Roman" w:cs="Times New Roman"/>
          <w:sz w:val="24"/>
          <w:szCs w:val="24"/>
          <w:lang w:val="en-GB" w:eastAsia="cs-CZ"/>
        </w:rPr>
        <w:t xml:space="preserve">Education policy analysis is the scholarly study of education policy. It seeks to answer questions about the purpose of education, the objectives (societal and personal) that it is designed to attain, the methods for attaining them and the tools for measuring their success or failure. Research intended to inform education policy is carried out in a wide variety of institutions and in many academic disciplines. Important researchers are affiliated with departments of </w:t>
      </w:r>
      <w:hyperlink r:id="rId9" w:tooltip="Psychology" w:history="1">
        <w:r w:rsidRPr="00362C2F">
          <w:rPr>
            <w:rFonts w:ascii="Times New Roman" w:eastAsia="Times New Roman" w:hAnsi="Times New Roman" w:cs="Times New Roman"/>
            <w:sz w:val="24"/>
            <w:szCs w:val="24"/>
            <w:lang w:val="en-GB" w:eastAsia="cs-CZ"/>
          </w:rPr>
          <w:t>psychology</w:t>
        </w:r>
      </w:hyperlink>
      <w:r w:rsidRPr="00362C2F">
        <w:rPr>
          <w:rFonts w:ascii="Times New Roman" w:eastAsia="Times New Roman" w:hAnsi="Times New Roman" w:cs="Times New Roman"/>
          <w:sz w:val="24"/>
          <w:szCs w:val="24"/>
          <w:lang w:val="en-GB" w:eastAsia="cs-CZ"/>
        </w:rPr>
        <w:t xml:space="preserve">, </w:t>
      </w:r>
      <w:hyperlink r:id="rId10" w:tooltip="Economics" w:history="1">
        <w:r w:rsidRPr="00362C2F">
          <w:rPr>
            <w:rFonts w:ascii="Times New Roman" w:eastAsia="Times New Roman" w:hAnsi="Times New Roman" w:cs="Times New Roman"/>
            <w:sz w:val="24"/>
            <w:szCs w:val="24"/>
            <w:lang w:val="en-GB" w:eastAsia="cs-CZ"/>
          </w:rPr>
          <w:t>economics</w:t>
        </w:r>
      </w:hyperlink>
      <w:r w:rsidRPr="00362C2F">
        <w:rPr>
          <w:rFonts w:ascii="Times New Roman" w:eastAsia="Times New Roman" w:hAnsi="Times New Roman" w:cs="Times New Roman"/>
          <w:sz w:val="24"/>
          <w:szCs w:val="24"/>
          <w:lang w:val="en-GB" w:eastAsia="cs-CZ"/>
        </w:rPr>
        <w:t xml:space="preserve">, </w:t>
      </w:r>
      <w:hyperlink r:id="rId11" w:tooltip="Sociology" w:history="1">
        <w:r w:rsidRPr="00362C2F">
          <w:rPr>
            <w:rFonts w:ascii="Times New Roman" w:eastAsia="Times New Roman" w:hAnsi="Times New Roman" w:cs="Times New Roman"/>
            <w:sz w:val="24"/>
            <w:szCs w:val="24"/>
            <w:lang w:val="en-GB" w:eastAsia="cs-CZ"/>
          </w:rPr>
          <w:t>sociology</w:t>
        </w:r>
      </w:hyperlink>
      <w:r w:rsidRPr="00362C2F">
        <w:rPr>
          <w:rFonts w:ascii="Times New Roman" w:eastAsia="Times New Roman" w:hAnsi="Times New Roman" w:cs="Times New Roman"/>
          <w:sz w:val="24"/>
          <w:szCs w:val="24"/>
          <w:lang w:val="en-GB" w:eastAsia="cs-CZ"/>
        </w:rPr>
        <w:t xml:space="preserve">, and </w:t>
      </w:r>
      <w:hyperlink r:id="rId12" w:tooltip="Developmental psychology" w:history="1">
        <w:r w:rsidRPr="00362C2F">
          <w:rPr>
            <w:rFonts w:ascii="Times New Roman" w:eastAsia="Times New Roman" w:hAnsi="Times New Roman" w:cs="Times New Roman"/>
            <w:sz w:val="24"/>
            <w:szCs w:val="24"/>
            <w:lang w:val="en-GB" w:eastAsia="cs-CZ"/>
          </w:rPr>
          <w:t>human development</w:t>
        </w:r>
      </w:hyperlink>
      <w:r w:rsidRPr="00362C2F">
        <w:rPr>
          <w:rFonts w:ascii="Times New Roman" w:eastAsia="Times New Roman" w:hAnsi="Times New Roman" w:cs="Times New Roman"/>
          <w:sz w:val="24"/>
          <w:szCs w:val="24"/>
          <w:lang w:val="en-GB" w:eastAsia="cs-CZ"/>
        </w:rPr>
        <w:t xml:space="preserve">, in addition to schools and departments of education or public policy. </w:t>
      </w:r>
    </w:p>
    <w:p w:rsidR="00892DE9" w:rsidRPr="00362C2F" w:rsidRDefault="00892DE9" w:rsidP="00892DE9">
      <w:pPr>
        <w:spacing w:before="100" w:beforeAutospacing="1" w:after="100" w:afterAutospacing="1" w:line="23" w:lineRule="atLeast"/>
        <w:jc w:val="both"/>
        <w:outlineLvl w:val="1"/>
        <w:rPr>
          <w:rFonts w:ascii="Times New Roman" w:eastAsia="Times New Roman" w:hAnsi="Times New Roman" w:cs="Times New Roman"/>
          <w:b/>
          <w:bCs/>
          <w:sz w:val="24"/>
          <w:szCs w:val="24"/>
          <w:lang w:val="en-GB" w:eastAsia="cs-CZ"/>
        </w:rPr>
      </w:pPr>
      <w:r w:rsidRPr="00362C2F">
        <w:rPr>
          <w:rFonts w:ascii="Times New Roman" w:eastAsia="Times New Roman" w:hAnsi="Times New Roman" w:cs="Times New Roman"/>
          <w:b/>
          <w:bCs/>
          <w:sz w:val="24"/>
          <w:szCs w:val="24"/>
          <w:lang w:val="en-GB" w:eastAsia="cs-CZ"/>
        </w:rPr>
        <w:t>Education sector</w:t>
      </w:r>
    </w:p>
    <w:p w:rsidR="00892DE9" w:rsidRPr="00362C2F" w:rsidRDefault="00892DE9" w:rsidP="00892DE9">
      <w:pPr>
        <w:spacing w:before="100" w:beforeAutospacing="1" w:after="100" w:afterAutospacing="1" w:line="23" w:lineRule="atLeast"/>
        <w:jc w:val="both"/>
        <w:outlineLvl w:val="1"/>
        <w:rPr>
          <w:rFonts w:ascii="Times New Roman" w:eastAsia="Times New Roman" w:hAnsi="Times New Roman" w:cs="Times New Roman"/>
          <w:b/>
          <w:bCs/>
          <w:sz w:val="24"/>
          <w:szCs w:val="24"/>
          <w:lang w:val="en-GB" w:eastAsia="cs-CZ"/>
        </w:rPr>
      </w:pPr>
      <w:r w:rsidRPr="00362C2F">
        <w:rPr>
          <w:rFonts w:ascii="Times New Roman" w:eastAsia="Times New Roman" w:hAnsi="Times New Roman" w:cs="Times New Roman"/>
          <w:sz w:val="24"/>
          <w:szCs w:val="24"/>
          <w:lang w:val="en-GB" w:eastAsia="cs-CZ"/>
        </w:rPr>
        <w:t>The education sector or education system is a group of institutions (ministries of education, local educational authorities, teacher training institutions, schools, universities, etc.) whose primary purpose is to provide education to children and young people in educational settings. It involves a wide range of people (</w:t>
      </w:r>
      <w:hyperlink r:id="rId13" w:tooltip="Curriculum" w:history="1">
        <w:r w:rsidRPr="00362C2F">
          <w:rPr>
            <w:rFonts w:ascii="Times New Roman" w:eastAsia="Times New Roman" w:hAnsi="Times New Roman" w:cs="Times New Roman"/>
            <w:sz w:val="24"/>
            <w:szCs w:val="24"/>
            <w:lang w:val="en-GB" w:eastAsia="cs-CZ"/>
          </w:rPr>
          <w:t>curriculum</w:t>
        </w:r>
      </w:hyperlink>
      <w:r w:rsidRPr="00362C2F">
        <w:rPr>
          <w:rFonts w:ascii="Times New Roman" w:eastAsia="Times New Roman" w:hAnsi="Times New Roman" w:cs="Times New Roman"/>
          <w:sz w:val="24"/>
          <w:szCs w:val="24"/>
          <w:lang w:val="en-GB" w:eastAsia="cs-CZ"/>
        </w:rPr>
        <w:t xml:space="preserve"> developers, inspectors, school principals, teachers, school nurses, students, etc.). These institutions can vary according to different contexts.</w:t>
      </w:r>
      <w:r w:rsidRPr="00362C2F">
        <w:rPr>
          <w:rFonts w:ascii="Times New Roman" w:eastAsia="Times New Roman" w:hAnsi="Times New Roman" w:cs="Times New Roman"/>
          <w:b/>
          <w:bCs/>
          <w:sz w:val="24"/>
          <w:szCs w:val="24"/>
          <w:lang w:val="en-GB" w:eastAsia="cs-CZ"/>
        </w:rPr>
        <w:t xml:space="preserve"> </w:t>
      </w:r>
    </w:p>
    <w:p w:rsidR="00892DE9" w:rsidRPr="00362C2F" w:rsidRDefault="00892DE9" w:rsidP="00892DE9">
      <w:pPr>
        <w:spacing w:before="100" w:beforeAutospacing="1" w:after="100" w:afterAutospacing="1" w:line="23" w:lineRule="atLeast"/>
        <w:jc w:val="both"/>
        <w:rPr>
          <w:rFonts w:ascii="Times New Roman" w:eastAsia="Times New Roman" w:hAnsi="Times New Roman" w:cs="Times New Roman"/>
          <w:sz w:val="24"/>
          <w:szCs w:val="24"/>
          <w:lang w:val="en-GB" w:eastAsia="cs-CZ"/>
        </w:rPr>
      </w:pPr>
      <w:r w:rsidRPr="00362C2F">
        <w:rPr>
          <w:rFonts w:ascii="Times New Roman" w:eastAsia="Times New Roman" w:hAnsi="Times New Roman" w:cs="Times New Roman"/>
          <w:sz w:val="24"/>
          <w:szCs w:val="24"/>
          <w:lang w:val="en-GB" w:eastAsia="cs-CZ"/>
        </w:rPr>
        <w:t xml:space="preserve">Schools deliver education, with support from the rest of the education system through various elements such as </w:t>
      </w:r>
      <w:hyperlink r:id="rId14" w:tooltip="Education policy" w:history="1">
        <w:r w:rsidRPr="00362C2F">
          <w:rPr>
            <w:rFonts w:ascii="Times New Roman" w:eastAsia="Times New Roman" w:hAnsi="Times New Roman" w:cs="Times New Roman"/>
            <w:sz w:val="24"/>
            <w:szCs w:val="24"/>
            <w:lang w:val="en-GB" w:eastAsia="cs-CZ"/>
          </w:rPr>
          <w:t>education policies</w:t>
        </w:r>
      </w:hyperlink>
      <w:r w:rsidRPr="00362C2F">
        <w:rPr>
          <w:rFonts w:ascii="Times New Roman" w:eastAsia="Times New Roman" w:hAnsi="Times New Roman" w:cs="Times New Roman"/>
          <w:sz w:val="24"/>
          <w:szCs w:val="24"/>
          <w:lang w:val="en-GB" w:eastAsia="cs-CZ"/>
        </w:rPr>
        <w:t xml:space="preserve"> and guidelines – to which school policies can refer – curricula and learning materials, as well as pre- and in-service teacher training programmes. The school environment – both physical (infrastructures) and psychological (school climate) – </w:t>
      </w:r>
      <w:proofErr w:type="gramStart"/>
      <w:r w:rsidRPr="00362C2F">
        <w:rPr>
          <w:rFonts w:ascii="Times New Roman" w:eastAsia="Times New Roman" w:hAnsi="Times New Roman" w:cs="Times New Roman"/>
          <w:sz w:val="24"/>
          <w:szCs w:val="24"/>
          <w:lang w:val="en-GB" w:eastAsia="cs-CZ"/>
        </w:rPr>
        <w:t>is</w:t>
      </w:r>
      <w:proofErr w:type="gramEnd"/>
      <w:r w:rsidRPr="00362C2F">
        <w:rPr>
          <w:rFonts w:ascii="Times New Roman" w:eastAsia="Times New Roman" w:hAnsi="Times New Roman" w:cs="Times New Roman"/>
          <w:sz w:val="24"/>
          <w:szCs w:val="24"/>
          <w:lang w:val="en-GB" w:eastAsia="cs-CZ"/>
        </w:rPr>
        <w:t xml:space="preserve"> also guided by school policies that should ensure the well-being of students when they are in school. The </w:t>
      </w:r>
      <w:hyperlink r:id="rId15" w:tooltip="Organisation for Economic Co-operation and Development" w:history="1">
        <w:r w:rsidRPr="00362C2F">
          <w:rPr>
            <w:rFonts w:ascii="Times New Roman" w:eastAsia="Times New Roman" w:hAnsi="Times New Roman" w:cs="Times New Roman"/>
            <w:sz w:val="24"/>
            <w:szCs w:val="24"/>
            <w:lang w:val="en-GB" w:eastAsia="cs-CZ"/>
          </w:rPr>
          <w:t>Organisation for Economic Co-operation and Development</w:t>
        </w:r>
      </w:hyperlink>
      <w:r w:rsidRPr="00362C2F">
        <w:rPr>
          <w:rFonts w:ascii="Times New Roman" w:eastAsia="Times New Roman" w:hAnsi="Times New Roman" w:cs="Times New Roman"/>
          <w:sz w:val="24"/>
          <w:szCs w:val="24"/>
          <w:lang w:val="en-GB" w:eastAsia="cs-CZ"/>
        </w:rPr>
        <w:t xml:space="preserve"> has found that schools tend to perform best when principals have full authority and responsibility for ensuring that students are proficient in core subjects upon graduation. They must also seek feedback from students for quality-assurance and improvement. Governments should limit themselves to monitoring student proficiency. </w:t>
      </w:r>
    </w:p>
    <w:p w:rsidR="00A66356" w:rsidRPr="00362C2F" w:rsidRDefault="00892DE9" w:rsidP="00892DE9">
      <w:pPr>
        <w:spacing w:before="100" w:beforeAutospacing="1" w:after="100" w:afterAutospacing="1" w:line="23" w:lineRule="atLeast"/>
        <w:jc w:val="both"/>
        <w:rPr>
          <w:rFonts w:ascii="Times New Roman" w:eastAsia="Times New Roman" w:hAnsi="Times New Roman" w:cs="Times New Roman"/>
          <w:sz w:val="24"/>
          <w:szCs w:val="24"/>
          <w:lang w:val="en-GB" w:eastAsia="cs-CZ"/>
        </w:rPr>
      </w:pPr>
      <w:r w:rsidRPr="00362C2F">
        <w:rPr>
          <w:rFonts w:ascii="Times New Roman" w:eastAsia="Times New Roman" w:hAnsi="Times New Roman" w:cs="Times New Roman"/>
          <w:sz w:val="24"/>
          <w:szCs w:val="24"/>
          <w:lang w:val="en-GB" w:eastAsia="cs-CZ"/>
        </w:rPr>
        <w:t xml:space="preserve">The education sector is fully integrated into society, through interactions with numerous stakeholders and other sectors. These include parents, local communities, religious leaders, NGOs, stakeholders involved in health, </w:t>
      </w:r>
      <w:hyperlink r:id="rId16" w:tooltip="Child protection" w:history="1">
        <w:r w:rsidRPr="00362C2F">
          <w:rPr>
            <w:rFonts w:ascii="Times New Roman" w:eastAsia="Times New Roman" w:hAnsi="Times New Roman" w:cs="Times New Roman"/>
            <w:sz w:val="24"/>
            <w:szCs w:val="24"/>
            <w:lang w:val="en-GB" w:eastAsia="cs-CZ"/>
          </w:rPr>
          <w:t>child protection</w:t>
        </w:r>
      </w:hyperlink>
      <w:r w:rsidRPr="00362C2F">
        <w:rPr>
          <w:rFonts w:ascii="Times New Roman" w:eastAsia="Times New Roman" w:hAnsi="Times New Roman" w:cs="Times New Roman"/>
          <w:sz w:val="24"/>
          <w:szCs w:val="24"/>
          <w:lang w:val="en-GB" w:eastAsia="cs-CZ"/>
        </w:rPr>
        <w:t xml:space="preserve">, justice and law enforcement (police), media and political leadership. </w:t>
      </w:r>
    </w:p>
    <w:sectPr w:rsidR="00A66356" w:rsidRPr="00362C2F"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92DE9"/>
    <w:rsid w:val="00362C2F"/>
    <w:rsid w:val="003E3705"/>
    <w:rsid w:val="00591A76"/>
    <w:rsid w:val="007C5B0A"/>
    <w:rsid w:val="00892DE9"/>
    <w:rsid w:val="008E0FC0"/>
    <w:rsid w:val="00A66356"/>
    <w:rsid w:val="00D55A08"/>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customStyle="1" w:styleId="mw-headline">
    <w:name w:val="mw-headline"/>
    <w:basedOn w:val="Standardnpsmoodstavce"/>
    <w:rsid w:val="00892DE9"/>
  </w:style>
  <w:style w:type="character" w:styleId="Hypertextovodkaz">
    <w:name w:val="Hyperlink"/>
    <w:basedOn w:val="Standardnpsmoodstavce"/>
    <w:uiPriority w:val="99"/>
    <w:semiHidden/>
    <w:unhideWhenUsed/>
    <w:rsid w:val="00892DE9"/>
    <w:rPr>
      <w:color w:val="0000FF"/>
      <w:u w:val="single"/>
    </w:rPr>
  </w:style>
  <w:style w:type="paragraph" w:styleId="Normlnweb">
    <w:name w:val="Normal (Web)"/>
    <w:basedOn w:val="Normln"/>
    <w:uiPriority w:val="99"/>
    <w:semiHidden/>
    <w:unhideWhenUsed/>
    <w:rsid w:val="00892D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92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2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1553">
      <w:bodyDiv w:val="1"/>
      <w:marLeft w:val="0"/>
      <w:marRight w:val="0"/>
      <w:marTop w:val="0"/>
      <w:marBottom w:val="0"/>
      <w:divBdr>
        <w:top w:val="none" w:sz="0" w:space="0" w:color="auto"/>
        <w:left w:val="none" w:sz="0" w:space="0" w:color="auto"/>
        <w:bottom w:val="none" w:sz="0" w:space="0" w:color="auto"/>
        <w:right w:val="none" w:sz="0" w:space="0" w:color="auto"/>
      </w:divBdr>
      <w:divsChild>
        <w:div w:id="1091924632">
          <w:marLeft w:val="0"/>
          <w:marRight w:val="0"/>
          <w:marTop w:val="0"/>
          <w:marBottom w:val="0"/>
          <w:divBdr>
            <w:top w:val="none" w:sz="0" w:space="0" w:color="auto"/>
            <w:left w:val="none" w:sz="0" w:space="0" w:color="auto"/>
            <w:bottom w:val="none" w:sz="0" w:space="0" w:color="auto"/>
            <w:right w:val="none" w:sz="0" w:space="0" w:color="auto"/>
          </w:divBdr>
          <w:divsChild>
            <w:div w:id="867331031">
              <w:marLeft w:val="0"/>
              <w:marRight w:val="0"/>
              <w:marTop w:val="0"/>
              <w:marBottom w:val="0"/>
              <w:divBdr>
                <w:top w:val="none" w:sz="0" w:space="0" w:color="auto"/>
                <w:left w:val="none" w:sz="0" w:space="0" w:color="auto"/>
                <w:bottom w:val="none" w:sz="0" w:space="0" w:color="auto"/>
                <w:right w:val="none" w:sz="0" w:space="0" w:color="auto"/>
              </w:divBdr>
            </w:div>
          </w:divsChild>
        </w:div>
        <w:div w:id="201482787">
          <w:marLeft w:val="0"/>
          <w:marRight w:val="0"/>
          <w:marTop w:val="0"/>
          <w:marBottom w:val="0"/>
          <w:divBdr>
            <w:top w:val="none" w:sz="0" w:space="0" w:color="auto"/>
            <w:left w:val="none" w:sz="0" w:space="0" w:color="auto"/>
            <w:bottom w:val="none" w:sz="0" w:space="0" w:color="auto"/>
            <w:right w:val="none" w:sz="0" w:space="0" w:color="auto"/>
          </w:divBdr>
          <w:divsChild>
            <w:div w:id="636227368">
              <w:marLeft w:val="0"/>
              <w:marRight w:val="0"/>
              <w:marTop w:val="0"/>
              <w:marBottom w:val="0"/>
              <w:divBdr>
                <w:top w:val="none" w:sz="0" w:space="0" w:color="auto"/>
                <w:left w:val="none" w:sz="0" w:space="0" w:color="auto"/>
                <w:bottom w:val="none" w:sz="0" w:space="0" w:color="auto"/>
                <w:right w:val="none" w:sz="0" w:space="0" w:color="auto"/>
              </w:divBdr>
              <w:divsChild>
                <w:div w:id="15331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0910">
      <w:bodyDiv w:val="1"/>
      <w:marLeft w:val="0"/>
      <w:marRight w:val="0"/>
      <w:marTop w:val="0"/>
      <w:marBottom w:val="0"/>
      <w:divBdr>
        <w:top w:val="none" w:sz="0" w:space="0" w:color="auto"/>
        <w:left w:val="none" w:sz="0" w:space="0" w:color="auto"/>
        <w:bottom w:val="none" w:sz="0" w:space="0" w:color="auto"/>
        <w:right w:val="none" w:sz="0" w:space="0" w:color="auto"/>
      </w:divBdr>
      <w:divsChild>
        <w:div w:id="777337000">
          <w:marLeft w:val="0"/>
          <w:marRight w:val="0"/>
          <w:marTop w:val="0"/>
          <w:marBottom w:val="0"/>
          <w:divBdr>
            <w:top w:val="none" w:sz="0" w:space="0" w:color="auto"/>
            <w:left w:val="none" w:sz="0" w:space="0" w:color="auto"/>
            <w:bottom w:val="none" w:sz="0" w:space="0" w:color="auto"/>
            <w:right w:val="none" w:sz="0" w:space="0" w:color="auto"/>
          </w:divBdr>
          <w:divsChild>
            <w:div w:id="1273434224">
              <w:marLeft w:val="0"/>
              <w:marRight w:val="0"/>
              <w:marTop w:val="0"/>
              <w:marBottom w:val="0"/>
              <w:divBdr>
                <w:top w:val="none" w:sz="0" w:space="0" w:color="auto"/>
                <w:left w:val="none" w:sz="0" w:space="0" w:color="auto"/>
                <w:bottom w:val="none" w:sz="0" w:space="0" w:color="auto"/>
                <w:right w:val="none" w:sz="0" w:space="0" w:color="auto"/>
              </w:divBdr>
            </w:div>
            <w:div w:id="598373559">
              <w:marLeft w:val="0"/>
              <w:marRight w:val="0"/>
              <w:marTop w:val="0"/>
              <w:marBottom w:val="0"/>
              <w:divBdr>
                <w:top w:val="none" w:sz="0" w:space="0" w:color="auto"/>
                <w:left w:val="none" w:sz="0" w:space="0" w:color="auto"/>
                <w:bottom w:val="none" w:sz="0" w:space="0" w:color="auto"/>
                <w:right w:val="none" w:sz="0" w:space="0" w:color="auto"/>
              </w:divBdr>
              <w:divsChild>
                <w:div w:id="5430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ivatization" TargetMode="External"/><Relationship Id="rId13" Type="http://schemas.openxmlformats.org/officeDocument/2006/relationships/hyperlink" Target="https://en.wikipedia.org/wiki/Curriculu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Kindergarten" TargetMode="External"/><Relationship Id="rId12" Type="http://schemas.openxmlformats.org/officeDocument/2006/relationships/hyperlink" Target="https://en.wikipedia.org/wiki/Developmental_psycholog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Child_protection" TargetMode="External"/><Relationship Id="rId1" Type="http://schemas.openxmlformats.org/officeDocument/2006/relationships/styles" Target="styles.xml"/><Relationship Id="rId6" Type="http://schemas.openxmlformats.org/officeDocument/2006/relationships/hyperlink" Target="https://en.wikipedia.org/wiki/Early_childhood_education" TargetMode="External"/><Relationship Id="rId11" Type="http://schemas.openxmlformats.org/officeDocument/2006/relationships/hyperlink" Target="https://en.wikipedia.org/wiki/Sociology" TargetMode="External"/><Relationship Id="rId5" Type="http://schemas.openxmlformats.org/officeDocument/2006/relationships/hyperlink" Target="https://en.wikipedia.org/wiki/Education" TargetMode="External"/><Relationship Id="rId15" Type="http://schemas.openxmlformats.org/officeDocument/2006/relationships/hyperlink" Target="https://en.wikipedia.org/wiki/Organisation_for_Economic_Co-operation_and_Development" TargetMode="External"/><Relationship Id="rId10" Type="http://schemas.openxmlformats.org/officeDocument/2006/relationships/hyperlink" Target="https://en.wikipedia.org/wiki/Economics" TargetMode="External"/><Relationship Id="rId4" Type="http://schemas.openxmlformats.org/officeDocument/2006/relationships/hyperlink" Target="https://en.wikipedia.org/wiki/Public_policy" TargetMode="External"/><Relationship Id="rId9" Type="http://schemas.openxmlformats.org/officeDocument/2006/relationships/hyperlink" Target="https://en.wikipedia.org/wiki/Psychology" TargetMode="External"/><Relationship Id="rId14" Type="http://schemas.openxmlformats.org/officeDocument/2006/relationships/hyperlink" Target="https://en.wikipedia.org/wiki/Education_polic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638</Words>
  <Characters>3770</Characters>
  <Application>Microsoft Office Word</Application>
  <DocSecurity>0</DocSecurity>
  <Lines>31</Lines>
  <Paragraphs>8</Paragraphs>
  <ScaleCrop>false</ScaleCrop>
  <Company>ATC</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2020-02-20T21:42:00Z</dcterms:created>
  <dcterms:modified xsi:type="dcterms:W3CDTF">2020-04-27T17:24:00Z</dcterms:modified>
</cp:coreProperties>
</file>