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5D" w:rsidRPr="003D595D" w:rsidRDefault="003D595D" w:rsidP="003D595D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E10DE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 xml:space="preserve">Stěžovatelka se ve Spojených státech amerických provdala za amerického občana a v roce 2014 se jim narodila dcera. Obě mají nejen české občanství, ale také americké občanství. V červnu 2016 rodina odcestovala do České republiky, stěžovatelka s dcerou zde zůstaly. V srpnu 2017 otec podal k Městskému soudu v Brně žádost o navrácení dítěte dle Haagské úmluvy o občanskoprávních aspektech mezinárodních únosů dětí. Městský soud v říjnu 2017 žádost zamítl, avšak Krajský soud v Brně v lednu 2018 nařídil navrácení dítěte za podmínky, že otec splní několik záruk za účelem bezproblémového návratu dítěte s matkou (soft 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), mj. zajistit matce s dítětem samostatné bydlení. Dle krajského soudu nebyly splněny výjimky z pravidla návratu. Ústavní soud v prosinci 2018 ústavní stížnost stěžovatelky odmítl pro zjevnou neopodstatněnost. Matka návrat odmítla a otec zahájil výkon rozhodnutí. Úřad pro mezinárodněprávní ochranu dětí se opakovaně bezúspěšně pokoušel o zprostředkování dohody mezi rodiči. Krajský soud konal dvě jednání, na kterých přezkoumal dodatečné námitky matky o špatném zdravotním stavu dítěte. Současně akceptoval nájemní smlouvu předloženou otcem ke splnění záruky bydlení. V červenci 2019 došlo k výkonu rozsudku o navrácení odnětím dítěte stěžovatelce a jeho předáním otci. Otec s dítětem posléze odcestovali do Spojených států amerických. Dítě žije u otce a s matkou, která se rovněž vrátila do </w:t>
      </w:r>
      <w:proofErr w:type="gramStart"/>
      <w:r w:rsidRPr="003D595D">
        <w:rPr>
          <w:rFonts w:ascii="Times New Roman" w:hAnsi="Times New Roman" w:cs="Times New Roman"/>
          <w:sz w:val="24"/>
          <w:szCs w:val="24"/>
        </w:rPr>
        <w:t>Spojených</w:t>
      </w:r>
      <w:proofErr w:type="gramEnd"/>
      <w:r w:rsidRPr="003D595D">
        <w:rPr>
          <w:rFonts w:ascii="Times New Roman" w:hAnsi="Times New Roman" w:cs="Times New Roman"/>
          <w:sz w:val="24"/>
          <w:szCs w:val="24"/>
        </w:rPr>
        <w:t xml:space="preserve"> státům amerických, se vídá.</w:t>
      </w:r>
    </w:p>
    <w:p w:rsidR="003D595D" w:rsidRPr="003D595D" w:rsidRDefault="003D595D" w:rsidP="003D59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>Stěžovatelka žila se svou partnerkou od roku 2012, ve svazku manželském od roku 2015. Díky umělému oplodnění se její partnerce v roce 2014 narodil syn A. Stěžovatelka, jakož i její matka o dítě denně pečovaly, a to zejména dopoledne, kdy partnerka pracovala. Vztah obou žen se v roce 2016 rozpadl a partnerka se synem opustili společnou domácnost. Manželství bylo rozvedeno v roce 2019. Stěžovatelka se v mezidobí obrátila na soud s návrhem na přiznání práva styku s dítětem. Zatímco soud prvního stupně návrhu v únoru 2017 vyhověl, odvolací soud jeho rozsudek v dubnu 2018 zrušil, když konstatoval, že styk stěžovatelky s dítětem není v jeho nejlepším zájmu. Dovolání stěžovatelky kasační soud odmítl v červnu 2019.</w:t>
      </w:r>
    </w:p>
    <w:p w:rsidR="003D595D" w:rsidRPr="003D595D" w:rsidRDefault="003D595D" w:rsidP="003D59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 xml:space="preserve">Stěžovatelé jsou prarodiče dětí, jejichž matka byla zavražděna v roce 2015, kdy jim bylo 3 a 5 let. Z vraždy byl obviněn otec dětí. Děti byly v péči prarodičů několik měsíců a poté byly přemístěny k pěstounce mimo biologickou rodinu. Případ vyvolal velký zájem médií. Babička dětí požádala o umístění dětí do své pěstounské péče, věc se po šesti letech vrátila na základě rozhodnutí ústavního soudu k soudu prvního stupně a v době rozhodování Soudu nebyla skončena. Dle rozhodnutí soudu měli stěžovatelé možnost se s dětmi stýkat dvě hodiny každý druhý týden ve speciálním zařízení pod dohledem sociálního pracovníka. K určení styku došlo na základě znaleckých posudků. Děti na styk reagovaly pozitivně. V roce 2017 stěžovatelé požádali o rozšíření styku s odkazem na posudek znalce, který uvedl, že děti by se s prarodiči měly mít možnost stýkat doma. Žádali, aby styk nebyl asistovaný a probíhal jedno odpoledne v pracovní den, o víkendech a svátcích. V roce 2018 soud rozhodl o styku každou třetí středu v měsíci po dobu tří hodin pod dohledem sociálního pracovníka. V odůvodnění uvedl, že zájem prarodičů na neasistovaný styk musí být vyvážen zájmy dětí na ochranu před obtěžováním ze strany médií. Děti nebyly v řízení zastoupeny speciálním opatrovníkem, </w:t>
      </w:r>
      <w:r w:rsidRPr="003D595D">
        <w:rPr>
          <w:rFonts w:ascii="Times New Roman" w:hAnsi="Times New Roman" w:cs="Times New Roman"/>
          <w:sz w:val="24"/>
          <w:szCs w:val="24"/>
        </w:rPr>
        <w:lastRenderedPageBreak/>
        <w:t>nebyly přímo slyšeny soudy a nebyl vyslechnut znalec, který se domníval, že styk by měl probíhat u prarodičů doma. Ústavní soud rozsudek v roce 2020 potvrdil.</w:t>
      </w: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>Stěžovatelé jsou českými občany. Paní E. M. podala stížnost jménem svým a jménem svých dvou synů narozených v letech 2005 a 2008. Ti původně vyrůstali s rodiči v Norsku. V roce 2011 bylo z podnětu zaměstnanců tamní mateřské školy, kterou oba chlapci navštěvovali, zahájeno řízení u orgánu sociálněprávní ochrany dětí (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Barnevernet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). Norské orgány měly podezření na pohlavní zneužívání dětí ze strany otce </w:t>
      </w:r>
      <w:bookmarkStart w:id="0" w:name="_GoBack"/>
      <w:r w:rsidRPr="003D595D">
        <w:rPr>
          <w:rFonts w:ascii="Times New Roman" w:hAnsi="Times New Roman" w:cs="Times New Roman"/>
          <w:sz w:val="24"/>
          <w:szCs w:val="24"/>
        </w:rPr>
        <w:t xml:space="preserve">a závažné zanedbávání péče oběma rodiči, a proto děti umístily do pěstounské péče. </w:t>
      </w:r>
      <w:bookmarkEnd w:id="0"/>
      <w:r w:rsidRPr="003D595D">
        <w:rPr>
          <w:rFonts w:ascii="Times New Roman" w:hAnsi="Times New Roman" w:cs="Times New Roman"/>
          <w:sz w:val="24"/>
          <w:szCs w:val="24"/>
        </w:rPr>
        <w:t>Zpočátku se mohla matka s dětmi stýkat častěji, nicméně postupně byl kontakt omezován až na dvě hodiny dvakrát ročně pod dohledem orgánu sociálně-právní ochrany dětí. Děti byly umístěny do dvou pěstounských rodin. Okresní soud vynesl rozsudek o svěření dětí do péče pěstounů v červenci 2012. Rozsudek byl odvolacím soudem potvrzen v březnu 2013. V roce 2014 matka podala návrh na vrácení dětí do péče. Okresní soud rozsudkem z června 2016 děti ponechal v péči pěstounů, matku zbavil rodičovských práv a zakázal jí kontakt s dětmi. Rozsudek byl potvrzen odvolacím soudem v listopadu 2016. V odůvodnění rozsudku je uvedeno, že matka děti neochránila před nežádoucím chováním otce, děti bila, způsobila, že se bály, a byla tudíž spoluzodpovědná za vzniklá utrpení a zanedbání péče. Současně byla matka norskými orgány kritizována za medializaci citlivých informací o dětech v rozporu s jejich nejlepším zájmem, mj. zveřejněním fotografií dětí, informací o zdravotním stavu staršího syna a pasáže ze znaleckého posudku ohledně sexuálního zneužívání dětí. Původní návrh orgánu sociálně-právní ochrany dětí na vydání souhlasu s osvojením mladšího syna pěstouny však soudy zamítly.</w:t>
      </w: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Normlnweb"/>
        <w:numPr>
          <w:ilvl w:val="0"/>
          <w:numId w:val="1"/>
        </w:numPr>
        <w:jc w:val="both"/>
        <w:rPr>
          <w:color w:val="2C2C2C"/>
        </w:rPr>
      </w:pPr>
      <w:r w:rsidRPr="003D595D">
        <w:rPr>
          <w:color w:val="2C2C2C"/>
        </w:rPr>
        <w:t>Stěžovatel a stěžovatelka, tureckého původu a muslimského vyznání, žijí společně ve švýcarské Basileji od roku 1999. Mají tři dcery narozené v letech 1999, 2001 a 2006. V roce 2008 byli informováni o povinnosti dětí navštěvovat v rámci základní školní docházky smíšené kurzy </w:t>
      </w:r>
      <w:r w:rsidRPr="003D595D">
        <w:rPr>
          <w:b/>
          <w:bCs/>
          <w:color w:val="000000"/>
          <w:shd w:val="clear" w:color="auto" w:fill="FFFF00"/>
        </w:rPr>
        <w:t>plavání</w:t>
      </w:r>
      <w:r w:rsidRPr="003D595D">
        <w:rPr>
          <w:color w:val="2C2C2C"/>
        </w:rPr>
        <w:t>. Podle příslušné kantonální právní úpravy lze udělit výjimky z náboženských důvodů, to však až po období puberty. Stěžovatelé odmítali z náboženských důvodů dcery na plavecké kurzy posílat, a to i přes varování příslušného kantonálního úřadu a pozdější pokus ředitelky školy o mediaci. Z podnětu vedení školy bylo se stěžovateli vedeno správní řízení, jehož výsledkem bylo uložení pokuty stěžovatelům ve výši přibližně 1 300 eur za neplnění rodičovských povinností.</w:t>
      </w:r>
    </w:p>
    <w:p w:rsidR="003D595D" w:rsidRPr="003D595D" w:rsidRDefault="003D595D" w:rsidP="003D595D">
      <w:pPr>
        <w:pStyle w:val="Normlnweb"/>
        <w:jc w:val="both"/>
        <w:rPr>
          <w:color w:val="2C2C2C"/>
        </w:rPr>
      </w:pPr>
      <w:r w:rsidRPr="003D595D">
        <w:rPr>
          <w:color w:val="2C2C2C"/>
        </w:rPr>
        <w:t>Stěžovatelé proti správnímu rozhodnutí neúspěšně brojili u odvolacího soudu a později i u Federálního soudu. Federální soud ve svém rozsudku z března 2012 připustil, že došlo k zásahu do svobody náboženství stěžovatelů, příslušná povinnost však měla jasný právní základ, byla součástí vzdělávacích osnov a nebyla nepřiměřená, neboť mj. umožňovala výjimky z dané povinnosti; od věku přibližně 12 let se navíc chlapci a dívky účastní hodin tělesné výchovy i </w:t>
      </w:r>
      <w:r w:rsidRPr="003D595D">
        <w:rPr>
          <w:b/>
          <w:bCs/>
          <w:color w:val="000000"/>
          <w:shd w:val="clear" w:color="auto" w:fill="FFFF00"/>
        </w:rPr>
        <w:t>plavání</w:t>
      </w:r>
      <w:r w:rsidRPr="003D595D">
        <w:rPr>
          <w:color w:val="2C2C2C"/>
        </w:rPr>
        <w:t xml:space="preserve"> zvlášť. Zájem na integraci dětí bez ohledu na původ, kulturu a náboženství dětí byl v daném případě naprosto zásadní. Předmětné opatření bylo navíc zmírněno možností odděleného sprchování a nošení </w:t>
      </w:r>
      <w:proofErr w:type="spellStart"/>
      <w:r w:rsidRPr="003D595D">
        <w:rPr>
          <w:color w:val="2C2C2C"/>
        </w:rPr>
        <w:t>burkin</w:t>
      </w:r>
      <w:proofErr w:type="spellEnd"/>
      <w:r w:rsidRPr="003D595D">
        <w:rPr>
          <w:color w:val="2C2C2C"/>
        </w:rPr>
        <w:t xml:space="preserve"> (celotělových ženských plavek zakrývajících vše kromě konce končetin a obličeje).</w:t>
      </w: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>Stěžovatelka se narodila v Somálsku, v listopadu 2009 porodila ještě jako nezletilá v Keni syna. V červnu 2010 jí byl v Norsku udělen status uprchlíka. Dítě bylo matce odebráno a v prosinci 2010 umístěno k pěstounům křesťanského vyznání, zatímco stěžovatelka navrhovala, aby bylo svěřeno do péče jejích příbuzných žijících v Norsku nebo do somálské či muslimské pěstounské rodiny. Asistovaný styk byl stanoven na čtyři dvouhodinové návštěvy ročně, následně na jednu hodinu šestkrát ročně. V soudním řízení o zbavení rodičovské odpovědnosti a svolení k osvojení dítěte pěstouny stěžovatelka nepožadovala vrácení dítěte do péče s ohledem na dobu strávenou u pěstounů, ke kterým přilnulo, avšak požadovala možnost styku za účelem zachování kulturních a náboženských kořenů dítěte. Odvolací soud v rozsudku z května 2015 uvedl, že dítě bylo svěřeno pěstounům jako roční a strávilo u nich 4,5 roku. Pěstouny považovalo za své rodiče a bylo na ně vázáno. Ačkoli se orgány péče o dítě snažily najít pěstounskou rodinu s kulturním a náboženským prostředím podobným matce, neuspěly, jelikož takových pěstounů byl nedostatek. Osvojitelé si nepřáli otevřenou adopci s možností budoucího styku dítěte s matkou, a to rovněž s ohledem na úmysl dítě pokřtít. Dle odvolacího soudu by pokračující pěstounská péče mohla přinést problémy v souvislosti s přáními matky, např. aby dítě podstoupilo obřízku nebo studovalo korán.</w:t>
      </w:r>
    </w:p>
    <w:p w:rsidR="003D595D" w:rsidRPr="003D595D" w:rsidRDefault="003D595D" w:rsidP="003D59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 xml:space="preserve">Stížnost podaly tři mužské páry, které spolu již několik let žijí ve stabilním partnerském vztahu. Jejich žádosti o uzavření sňatku zamítly matriční úřady s tím, že italský občanský zákoník neumožňuje manželství osob stejného pohlaví. První ze 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stěžovatelských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 párů využil proti tomuto rozhodnutí všechny dostupné prostředky nápravy včetně podání k ústavnímu soudu, v němž se domáhal zrušení příslušných ustanovení občanského zákoníku. Rozhodnutím z roku 2010 ústavní soud návrh odmítl a konstatoval, že úmyslem ústavodárce nebylo vztáhnout institut manželství i na svazky osob stejného pohlaví a že takový krok nemůže být učiněn soudním výkladem. Dodal nicméně, že z ústavy lze vyvodit požadavek přijetí obecné úpravy práv a povinností osob žijících v homosexuálních svazcích, přičemž nemusí jít nutně o institut manželství, ani o institut obsahově plně srovnatelný s manželstvím; volba formy právního uznání je ponechána na úvaze parlamentu. Další dva 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stěžovatelské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 páry již proti zamítavému rozhodnutí matričního úřadu nevyčerpaly všechny prostředky nápravy; poukázaly na to, že ve světle uvedeného rozhodnutí ústavního soudu tyto prostředky nebylo možné považovat za účinné.</w:t>
      </w:r>
    </w:p>
    <w:p w:rsidR="003D595D" w:rsidRDefault="003D595D" w:rsidP="003D595D">
      <w:pPr>
        <w:pStyle w:val="Odstavecseseznamem"/>
      </w:pPr>
    </w:p>
    <w:sectPr w:rsidR="003D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96627"/>
    <w:multiLevelType w:val="hybridMultilevel"/>
    <w:tmpl w:val="0642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D"/>
    <w:rsid w:val="003D595D"/>
    <w:rsid w:val="005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E5EB"/>
  <w15:chartTrackingRefBased/>
  <w15:docId w15:val="{192355E0-F3DB-4E95-8600-5FA784D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9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D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1354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vyk0011</dc:creator>
  <cp:keywords/>
  <dc:description/>
  <cp:lastModifiedBy>vyk0011</cp:lastModifiedBy>
  <cp:revision>1</cp:revision>
  <dcterms:created xsi:type="dcterms:W3CDTF">2022-11-03T11:08:00Z</dcterms:created>
  <dcterms:modified xsi:type="dcterms:W3CDTF">2022-11-03T11:16:00Z</dcterms:modified>
</cp:coreProperties>
</file>