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A9DE" w14:textId="29AAE7F5" w:rsidR="00773861" w:rsidRDefault="00773861" w:rsidP="004C6EA7">
      <w:pPr>
        <w:pStyle w:val="Normlnweb"/>
        <w:shd w:val="clear" w:color="auto" w:fill="FFFFFF"/>
        <w:spacing w:before="0" w:after="0"/>
        <w:ind w:left="720"/>
        <w:rPr>
          <w:rFonts w:ascii="Garamond" w:hAnsi="Garamond"/>
          <w:color w:val="242424"/>
          <w:bdr w:val="none" w:sz="0" w:space="0" w:color="auto" w:frame="1"/>
        </w:rPr>
      </w:pPr>
      <w:r>
        <w:rPr>
          <w:rFonts w:ascii="Garamond" w:hAnsi="Garamond"/>
          <w:color w:val="242424"/>
          <w:bdr w:val="none" w:sz="0" w:space="0" w:color="auto" w:frame="1"/>
        </w:rPr>
        <w:t xml:space="preserve">Program přednášek a seminářů </w:t>
      </w:r>
    </w:p>
    <w:p w14:paraId="04E1C0B6" w14:textId="351DE33B" w:rsidR="004C6EA7" w:rsidRDefault="004C6EA7" w:rsidP="00773861">
      <w:pPr>
        <w:pStyle w:val="Normlnweb"/>
        <w:numPr>
          <w:ilvl w:val="0"/>
          <w:numId w:val="1"/>
        </w:numPr>
        <w:shd w:val="clear" w:color="auto" w:fill="FFFFFF"/>
        <w:spacing w:before="0" w:after="0"/>
        <w:rPr>
          <w:rFonts w:ascii="Garamond" w:hAnsi="Garamond"/>
          <w:color w:val="242424"/>
          <w:bdr w:val="none" w:sz="0" w:space="0" w:color="auto" w:frame="1"/>
        </w:rPr>
      </w:pPr>
      <w:r>
        <w:rPr>
          <w:rFonts w:ascii="Garamond" w:hAnsi="Garamond"/>
          <w:color w:val="242424"/>
          <w:bdr w:val="none" w:sz="0" w:space="0" w:color="auto" w:frame="1"/>
        </w:rPr>
        <w:t>Veřejná správa – pojem, definice, členění, postavení krajů a obcí; Prameny práva ve veřejné správě, správní akty, opatření obecné povahy, veřejnoprávní smlouvy</w:t>
      </w:r>
    </w:p>
    <w:p w14:paraId="63AAC2CF" w14:textId="491E96E1" w:rsidR="004C6EA7" w:rsidRDefault="004C6EA7" w:rsidP="00B1435E">
      <w:pPr>
        <w:pStyle w:val="Normlnweb"/>
        <w:numPr>
          <w:ilvl w:val="0"/>
          <w:numId w:val="1"/>
        </w:numPr>
        <w:shd w:val="clear" w:color="auto" w:fill="FFFFFF"/>
        <w:spacing w:before="0" w:after="0"/>
        <w:rPr>
          <w:rFonts w:ascii="Garamond" w:hAnsi="Garamond"/>
          <w:color w:val="242424"/>
          <w:bdr w:val="none" w:sz="0" w:space="0" w:color="auto" w:frame="1"/>
        </w:rPr>
      </w:pPr>
      <w:r>
        <w:rPr>
          <w:rFonts w:ascii="Garamond" w:hAnsi="Garamond"/>
          <w:color w:val="242424"/>
          <w:bdr w:val="none" w:sz="0" w:space="0" w:color="auto" w:frame="1"/>
        </w:rPr>
        <w:t>Principy veřejné správy, organizace místní správy a samosprávy; územní samospráva, Charta místní a regionální samosprávy</w:t>
      </w:r>
    </w:p>
    <w:p w14:paraId="29005DFC" w14:textId="77777777" w:rsidR="004C6EA7" w:rsidRDefault="004C6EA7" w:rsidP="004C6EA7">
      <w:pPr>
        <w:pStyle w:val="Normlnweb"/>
        <w:shd w:val="clear" w:color="auto" w:fill="FFFFFF"/>
        <w:spacing w:before="0" w:after="0"/>
        <w:ind w:left="720"/>
        <w:rPr>
          <w:color w:val="242424"/>
        </w:rPr>
      </w:pPr>
      <w:r>
        <w:rPr>
          <w:rFonts w:ascii="Garamond" w:hAnsi="Garamond"/>
          <w:color w:val="242424"/>
          <w:bdr w:val="none" w:sz="0" w:space="0" w:color="auto" w:frame="1"/>
        </w:rPr>
        <w:t>3.</w:t>
      </w:r>
      <w:r>
        <w:rPr>
          <w:color w:val="242424"/>
          <w:sz w:val="14"/>
          <w:szCs w:val="14"/>
          <w:bdr w:val="none" w:sz="0" w:space="0" w:color="auto" w:frame="1"/>
        </w:rPr>
        <w:t>      </w:t>
      </w:r>
      <w:r>
        <w:rPr>
          <w:rFonts w:ascii="Garamond" w:hAnsi="Garamond"/>
          <w:color w:val="242424"/>
          <w:bdr w:val="none" w:sz="0" w:space="0" w:color="auto" w:frame="1"/>
        </w:rPr>
        <w:t>Obecní samospráva – samostatná a přenesená působnost, obecní samospráva – orgány, pravomoci a působnost; právní předpisy obce a dozor nad výkonem působnosti obce</w:t>
      </w:r>
    </w:p>
    <w:p w14:paraId="0E225DC6" w14:textId="77777777" w:rsidR="004C6EA7" w:rsidRDefault="004C6EA7" w:rsidP="004C6EA7">
      <w:pPr>
        <w:pStyle w:val="Normlnweb"/>
        <w:shd w:val="clear" w:color="auto" w:fill="FFFFFF"/>
        <w:spacing w:before="0" w:after="0"/>
        <w:ind w:left="720"/>
        <w:rPr>
          <w:color w:val="242424"/>
        </w:rPr>
      </w:pPr>
      <w:r>
        <w:rPr>
          <w:rFonts w:ascii="Garamond" w:hAnsi="Garamond"/>
          <w:color w:val="242424"/>
          <w:bdr w:val="none" w:sz="0" w:space="0" w:color="auto" w:frame="1"/>
        </w:rPr>
        <w:t>4.</w:t>
      </w:r>
      <w:r>
        <w:rPr>
          <w:color w:val="242424"/>
          <w:sz w:val="14"/>
          <w:szCs w:val="14"/>
          <w:bdr w:val="none" w:sz="0" w:space="0" w:color="auto" w:frame="1"/>
        </w:rPr>
        <w:t>      </w:t>
      </w:r>
      <w:r>
        <w:rPr>
          <w:rFonts w:ascii="Garamond" w:hAnsi="Garamond"/>
          <w:color w:val="242424"/>
          <w:bdr w:val="none" w:sz="0" w:space="0" w:color="auto" w:frame="1"/>
        </w:rPr>
        <w:t>Krajská samospráva – působnost a právní předpisy; krajská samospráva – orgány, pravomoci a působnost</w:t>
      </w:r>
    </w:p>
    <w:p w14:paraId="57742482" w14:textId="77777777" w:rsidR="004C6EA7" w:rsidRDefault="004C6EA7" w:rsidP="004C6EA7">
      <w:pPr>
        <w:pStyle w:val="Normlnweb"/>
        <w:shd w:val="clear" w:color="auto" w:fill="FFFFFF"/>
        <w:spacing w:before="0" w:after="0"/>
        <w:ind w:left="720"/>
        <w:rPr>
          <w:color w:val="242424"/>
        </w:rPr>
      </w:pPr>
      <w:r>
        <w:rPr>
          <w:rFonts w:ascii="Garamond" w:hAnsi="Garamond"/>
          <w:color w:val="242424"/>
          <w:bdr w:val="none" w:sz="0" w:space="0" w:color="auto" w:frame="1"/>
        </w:rPr>
        <w:t>5.</w:t>
      </w:r>
      <w:r>
        <w:rPr>
          <w:color w:val="242424"/>
          <w:sz w:val="14"/>
          <w:szCs w:val="14"/>
          <w:bdr w:val="none" w:sz="0" w:space="0" w:color="auto" w:frame="1"/>
        </w:rPr>
        <w:t>      </w:t>
      </w:r>
      <w:r>
        <w:rPr>
          <w:rFonts w:ascii="Garamond" w:hAnsi="Garamond"/>
          <w:color w:val="242424"/>
          <w:bdr w:val="none" w:sz="0" w:space="0" w:color="auto" w:frame="1"/>
        </w:rPr>
        <w:t>Dozor nad výkonem působnosti kraje; Spolupráce obcí a krajů, svazky obcí, obecní policie</w:t>
      </w:r>
    </w:p>
    <w:p w14:paraId="1DA9762E" w14:textId="77777777" w:rsidR="004C6EA7" w:rsidRDefault="004C6EA7" w:rsidP="004C6EA7">
      <w:pPr>
        <w:pStyle w:val="Normlnweb"/>
        <w:shd w:val="clear" w:color="auto" w:fill="FFFFFF"/>
        <w:spacing w:before="0" w:after="0"/>
        <w:ind w:left="720"/>
        <w:rPr>
          <w:color w:val="242424"/>
        </w:rPr>
      </w:pPr>
      <w:r>
        <w:rPr>
          <w:rFonts w:ascii="Garamond" w:hAnsi="Garamond"/>
          <w:color w:val="242424"/>
          <w:bdr w:val="none" w:sz="0" w:space="0" w:color="auto" w:frame="1"/>
        </w:rPr>
        <w:t>6.</w:t>
      </w:r>
      <w:r>
        <w:rPr>
          <w:color w:val="242424"/>
          <w:sz w:val="14"/>
          <w:szCs w:val="14"/>
          <w:bdr w:val="none" w:sz="0" w:space="0" w:color="auto" w:frame="1"/>
        </w:rPr>
        <w:t>      </w:t>
      </w:r>
      <w:r>
        <w:rPr>
          <w:rFonts w:ascii="Garamond" w:hAnsi="Garamond"/>
          <w:color w:val="242424"/>
          <w:bdr w:val="none" w:sz="0" w:space="0" w:color="auto" w:frame="1"/>
        </w:rPr>
        <w:t>Volby do zastupitelstev, místní referendum, soudní ochrana ve věcech voleb a referenda</w:t>
      </w:r>
    </w:p>
    <w:p w14:paraId="56B872BC" w14:textId="77777777" w:rsidR="004D6A2E" w:rsidRDefault="004D6A2E"/>
    <w:sectPr w:rsidR="004D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4C51"/>
    <w:multiLevelType w:val="hybridMultilevel"/>
    <w:tmpl w:val="BA08584A"/>
    <w:lvl w:ilvl="0" w:tplc="937A34B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A7"/>
    <w:rsid w:val="004C6EA7"/>
    <w:rsid w:val="004D6A2E"/>
    <w:rsid w:val="00773861"/>
    <w:rsid w:val="00B1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ADC3"/>
  <w15:chartTrackingRefBased/>
  <w15:docId w15:val="{6D3DDF2D-4244-4691-9CEA-6DF33F73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Pavelek</dc:creator>
  <cp:keywords/>
  <dc:description/>
  <cp:lastModifiedBy>Ondřej Pavelek</cp:lastModifiedBy>
  <cp:revision>2</cp:revision>
  <dcterms:created xsi:type="dcterms:W3CDTF">2025-07-31T13:48:00Z</dcterms:created>
  <dcterms:modified xsi:type="dcterms:W3CDTF">2025-08-20T12:41:00Z</dcterms:modified>
</cp:coreProperties>
</file>