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55" w:rsidRPr="006B4210" w:rsidRDefault="00190DF3">
      <w:pPr>
        <w:rPr>
          <w:rFonts w:ascii="Times New Roman" w:hAnsi="Times New Roman" w:cs="Times New Roman"/>
          <w:b/>
          <w:sz w:val="32"/>
          <w:szCs w:val="32"/>
        </w:rPr>
      </w:pPr>
      <w:r w:rsidRPr="006B4210">
        <w:rPr>
          <w:rFonts w:ascii="Times New Roman" w:hAnsi="Times New Roman" w:cs="Times New Roman"/>
          <w:b/>
          <w:sz w:val="32"/>
          <w:szCs w:val="32"/>
        </w:rPr>
        <w:t xml:space="preserve">Příklady z tématu </w:t>
      </w:r>
      <w:r w:rsidR="00BE4219">
        <w:rPr>
          <w:rFonts w:ascii="Times New Roman" w:hAnsi="Times New Roman" w:cs="Times New Roman"/>
          <w:b/>
          <w:sz w:val="32"/>
          <w:szCs w:val="32"/>
        </w:rPr>
        <w:t>Finanční analýza</w:t>
      </w:r>
      <w:r w:rsidRPr="006B4210">
        <w:rPr>
          <w:rFonts w:ascii="Times New Roman" w:hAnsi="Times New Roman" w:cs="Times New Roman"/>
          <w:b/>
          <w:sz w:val="32"/>
          <w:szCs w:val="32"/>
        </w:rPr>
        <w:t xml:space="preserve"> bank</w:t>
      </w:r>
      <w:r w:rsidR="00A06EF6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6B4210">
        <w:rPr>
          <w:rFonts w:ascii="Times New Roman" w:hAnsi="Times New Roman" w:cs="Times New Roman"/>
          <w:b/>
          <w:sz w:val="32"/>
          <w:szCs w:val="32"/>
        </w:rPr>
        <w:t>:</w:t>
      </w:r>
    </w:p>
    <w:p w:rsidR="00190DF3" w:rsidRPr="006B4210" w:rsidRDefault="00190DF3">
      <w:pPr>
        <w:rPr>
          <w:rFonts w:ascii="Times New Roman" w:hAnsi="Times New Roman" w:cs="Times New Roman"/>
          <w:b/>
          <w:sz w:val="28"/>
          <w:szCs w:val="28"/>
        </w:rPr>
      </w:pPr>
      <w:r w:rsidRPr="006B4210">
        <w:rPr>
          <w:rFonts w:ascii="Times New Roman" w:hAnsi="Times New Roman" w:cs="Times New Roman"/>
          <w:b/>
          <w:sz w:val="28"/>
          <w:szCs w:val="28"/>
        </w:rPr>
        <w:t xml:space="preserve">Příklad – slide č. </w:t>
      </w:r>
      <w:r w:rsidR="00BE4219">
        <w:rPr>
          <w:rFonts w:ascii="Times New Roman" w:hAnsi="Times New Roman" w:cs="Times New Roman"/>
          <w:b/>
          <w:sz w:val="28"/>
          <w:szCs w:val="28"/>
        </w:rPr>
        <w:t>1</w:t>
      </w:r>
      <w:r w:rsidR="0071439A">
        <w:rPr>
          <w:rFonts w:ascii="Times New Roman" w:hAnsi="Times New Roman" w:cs="Times New Roman"/>
          <w:b/>
          <w:sz w:val="28"/>
          <w:szCs w:val="28"/>
        </w:rPr>
        <w:t>5</w:t>
      </w:r>
      <w:r w:rsidRPr="006B4210">
        <w:rPr>
          <w:rFonts w:ascii="Times New Roman" w:hAnsi="Times New Roman" w:cs="Times New Roman"/>
          <w:b/>
          <w:sz w:val="28"/>
          <w:szCs w:val="28"/>
        </w:rPr>
        <w:t>:</w:t>
      </w:r>
    </w:p>
    <w:p w:rsidR="00BE4219" w:rsidRPr="00BE4219" w:rsidRDefault="00BE4219" w:rsidP="00BE42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Určíme </w:t>
      </w:r>
      <w:r w:rsidRPr="00BE4219">
        <w:rPr>
          <w:rFonts w:ascii="Times New Roman" w:hAnsi="Times New Roman" w:cs="Times New Roman"/>
          <w:b/>
          <w:sz w:val="24"/>
          <w:szCs w:val="24"/>
        </w:rPr>
        <w:t>čistý zisk</w:t>
      </w:r>
      <w:r>
        <w:rPr>
          <w:rFonts w:ascii="Times New Roman" w:hAnsi="Times New Roman" w:cs="Times New Roman"/>
          <w:sz w:val="24"/>
          <w:szCs w:val="24"/>
        </w:rPr>
        <w:t xml:space="preserve"> = celkové výnosy – celkové náklady včetně daně = 655 – 507 = </w:t>
      </w:r>
      <w:r w:rsidRPr="00BE4219">
        <w:rPr>
          <w:rFonts w:ascii="Times New Roman" w:hAnsi="Times New Roman" w:cs="Times New Roman"/>
          <w:b/>
          <w:sz w:val="24"/>
          <w:szCs w:val="24"/>
        </w:rPr>
        <w:t>148 mil. USD</w:t>
      </w:r>
    </w:p>
    <w:p w:rsidR="00BE4219" w:rsidRDefault="00BE4219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ROE=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čistý zisk</m:t>
              </m:r>
            </m:num>
            <m:den>
              <m:r>
                <w:rPr>
                  <w:rFonts w:ascii="Cambria Math" w:hAnsi="Cambria Math"/>
                </w:rPr>
                <m:t>kapitál</m:t>
              </m:r>
            </m:den>
          </m:f>
          <m:r>
            <w:rPr>
              <w:rFonts w:ascii="Cambria Math" w:hAnsi="Cambria Math"/>
            </w:rPr>
            <m:t>*100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%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148</m:t>
              </m:r>
            </m:num>
            <m:den>
              <m:r>
                <w:rPr>
                  <w:rFonts w:ascii="Cambria Math" w:hAnsi="Cambria Math"/>
                </w:rPr>
                <m:t>740</m:t>
              </m:r>
            </m:den>
          </m:f>
          <m:r>
            <w:rPr>
              <w:rFonts w:ascii="Cambria Math" w:hAnsi="Cambria Math"/>
            </w:rPr>
            <m:t>*100=</m:t>
          </m:r>
          <m:r>
            <m:rPr>
              <m:sty m:val="bi"/>
            </m:rPr>
            <w:rPr>
              <w:rFonts w:ascii="Cambria Math" w:hAnsi="Cambria Math"/>
            </w:rPr>
            <m:t>20 %</m:t>
          </m:r>
        </m:oMath>
      </m:oMathPara>
    </w:p>
    <w:p w:rsidR="00BE4219" w:rsidRDefault="00BE4219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219" w:rsidRDefault="00BE4219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ROA=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čistý zisk</m:t>
              </m:r>
            </m:num>
            <m:den>
              <m:r>
                <w:rPr>
                  <w:rFonts w:ascii="Cambria Math" w:hAnsi="Cambria Math"/>
                </w:rPr>
                <m:t>celková aktiva</m:t>
              </m:r>
            </m:den>
          </m:f>
          <m:r>
            <w:rPr>
              <w:rFonts w:ascii="Cambria Math" w:hAnsi="Cambria Math"/>
            </w:rPr>
            <m:t>*100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%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148</m:t>
              </m:r>
            </m:num>
            <m:den>
              <m:r>
                <w:rPr>
                  <w:rFonts w:ascii="Cambria Math" w:hAnsi="Cambria Math"/>
                </w:rPr>
                <m:t>4960</m:t>
              </m:r>
            </m:den>
          </m:f>
          <m:r>
            <w:rPr>
              <w:rFonts w:ascii="Cambria Math" w:hAnsi="Cambria Math"/>
            </w:rPr>
            <m:t>*100=</m:t>
          </m:r>
          <m:r>
            <m:rPr>
              <m:sty m:val="bi"/>
            </m:rPr>
            <w:rPr>
              <w:rFonts w:ascii="Cambria Math" w:hAnsi="Cambria Math"/>
            </w:rPr>
            <m:t>2,98 %</m:t>
          </m:r>
        </m:oMath>
      </m:oMathPara>
    </w:p>
    <w:p w:rsidR="00BE4219" w:rsidRDefault="00BE4219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219" w:rsidRDefault="00BE4219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(Pozn.: celková pasiva = celková aktiva)</w:t>
      </w:r>
    </w:p>
    <w:p w:rsidR="0071439A" w:rsidRDefault="0071439A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219" w:rsidRDefault="009F3CDA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Komentář: hodnoty vypadají vysoké, ROA je určitě hodně dobré, ROE také. Avšak nemůžeme stoprocentně správně vyhodnotit, protože 1) nevíme, jaký je průměr v daném bankovním sektoru (nevíme ani, o jaký bankovní sektor se jedná) a za 2) neznáme hodnoty z předchozích let – zda třeba nedošlo k poklesu. </w:t>
      </w:r>
    </w:p>
    <w:p w:rsidR="00E0683C" w:rsidRDefault="00E0683C" w:rsidP="00E0683C">
      <w:pPr>
        <w:rPr>
          <w:rFonts w:ascii="Times New Roman" w:hAnsi="Times New Roman" w:cs="Times New Roman"/>
          <w:b/>
          <w:sz w:val="28"/>
          <w:szCs w:val="28"/>
        </w:rPr>
      </w:pPr>
    </w:p>
    <w:p w:rsidR="00E0683C" w:rsidRPr="006B4210" w:rsidRDefault="00E0683C" w:rsidP="00E0683C">
      <w:pPr>
        <w:rPr>
          <w:rFonts w:ascii="Times New Roman" w:hAnsi="Times New Roman" w:cs="Times New Roman"/>
          <w:b/>
          <w:sz w:val="28"/>
          <w:szCs w:val="28"/>
        </w:rPr>
      </w:pPr>
      <w:r w:rsidRPr="006B4210">
        <w:rPr>
          <w:rFonts w:ascii="Times New Roman" w:hAnsi="Times New Roman" w:cs="Times New Roman"/>
          <w:b/>
          <w:sz w:val="28"/>
          <w:szCs w:val="28"/>
        </w:rPr>
        <w:t xml:space="preserve">Příklad – slide č.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1439A">
        <w:rPr>
          <w:rFonts w:ascii="Times New Roman" w:hAnsi="Times New Roman" w:cs="Times New Roman"/>
          <w:b/>
          <w:sz w:val="28"/>
          <w:szCs w:val="28"/>
        </w:rPr>
        <w:t>6</w:t>
      </w:r>
      <w:r w:rsidRPr="006B4210">
        <w:rPr>
          <w:rFonts w:ascii="Times New Roman" w:hAnsi="Times New Roman" w:cs="Times New Roman"/>
          <w:b/>
          <w:sz w:val="28"/>
          <w:szCs w:val="28"/>
        </w:rPr>
        <w:t>:</w:t>
      </w:r>
    </w:p>
    <w:p w:rsidR="00E0683C" w:rsidRDefault="00E0683C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třeba vyjít ze vztahu </w:t>
      </w:r>
      <w:r>
        <w:rPr>
          <w:rFonts w:ascii="Cambria Math" w:hAnsi="Cambria Math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ROE=ROA*LM</m:t>
          </m:r>
        </m:oMath>
      </m:oMathPara>
    </w:p>
    <w:p w:rsidR="00E0683C" w:rsidRDefault="00E0683C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CDA" w:rsidRDefault="00E0683C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Známe hodnoty LM u malé a velké banky, nastavíme tedy hodnoty ROA tak, abychom </w:t>
      </w:r>
      <w:r w:rsidR="00D862BA">
        <w:rPr>
          <w:rFonts w:ascii="Times New Roman" w:hAnsi="Times New Roman" w:cs="Times New Roman"/>
          <w:sz w:val="24"/>
          <w:szCs w:val="24"/>
        </w:rPr>
        <w:t xml:space="preserve">při daných hodnotách LM </w:t>
      </w:r>
      <w:r>
        <w:rPr>
          <w:rFonts w:ascii="Times New Roman" w:hAnsi="Times New Roman" w:cs="Times New Roman"/>
          <w:sz w:val="24"/>
          <w:szCs w:val="24"/>
        </w:rPr>
        <w:t xml:space="preserve">dosáhli stejné hodnoty ROE u obou bank, </w:t>
      </w:r>
      <w:r w:rsidR="00D862BA">
        <w:rPr>
          <w:rFonts w:ascii="Times New Roman" w:hAnsi="Times New Roman" w:cs="Times New Roman"/>
          <w:sz w:val="24"/>
          <w:szCs w:val="24"/>
        </w:rPr>
        <w:t xml:space="preserve">čehož dosáhneme </w:t>
      </w:r>
      <w:r>
        <w:rPr>
          <w:rFonts w:ascii="Times New Roman" w:hAnsi="Times New Roman" w:cs="Times New Roman"/>
          <w:sz w:val="24"/>
          <w:szCs w:val="24"/>
        </w:rPr>
        <w:t>např. takto:</w:t>
      </w:r>
    </w:p>
    <w:p w:rsidR="00E0683C" w:rsidRDefault="00E0683C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403"/>
      </w:tblGrid>
      <w:tr w:rsidR="00E0683C" w:rsidTr="00D862BA">
        <w:tc>
          <w:tcPr>
            <w:tcW w:w="1809" w:type="dxa"/>
          </w:tcPr>
          <w:p w:rsidR="00E0683C" w:rsidRDefault="00E0683C" w:rsidP="0019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Malá banka:</w:t>
            </w:r>
          </w:p>
        </w:tc>
        <w:tc>
          <w:tcPr>
            <w:tcW w:w="7403" w:type="dxa"/>
          </w:tcPr>
          <w:p w:rsidR="00E0683C" w:rsidRDefault="00D862BA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20=2*10</m:t>
                </m:r>
              </m:oMath>
            </m:oMathPara>
          </w:p>
        </w:tc>
      </w:tr>
      <w:tr w:rsidR="00E0683C" w:rsidTr="00D862BA">
        <w:tc>
          <w:tcPr>
            <w:tcW w:w="1809" w:type="dxa"/>
          </w:tcPr>
          <w:p w:rsidR="00E0683C" w:rsidRDefault="00E0683C" w:rsidP="0019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Velká banka:</w:t>
            </w:r>
          </w:p>
        </w:tc>
        <w:tc>
          <w:tcPr>
            <w:tcW w:w="7403" w:type="dxa"/>
          </w:tcPr>
          <w:p w:rsidR="00E0683C" w:rsidRDefault="00D862BA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20=1*20</m:t>
                </m:r>
              </m:oMath>
            </m:oMathPara>
          </w:p>
        </w:tc>
      </w:tr>
    </w:tbl>
    <w:p w:rsidR="00E0683C" w:rsidRDefault="00E0683C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83C" w:rsidRDefault="00D862BA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toho vyplývá, že </w:t>
      </w:r>
      <w:r w:rsidRPr="00D862BA">
        <w:rPr>
          <w:rFonts w:ascii="Times New Roman" w:hAnsi="Times New Roman" w:cs="Times New Roman"/>
          <w:b/>
          <w:sz w:val="24"/>
          <w:szCs w:val="24"/>
        </w:rPr>
        <w:t>podíl výnosnosti aktiv malé a velké banky je 2 :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2BA" w:rsidRDefault="00D862BA">
      <w:pPr>
        <w:rPr>
          <w:rFonts w:ascii="Times New Roman" w:hAnsi="Times New Roman" w:cs="Times New Roman"/>
          <w:sz w:val="24"/>
          <w:szCs w:val="24"/>
        </w:rPr>
      </w:pPr>
    </w:p>
    <w:p w:rsidR="00D862BA" w:rsidRPr="006B4210" w:rsidRDefault="00D862BA" w:rsidP="00D862BA">
      <w:pPr>
        <w:rPr>
          <w:rFonts w:ascii="Times New Roman" w:hAnsi="Times New Roman" w:cs="Times New Roman"/>
          <w:b/>
          <w:sz w:val="28"/>
          <w:szCs w:val="28"/>
        </w:rPr>
      </w:pPr>
      <w:r w:rsidRPr="006B4210">
        <w:rPr>
          <w:rFonts w:ascii="Times New Roman" w:hAnsi="Times New Roman" w:cs="Times New Roman"/>
          <w:b/>
          <w:sz w:val="28"/>
          <w:szCs w:val="28"/>
        </w:rPr>
        <w:t xml:space="preserve">Příklad – slide č.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1439A">
        <w:rPr>
          <w:rFonts w:ascii="Times New Roman" w:hAnsi="Times New Roman" w:cs="Times New Roman"/>
          <w:b/>
          <w:sz w:val="28"/>
          <w:szCs w:val="28"/>
        </w:rPr>
        <w:t>7</w:t>
      </w:r>
      <w:r w:rsidRPr="006B4210">
        <w:rPr>
          <w:rFonts w:ascii="Times New Roman" w:hAnsi="Times New Roman" w:cs="Times New Roman"/>
          <w:b/>
          <w:sz w:val="28"/>
          <w:szCs w:val="28"/>
        </w:rPr>
        <w:t>:</w:t>
      </w:r>
    </w:p>
    <w:p w:rsidR="00D862BA" w:rsidRPr="00D862BA" w:rsidRDefault="00D862BA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2BA">
        <w:rPr>
          <w:rFonts w:ascii="Times New Roman" w:hAnsi="Times New Roman" w:cs="Times New Roman"/>
          <w:sz w:val="24"/>
          <w:szCs w:val="24"/>
        </w:rPr>
        <w:t xml:space="preserve">Opět vyjdeme ze vztahu </w:t>
      </w:r>
    </w:p>
    <w:p w:rsidR="00D862BA" w:rsidRPr="00D862BA" w:rsidRDefault="00D862BA" w:rsidP="00D862B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ROE=ROA*LM</m:t>
        </m:r>
      </m:oMath>
      <w:r w:rsidRPr="00D862BA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D862BA" w:rsidRPr="00D862BA" w:rsidRDefault="00D862BA" w:rsidP="00D862B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D862BA" w:rsidRPr="00D862BA" w:rsidRDefault="00D862BA" w:rsidP="00D8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2BA">
        <w:rPr>
          <w:rFonts w:ascii="Times New Roman" w:eastAsiaTheme="minorEastAsia" w:hAnsi="Times New Roman" w:cs="Times New Roman"/>
          <w:sz w:val="24"/>
          <w:szCs w:val="24"/>
        </w:rPr>
        <w:t>uvědomíme si, že LM je podíl aktiv na kapitálu a dosadíme uvedené hodnoty:</w:t>
      </w:r>
    </w:p>
    <w:p w:rsidR="00D862BA" w:rsidRPr="00D862BA" w:rsidRDefault="00D862BA" w:rsidP="00D862BA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ROE=0,9*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1,2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24,75 %</m:t>
          </m:r>
        </m:oMath>
      </m:oMathPara>
    </w:p>
    <w:p w:rsidR="00D862BA" w:rsidRPr="00D862BA" w:rsidRDefault="00D862BA" w:rsidP="00D862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2BA" w:rsidRPr="00D862BA" w:rsidRDefault="00D862BA" w:rsidP="00D862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(Pozn.: hodnotu úvěrů pochopitelně pro výpočet nepotřebujeme.)</w:t>
      </w:r>
    </w:p>
    <w:p w:rsidR="00BA29DD" w:rsidRDefault="00BA2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62BA" w:rsidRPr="006B4210" w:rsidRDefault="00D862BA" w:rsidP="00D862BA">
      <w:pPr>
        <w:rPr>
          <w:rFonts w:ascii="Times New Roman" w:hAnsi="Times New Roman" w:cs="Times New Roman"/>
          <w:b/>
          <w:sz w:val="28"/>
          <w:szCs w:val="28"/>
        </w:rPr>
      </w:pPr>
      <w:r w:rsidRPr="006B42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Příklad – slide č.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1439A">
        <w:rPr>
          <w:rFonts w:ascii="Times New Roman" w:hAnsi="Times New Roman" w:cs="Times New Roman"/>
          <w:b/>
          <w:sz w:val="28"/>
          <w:szCs w:val="28"/>
        </w:rPr>
        <w:t>8</w:t>
      </w:r>
      <w:r w:rsidRPr="006B4210">
        <w:rPr>
          <w:rFonts w:ascii="Times New Roman" w:hAnsi="Times New Roman" w:cs="Times New Roman"/>
          <w:b/>
          <w:sz w:val="28"/>
          <w:szCs w:val="28"/>
        </w:rPr>
        <w:t>:</w:t>
      </w:r>
    </w:p>
    <w:p w:rsidR="00664F01" w:rsidRPr="00352E78" w:rsidRDefault="00664F01" w:rsidP="00352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78">
        <w:rPr>
          <w:rFonts w:ascii="Times New Roman" w:hAnsi="Times New Roman" w:cs="Times New Roman"/>
          <w:sz w:val="24"/>
          <w:szCs w:val="24"/>
        </w:rPr>
        <w:t>Vypočítejte výnosnost aktiv, výnosnost kapitálu a pákový multiplikátor pro:</w:t>
      </w:r>
    </w:p>
    <w:p w:rsidR="00664F01" w:rsidRPr="00352E78" w:rsidRDefault="00664F01" w:rsidP="00352E78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352E78">
        <w:rPr>
          <w:rFonts w:ascii="Times New Roman" w:hAnsi="Times New Roman" w:cs="Times New Roman"/>
          <w:sz w:val="24"/>
          <w:szCs w:val="24"/>
        </w:rPr>
        <w:t>Fio banku,</w:t>
      </w:r>
    </w:p>
    <w:p w:rsidR="00664F01" w:rsidRPr="00352E78" w:rsidRDefault="00664F01" w:rsidP="00352E78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352E78">
        <w:rPr>
          <w:rFonts w:ascii="Times New Roman" w:hAnsi="Times New Roman" w:cs="Times New Roman"/>
          <w:sz w:val="24"/>
          <w:szCs w:val="24"/>
        </w:rPr>
        <w:t>Hypoteční banku,</w:t>
      </w:r>
    </w:p>
    <w:p w:rsidR="00664F01" w:rsidRPr="00352E78" w:rsidRDefault="00664F01" w:rsidP="00352E78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352E78">
        <w:rPr>
          <w:rFonts w:ascii="Times New Roman" w:hAnsi="Times New Roman" w:cs="Times New Roman"/>
          <w:sz w:val="24"/>
          <w:szCs w:val="24"/>
        </w:rPr>
        <w:t xml:space="preserve">Sberbank </w:t>
      </w:r>
    </w:p>
    <w:p w:rsidR="00664F01" w:rsidRPr="00352E78" w:rsidRDefault="00664F01" w:rsidP="00352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78">
        <w:rPr>
          <w:rFonts w:ascii="Times New Roman" w:hAnsi="Times New Roman" w:cs="Times New Roman"/>
          <w:sz w:val="24"/>
          <w:szCs w:val="24"/>
        </w:rPr>
        <w:t>k 31.</w:t>
      </w:r>
      <w:r w:rsidR="00352E78">
        <w:rPr>
          <w:rFonts w:ascii="Times New Roman" w:hAnsi="Times New Roman" w:cs="Times New Roman"/>
          <w:sz w:val="24"/>
          <w:szCs w:val="24"/>
        </w:rPr>
        <w:t xml:space="preserve"> </w:t>
      </w:r>
      <w:r w:rsidRPr="00352E78">
        <w:rPr>
          <w:rFonts w:ascii="Times New Roman" w:hAnsi="Times New Roman" w:cs="Times New Roman"/>
          <w:sz w:val="24"/>
          <w:szCs w:val="24"/>
        </w:rPr>
        <w:t>12.</w:t>
      </w:r>
      <w:r w:rsidR="00352E78">
        <w:rPr>
          <w:rFonts w:ascii="Times New Roman" w:hAnsi="Times New Roman" w:cs="Times New Roman"/>
          <w:sz w:val="24"/>
          <w:szCs w:val="24"/>
        </w:rPr>
        <w:t xml:space="preserve"> </w:t>
      </w:r>
      <w:r w:rsidRPr="00352E78">
        <w:rPr>
          <w:rFonts w:ascii="Times New Roman" w:hAnsi="Times New Roman" w:cs="Times New Roman"/>
          <w:sz w:val="24"/>
          <w:szCs w:val="24"/>
        </w:rPr>
        <w:t>201</w:t>
      </w:r>
      <w:r w:rsidR="0071439A">
        <w:rPr>
          <w:rFonts w:ascii="Times New Roman" w:hAnsi="Times New Roman" w:cs="Times New Roman"/>
          <w:sz w:val="24"/>
          <w:szCs w:val="24"/>
        </w:rPr>
        <w:t>7</w:t>
      </w:r>
      <w:r w:rsidRPr="00352E78">
        <w:rPr>
          <w:rFonts w:ascii="Times New Roman" w:hAnsi="Times New Roman" w:cs="Times New Roman"/>
          <w:sz w:val="24"/>
          <w:szCs w:val="24"/>
        </w:rPr>
        <w:t xml:space="preserve"> a k 31.</w:t>
      </w:r>
      <w:r w:rsidR="00352E78">
        <w:rPr>
          <w:rFonts w:ascii="Times New Roman" w:hAnsi="Times New Roman" w:cs="Times New Roman"/>
          <w:sz w:val="24"/>
          <w:szCs w:val="24"/>
        </w:rPr>
        <w:t xml:space="preserve"> </w:t>
      </w:r>
      <w:r w:rsidRPr="00352E78">
        <w:rPr>
          <w:rFonts w:ascii="Times New Roman" w:hAnsi="Times New Roman" w:cs="Times New Roman"/>
          <w:sz w:val="24"/>
          <w:szCs w:val="24"/>
        </w:rPr>
        <w:t>12.</w:t>
      </w:r>
      <w:r w:rsidR="00352E78">
        <w:rPr>
          <w:rFonts w:ascii="Times New Roman" w:hAnsi="Times New Roman" w:cs="Times New Roman"/>
          <w:sz w:val="24"/>
          <w:szCs w:val="24"/>
        </w:rPr>
        <w:t xml:space="preserve"> </w:t>
      </w:r>
      <w:r w:rsidRPr="00352E78">
        <w:rPr>
          <w:rFonts w:ascii="Times New Roman" w:hAnsi="Times New Roman" w:cs="Times New Roman"/>
          <w:sz w:val="24"/>
          <w:szCs w:val="24"/>
        </w:rPr>
        <w:t>201</w:t>
      </w:r>
      <w:r w:rsidR="0071439A">
        <w:rPr>
          <w:rFonts w:ascii="Times New Roman" w:hAnsi="Times New Roman" w:cs="Times New Roman"/>
          <w:sz w:val="24"/>
          <w:szCs w:val="24"/>
        </w:rPr>
        <w:t>8</w:t>
      </w:r>
      <w:r w:rsidRPr="00352E78">
        <w:rPr>
          <w:rFonts w:ascii="Times New Roman" w:hAnsi="Times New Roman" w:cs="Times New Roman"/>
          <w:sz w:val="24"/>
          <w:szCs w:val="24"/>
        </w:rPr>
        <w:t>, výsledky komentujte.</w:t>
      </w:r>
    </w:p>
    <w:p w:rsidR="00D862BA" w:rsidRDefault="00D862BA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39A" w:rsidRDefault="00352E78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Podklady pro výpočet js</w:t>
      </w:r>
      <w:r w:rsidR="0071439A">
        <w:rPr>
          <w:rFonts w:ascii="Times New Roman" w:hAnsi="Times New Roman" w:cs="Times New Roman"/>
          <w:sz w:val="24"/>
          <w:szCs w:val="24"/>
        </w:rPr>
        <w:t xml:space="preserve">ou vložené </w:t>
      </w:r>
      <w:proofErr w:type="gramStart"/>
      <w:r w:rsidR="0071439A">
        <w:rPr>
          <w:rFonts w:ascii="Times New Roman" w:hAnsi="Times New Roman" w:cs="Times New Roman"/>
          <w:sz w:val="24"/>
          <w:szCs w:val="24"/>
        </w:rPr>
        <w:t>také v IS</w:t>
      </w:r>
      <w:proofErr w:type="gramEnd"/>
      <w:r w:rsidR="0071439A">
        <w:rPr>
          <w:rFonts w:ascii="Times New Roman" w:hAnsi="Times New Roman" w:cs="Times New Roman"/>
          <w:sz w:val="24"/>
          <w:szCs w:val="24"/>
        </w:rPr>
        <w:t xml:space="preserve"> – jedná se o soubory:</w:t>
      </w:r>
    </w:p>
    <w:p w:rsidR="0071439A" w:rsidRDefault="0071439A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DEF" w:rsidRDefault="00352E78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těch budeme při výpočtu vycházet a hledat hodnoty k dosazení do vzorečků pro výpočet ROA, ROE a LM. Pochopitelně hodnoty aktiv a kapitálu budete hledat v rozvaze, hodnoty čistého zisku ve výsledovce. Uvedu vždy postup výpočtu pro rok 201</w:t>
      </w:r>
      <w:r w:rsidR="007143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pro rok 201</w:t>
      </w:r>
      <w:r w:rsidR="007143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vypočítáte sami stejným způsobem, pro kontrolu uvádím výsledky. </w:t>
      </w:r>
    </w:p>
    <w:p w:rsidR="00352E78" w:rsidRDefault="008D62F7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správné komentáře je zapotřebí mít i hodnoty v </w:t>
      </w:r>
      <w:r w:rsidRPr="00D472D0">
        <w:rPr>
          <w:rFonts w:ascii="Times New Roman" w:hAnsi="Times New Roman" w:cs="Times New Roman"/>
          <w:sz w:val="24"/>
          <w:szCs w:val="24"/>
        </w:rPr>
        <w:t xml:space="preserve">bankovním sektoru. </w:t>
      </w:r>
      <w:r w:rsidR="00BB6DEF" w:rsidRPr="00D472D0">
        <w:rPr>
          <w:rFonts w:ascii="Times New Roman" w:hAnsi="Times New Roman" w:cs="Times New Roman"/>
          <w:sz w:val="24"/>
          <w:szCs w:val="24"/>
        </w:rPr>
        <w:t>Hodnoty ROA a ROE jsou uvedené v prezentaci, hodnoty LM si můžete velmi jednoduše vypočítat sami</w:t>
      </w:r>
      <w:r w:rsidR="00BB6DEF">
        <w:rPr>
          <w:rFonts w:ascii="Times New Roman" w:hAnsi="Times New Roman" w:cs="Times New Roman"/>
          <w:sz w:val="24"/>
          <w:szCs w:val="24"/>
        </w:rPr>
        <w:t xml:space="preserve"> – potřebné údaje naleznete zde:</w:t>
      </w:r>
    </w:p>
    <w:p w:rsidR="00BB6DEF" w:rsidRDefault="002A013C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B6DEF" w:rsidRPr="00913870">
          <w:rPr>
            <w:rStyle w:val="Hypertextovodkaz"/>
            <w:rFonts w:ascii="Times New Roman" w:hAnsi="Times New Roman" w:cs="Times New Roman"/>
            <w:sz w:val="24"/>
            <w:szCs w:val="24"/>
          </w:rPr>
          <w:t>http://www.cnb.cz/cnb/stat.arady_pkg.strom_drill?p_strid=BA&amp;p_lang=CS</w:t>
        </w:r>
      </w:hyperlink>
    </w:p>
    <w:p w:rsidR="00BB6DEF" w:rsidRDefault="00BB6DEF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Hodnoty celkových aktiv logicky pod odkazem „Aktiva“, hodnoty kapitálu pod odkazem „Závazky a vlastní kapitál“. </w:t>
      </w:r>
    </w:p>
    <w:p w:rsidR="00BB6DEF" w:rsidRDefault="00BB6DEF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DEF" w:rsidRPr="00BB6DEF" w:rsidRDefault="00BB6DEF" w:rsidP="00190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6DEF">
        <w:rPr>
          <w:rFonts w:ascii="Times New Roman" w:hAnsi="Times New Roman" w:cs="Times New Roman"/>
          <w:b/>
          <w:sz w:val="24"/>
          <w:szCs w:val="24"/>
        </w:rPr>
        <w:t>Bankovní sektor:</w:t>
      </w:r>
    </w:p>
    <w:tbl>
      <w:tblPr>
        <w:tblStyle w:val="Mkatabulky"/>
        <w:tblW w:w="0" w:type="auto"/>
        <w:tblLook w:val="04A0"/>
      </w:tblPr>
      <w:tblGrid>
        <w:gridCol w:w="723"/>
        <w:gridCol w:w="7465"/>
        <w:gridCol w:w="1095"/>
      </w:tblGrid>
      <w:tr w:rsidR="00BB6DEF" w:rsidTr="00BB6DEF">
        <w:tc>
          <w:tcPr>
            <w:tcW w:w="723" w:type="dxa"/>
          </w:tcPr>
          <w:p w:rsidR="00BB6DEF" w:rsidRDefault="00BB6DEF" w:rsidP="00190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</w:tcPr>
          <w:p w:rsidR="00BB6DEF" w:rsidRDefault="00BB6DEF" w:rsidP="0071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143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95" w:type="dxa"/>
          </w:tcPr>
          <w:p w:rsidR="00BB6DEF" w:rsidRDefault="00BB6DEF" w:rsidP="0071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14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B6DEF" w:rsidTr="00BB6DEF">
        <w:tc>
          <w:tcPr>
            <w:tcW w:w="723" w:type="dxa"/>
          </w:tcPr>
          <w:p w:rsidR="00BB6DEF" w:rsidRDefault="00BB6DEF" w:rsidP="0019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ROA</w:t>
            </w:r>
          </w:p>
        </w:tc>
        <w:tc>
          <w:tcPr>
            <w:tcW w:w="7465" w:type="dxa"/>
          </w:tcPr>
          <w:p w:rsidR="00BB6DEF" w:rsidRDefault="00BB6DEF" w:rsidP="00D4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472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95" w:type="dxa"/>
          </w:tcPr>
          <w:p w:rsidR="00BB6DEF" w:rsidRDefault="00BB6DEF" w:rsidP="00D4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472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B6DEF" w:rsidTr="00BB6DEF">
        <w:tc>
          <w:tcPr>
            <w:tcW w:w="723" w:type="dxa"/>
          </w:tcPr>
          <w:p w:rsidR="00BB6DEF" w:rsidRDefault="00BB6DEF" w:rsidP="0019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ROE</w:t>
            </w:r>
          </w:p>
        </w:tc>
        <w:tc>
          <w:tcPr>
            <w:tcW w:w="7465" w:type="dxa"/>
          </w:tcPr>
          <w:p w:rsidR="00BB6DEF" w:rsidRDefault="00BB6DEF" w:rsidP="00D4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72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95" w:type="dxa"/>
          </w:tcPr>
          <w:p w:rsidR="00BB6DEF" w:rsidRDefault="00D472D0" w:rsidP="00D4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B6D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B6DE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B6DEF" w:rsidTr="00BB6DEF">
        <w:tc>
          <w:tcPr>
            <w:tcW w:w="723" w:type="dxa"/>
          </w:tcPr>
          <w:p w:rsidR="00BB6DEF" w:rsidRDefault="00BB6DEF" w:rsidP="0019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  <w:tc>
          <w:tcPr>
            <w:tcW w:w="7465" w:type="dxa"/>
          </w:tcPr>
          <w:p w:rsidR="00BB6DEF" w:rsidRDefault="00980002" w:rsidP="0019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0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pt;height:33pt" o:ole="">
                  <v:imagedata r:id="rId6" o:title=""/>
                </v:shape>
                <o:OLEObject Type="Embed" ProgID="Equation.3" ShapeID="_x0000_i1025" DrawAspect="Content" ObjectID="_1649534538" r:id="rId7"/>
              </w:object>
            </w:r>
          </w:p>
        </w:tc>
        <w:tc>
          <w:tcPr>
            <w:tcW w:w="1095" w:type="dxa"/>
          </w:tcPr>
          <w:p w:rsidR="00BB6DEF" w:rsidRDefault="003F2F33" w:rsidP="00D4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72D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D862BA" w:rsidRDefault="00175893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Komentář: Meziročně došlo k</w:t>
      </w:r>
      <w:r w:rsidR="00980002">
        <w:rPr>
          <w:rFonts w:ascii="Times New Roman" w:hAnsi="Times New Roman" w:cs="Times New Roman"/>
          <w:sz w:val="24"/>
          <w:szCs w:val="24"/>
        </w:rPr>
        <w:t xml:space="preserve"> mírnému růstu </w:t>
      </w:r>
      <w:r>
        <w:rPr>
          <w:rFonts w:ascii="Times New Roman" w:hAnsi="Times New Roman" w:cs="Times New Roman"/>
          <w:sz w:val="24"/>
          <w:szCs w:val="24"/>
        </w:rPr>
        <w:t>ROA i ROE</w:t>
      </w:r>
      <w:r w:rsidR="00980002">
        <w:rPr>
          <w:rFonts w:ascii="Times New Roman" w:hAnsi="Times New Roman" w:cs="Times New Roman"/>
          <w:sz w:val="24"/>
          <w:szCs w:val="24"/>
        </w:rPr>
        <w:t xml:space="preserve">. Klesá kapitálová přiměřenost (roste LM). ROA roste, neboť zisk roste rychleji než aktiva. U ROE za růstem stojí dva faktory – čitatel i jmenovatel vzorce – v čitateli roste zisk, ve jmenovateli klesá kapitál, tj. celkově ROE roste (vidíme větší nárůst ROE než ROA, což je právě i díky vlivu klesající kapitálové přiměřenosti). Hodnoty rentability jsou dobré. </w:t>
      </w:r>
    </w:p>
    <w:p w:rsidR="00175893" w:rsidRDefault="00175893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2BA" w:rsidRPr="00352E78" w:rsidRDefault="00352E78" w:rsidP="00190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E78">
        <w:rPr>
          <w:rFonts w:ascii="Times New Roman" w:hAnsi="Times New Roman" w:cs="Times New Roman"/>
          <w:b/>
          <w:sz w:val="24"/>
          <w:szCs w:val="24"/>
        </w:rPr>
        <w:t>Fio banka:</w:t>
      </w:r>
    </w:p>
    <w:tbl>
      <w:tblPr>
        <w:tblStyle w:val="Mkatabulky"/>
        <w:tblW w:w="0" w:type="auto"/>
        <w:tblLook w:val="04A0"/>
      </w:tblPr>
      <w:tblGrid>
        <w:gridCol w:w="723"/>
        <w:gridCol w:w="7465"/>
        <w:gridCol w:w="1024"/>
      </w:tblGrid>
      <w:tr w:rsidR="00352E78" w:rsidTr="00BB6DEF">
        <w:tc>
          <w:tcPr>
            <w:tcW w:w="723" w:type="dxa"/>
          </w:tcPr>
          <w:p w:rsidR="00352E78" w:rsidRDefault="00352E78" w:rsidP="00190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</w:tcPr>
          <w:p w:rsidR="00352E78" w:rsidRDefault="00352E78" w:rsidP="0071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143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24" w:type="dxa"/>
          </w:tcPr>
          <w:p w:rsidR="00352E78" w:rsidRDefault="00352E78" w:rsidP="0071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14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52E78" w:rsidTr="00BB6DEF">
        <w:tc>
          <w:tcPr>
            <w:tcW w:w="723" w:type="dxa"/>
          </w:tcPr>
          <w:p w:rsidR="00352E78" w:rsidRDefault="00352E78" w:rsidP="0019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ROA</w:t>
            </w:r>
          </w:p>
        </w:tc>
        <w:tc>
          <w:tcPr>
            <w:tcW w:w="7465" w:type="dxa"/>
          </w:tcPr>
          <w:p w:rsidR="00352E78" w:rsidRDefault="00352E78" w:rsidP="0068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ROA=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čistý zisk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celková aktiva</m:t>
                    </m:r>
                  </m:den>
                </m:f>
                <m:r>
                  <w:rPr>
                    <w:rFonts w:ascii="Cambria Math" w:hAnsi="Cambria Math"/>
                  </w:rPr>
                  <m:t>*100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%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408214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107573557</m:t>
                    </m:r>
                  </m:den>
                </m:f>
                <m:r>
                  <w:rPr>
                    <w:rFonts w:ascii="Cambria Math" w:hAnsi="Cambria Math"/>
                  </w:rPr>
                  <m:t>*100=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0,38 %</m:t>
                </m:r>
              </m:oMath>
            </m:oMathPara>
          </w:p>
        </w:tc>
        <w:tc>
          <w:tcPr>
            <w:tcW w:w="1024" w:type="dxa"/>
          </w:tcPr>
          <w:p w:rsidR="00352E78" w:rsidRDefault="00E72345" w:rsidP="00BE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E4DA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BB6DE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52E78" w:rsidTr="00BB6DEF">
        <w:tc>
          <w:tcPr>
            <w:tcW w:w="723" w:type="dxa"/>
          </w:tcPr>
          <w:p w:rsidR="00352E78" w:rsidRDefault="00352E78" w:rsidP="0019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ROE</w:t>
            </w:r>
          </w:p>
        </w:tc>
        <w:tc>
          <w:tcPr>
            <w:tcW w:w="7465" w:type="dxa"/>
          </w:tcPr>
          <w:p w:rsidR="00352E78" w:rsidRDefault="00352E78" w:rsidP="0068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ROE=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čistý zisk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kapitál</m:t>
                    </m:r>
                  </m:den>
                </m:f>
                <m:r>
                  <w:rPr>
                    <w:rFonts w:ascii="Cambria Math" w:hAnsi="Cambria Math"/>
                  </w:rPr>
                  <m:t>*100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%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408214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1659009</m:t>
                    </m:r>
                  </m:den>
                </m:f>
                <m:r>
                  <w:rPr>
                    <w:rFonts w:ascii="Cambria Math" w:hAnsi="Cambria Math"/>
                  </w:rPr>
                  <m:t>*100=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24,61 %</m:t>
                </m:r>
              </m:oMath>
            </m:oMathPara>
          </w:p>
        </w:tc>
        <w:tc>
          <w:tcPr>
            <w:tcW w:w="1024" w:type="dxa"/>
          </w:tcPr>
          <w:p w:rsidR="00352E78" w:rsidRDefault="00BE4DA1" w:rsidP="00BE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345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BB6DE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52E78" w:rsidTr="00BB6DEF">
        <w:tc>
          <w:tcPr>
            <w:tcW w:w="723" w:type="dxa"/>
          </w:tcPr>
          <w:p w:rsidR="00352E78" w:rsidRDefault="00352E78" w:rsidP="0019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  <w:tc>
          <w:tcPr>
            <w:tcW w:w="7465" w:type="dxa"/>
          </w:tcPr>
          <w:p w:rsidR="00352E78" w:rsidRDefault="00687992" w:rsidP="0019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280" w:dyaOrig="660">
                <v:shape id="_x0000_i1026" type="#_x0000_t75" style="width:214pt;height:33pt" o:ole="">
                  <v:imagedata r:id="rId8" o:title=""/>
                </v:shape>
                <o:OLEObject Type="Embed" ProgID="Equation.3" ShapeID="_x0000_i1026" DrawAspect="Content" ObjectID="_1649534539" r:id="rId9"/>
              </w:object>
            </w:r>
          </w:p>
        </w:tc>
        <w:tc>
          <w:tcPr>
            <w:tcW w:w="1024" w:type="dxa"/>
          </w:tcPr>
          <w:p w:rsidR="00352E78" w:rsidRDefault="00BE4DA1" w:rsidP="00BE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723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352E78" w:rsidRDefault="00352E78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345" w:rsidRDefault="00E72345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Fio banky musíme vypočítat i </w:t>
      </w:r>
      <w:r w:rsidRPr="00E72345">
        <w:rPr>
          <w:rFonts w:ascii="Times New Roman" w:hAnsi="Times New Roman" w:cs="Times New Roman"/>
          <w:b/>
          <w:sz w:val="24"/>
          <w:szCs w:val="24"/>
        </w:rPr>
        <w:t>hodnotu kapitálu</w:t>
      </w:r>
      <w:r>
        <w:rPr>
          <w:rFonts w:ascii="Times New Roman" w:hAnsi="Times New Roman" w:cs="Times New Roman"/>
          <w:sz w:val="24"/>
          <w:szCs w:val="24"/>
        </w:rPr>
        <w:t>, a to načtením následujících položek: základní kapitál (</w:t>
      </w:r>
      <w:r w:rsidR="0068799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60000) + emisní ážio (0) + rezervní fondy (</w:t>
      </w:r>
      <w:r w:rsidR="006879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+ </w:t>
      </w:r>
      <w:proofErr w:type="gramStart"/>
      <w:r>
        <w:rPr>
          <w:rFonts w:ascii="Times New Roman" w:hAnsi="Times New Roman" w:cs="Times New Roman"/>
          <w:sz w:val="24"/>
          <w:szCs w:val="24"/>
        </w:rPr>
        <w:t>rez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fondy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nové </w:t>
      </w:r>
      <w:r>
        <w:rPr>
          <w:rFonts w:ascii="Times New Roman" w:hAnsi="Times New Roman" w:cs="Times New Roman"/>
          <w:sz w:val="24"/>
          <w:szCs w:val="24"/>
        </w:rPr>
        <w:lastRenderedPageBreak/>
        <w:t>ocenění (0) + kapitálové fondy (0) + oceňovací rozdíly (</w:t>
      </w:r>
      <w:r w:rsidR="00687992">
        <w:rPr>
          <w:rFonts w:ascii="Times New Roman" w:hAnsi="Times New Roman" w:cs="Times New Roman"/>
          <w:sz w:val="24"/>
          <w:szCs w:val="24"/>
        </w:rPr>
        <w:t>16309</w:t>
      </w:r>
      <w:r>
        <w:rPr>
          <w:rFonts w:ascii="Times New Roman" w:hAnsi="Times New Roman" w:cs="Times New Roman"/>
          <w:sz w:val="24"/>
          <w:szCs w:val="24"/>
        </w:rPr>
        <w:t>) + nerozdělený zisk (</w:t>
      </w:r>
      <w:r w:rsidR="00687992">
        <w:rPr>
          <w:rFonts w:ascii="Times New Roman" w:hAnsi="Times New Roman" w:cs="Times New Roman"/>
          <w:sz w:val="24"/>
          <w:szCs w:val="24"/>
        </w:rPr>
        <w:t>474486</w:t>
      </w:r>
      <w:r>
        <w:rPr>
          <w:rFonts w:ascii="Times New Roman" w:hAnsi="Times New Roman" w:cs="Times New Roman"/>
          <w:sz w:val="24"/>
          <w:szCs w:val="24"/>
        </w:rPr>
        <w:t>) + zisk nebo ztráta za účetní období (</w:t>
      </w:r>
      <w:r w:rsidR="00687992">
        <w:rPr>
          <w:rFonts w:ascii="Times New Roman" w:hAnsi="Times New Roman" w:cs="Times New Roman"/>
          <w:sz w:val="24"/>
          <w:szCs w:val="24"/>
        </w:rPr>
        <w:t>408214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Pr="00E72345">
        <w:rPr>
          <w:rFonts w:ascii="Times New Roman" w:hAnsi="Times New Roman" w:cs="Times New Roman"/>
          <w:b/>
          <w:sz w:val="24"/>
          <w:szCs w:val="24"/>
        </w:rPr>
        <w:t xml:space="preserve">celkem </w:t>
      </w:r>
      <w:r w:rsidR="00687992">
        <w:rPr>
          <w:rFonts w:ascii="Times New Roman" w:hAnsi="Times New Roman" w:cs="Times New Roman"/>
          <w:b/>
          <w:sz w:val="24"/>
          <w:szCs w:val="24"/>
        </w:rPr>
        <w:t>1 659 009</w:t>
      </w:r>
      <w:r w:rsidRPr="00E72345">
        <w:rPr>
          <w:rFonts w:ascii="Times New Roman" w:hAnsi="Times New Roman" w:cs="Times New Roman"/>
          <w:b/>
          <w:sz w:val="24"/>
          <w:szCs w:val="24"/>
        </w:rPr>
        <w:t xml:space="preserve"> tis. Kč</w:t>
      </w:r>
    </w:p>
    <w:p w:rsidR="00834CD0" w:rsidRDefault="00834CD0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345" w:rsidRDefault="00E72345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Komentář: Hodnoty rentability </w:t>
      </w:r>
      <w:r w:rsidR="005727C5">
        <w:rPr>
          <w:rFonts w:ascii="Times New Roman" w:hAnsi="Times New Roman" w:cs="Times New Roman"/>
          <w:sz w:val="24"/>
          <w:szCs w:val="24"/>
        </w:rPr>
        <w:t xml:space="preserve">aktiv </w:t>
      </w:r>
      <w:r>
        <w:rPr>
          <w:rFonts w:ascii="Times New Roman" w:hAnsi="Times New Roman" w:cs="Times New Roman"/>
          <w:sz w:val="24"/>
          <w:szCs w:val="24"/>
        </w:rPr>
        <w:t>Fio banky jsou velice nízké</w:t>
      </w:r>
      <w:r w:rsidR="005727C5">
        <w:rPr>
          <w:rFonts w:ascii="Times New Roman" w:hAnsi="Times New Roman" w:cs="Times New Roman"/>
          <w:sz w:val="24"/>
          <w:szCs w:val="24"/>
        </w:rPr>
        <w:t xml:space="preserve">. Pozitivní je však to, že došlo k jejich výraznému růstu, a to z důvodu výrazného nárůstu zisku. I tak je ale ROA pod standardem. Došlo i k výraznému růstu ROE, a to navzdory růstu kapitálové přiměřenosti (klesající LM) – tj. zisk roste rychleji než kapitál. Hodnoty ROE jsou vysoce nadprůměrné. Vzhledem k nízkým hodnotám ROA to ale spíš než skvělým ziskem bude nízkou kapitálovou přiměřeností. </w:t>
      </w:r>
    </w:p>
    <w:p w:rsidR="00175893" w:rsidRDefault="00175893" w:rsidP="00190D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2E78" w:rsidRPr="00352E78" w:rsidRDefault="005727C5" w:rsidP="00190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Raiffeisenbank</w:t>
      </w:r>
      <w:r w:rsidR="00352E78" w:rsidRPr="00352E7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/>
      </w:tblPr>
      <w:tblGrid>
        <w:gridCol w:w="723"/>
        <w:gridCol w:w="7465"/>
        <w:gridCol w:w="1024"/>
      </w:tblGrid>
      <w:tr w:rsidR="00212B4D" w:rsidTr="00664F01">
        <w:tc>
          <w:tcPr>
            <w:tcW w:w="723" w:type="dxa"/>
          </w:tcPr>
          <w:p w:rsidR="00212B4D" w:rsidRDefault="00212B4D" w:rsidP="0066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</w:tcPr>
          <w:p w:rsidR="00212B4D" w:rsidRDefault="00212B4D" w:rsidP="0071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143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24" w:type="dxa"/>
          </w:tcPr>
          <w:p w:rsidR="00212B4D" w:rsidRDefault="00212B4D" w:rsidP="0071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14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12B4D" w:rsidTr="00664F01">
        <w:tc>
          <w:tcPr>
            <w:tcW w:w="723" w:type="dxa"/>
          </w:tcPr>
          <w:p w:rsidR="00212B4D" w:rsidRDefault="00212B4D" w:rsidP="0066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ROA</w:t>
            </w:r>
          </w:p>
        </w:tc>
        <w:tc>
          <w:tcPr>
            <w:tcW w:w="7465" w:type="dxa"/>
          </w:tcPr>
          <w:p w:rsidR="00212B4D" w:rsidRDefault="00212B4D" w:rsidP="005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ROA=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čistý zisk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celková aktiva</m:t>
                    </m:r>
                  </m:den>
                </m:f>
                <m:r>
                  <w:rPr>
                    <w:rFonts w:ascii="Cambria Math" w:hAnsi="Cambria Math"/>
                  </w:rPr>
                  <m:t>*100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%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3257951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342698968</m:t>
                    </m:r>
                  </m:den>
                </m:f>
                <m:r>
                  <w:rPr>
                    <w:rFonts w:ascii="Cambria Math" w:hAnsi="Cambria Math"/>
                  </w:rPr>
                  <m:t>*100=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0,95 %</m:t>
                </m:r>
              </m:oMath>
            </m:oMathPara>
          </w:p>
        </w:tc>
        <w:tc>
          <w:tcPr>
            <w:tcW w:w="1024" w:type="dxa"/>
          </w:tcPr>
          <w:p w:rsidR="00212B4D" w:rsidRDefault="0001438F" w:rsidP="005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727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12B4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12B4D" w:rsidTr="00664F01">
        <w:tc>
          <w:tcPr>
            <w:tcW w:w="723" w:type="dxa"/>
          </w:tcPr>
          <w:p w:rsidR="00212B4D" w:rsidRDefault="00212B4D" w:rsidP="0066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ROE</w:t>
            </w:r>
          </w:p>
        </w:tc>
        <w:tc>
          <w:tcPr>
            <w:tcW w:w="7465" w:type="dxa"/>
          </w:tcPr>
          <w:p w:rsidR="00212B4D" w:rsidRDefault="00212B4D" w:rsidP="005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ROE=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čistý zisk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kapitál</m:t>
                    </m:r>
                  </m:den>
                </m:f>
                <m:r>
                  <w:rPr>
                    <w:rFonts w:ascii="Cambria Math" w:hAnsi="Cambria Math"/>
                  </w:rPr>
                  <m:t>*100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%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3257951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27905030</m:t>
                    </m:r>
                  </m:den>
                </m:f>
                <m:r>
                  <w:rPr>
                    <w:rFonts w:ascii="Cambria Math" w:hAnsi="Cambria Math"/>
                  </w:rPr>
                  <m:t>*100=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11,68 %</m:t>
                </m:r>
              </m:oMath>
            </m:oMathPara>
          </w:p>
        </w:tc>
        <w:tc>
          <w:tcPr>
            <w:tcW w:w="1024" w:type="dxa"/>
          </w:tcPr>
          <w:p w:rsidR="00212B4D" w:rsidRDefault="0001438F" w:rsidP="005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7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27C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212B4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12B4D" w:rsidTr="00664F01">
        <w:tc>
          <w:tcPr>
            <w:tcW w:w="723" w:type="dxa"/>
          </w:tcPr>
          <w:p w:rsidR="00212B4D" w:rsidRDefault="00212B4D" w:rsidP="0066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  <w:tc>
          <w:tcPr>
            <w:tcW w:w="7465" w:type="dxa"/>
          </w:tcPr>
          <w:p w:rsidR="00212B4D" w:rsidRDefault="005727C5" w:rsidP="0066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280" w:dyaOrig="660">
                <v:shape id="_x0000_i1027" type="#_x0000_t75" style="width:214pt;height:33pt" o:ole="">
                  <v:imagedata r:id="rId10" o:title=""/>
                </v:shape>
                <o:OLEObject Type="Embed" ProgID="Equation.3" ShapeID="_x0000_i1027" DrawAspect="Content" ObjectID="_1649534540" r:id="rId11"/>
              </w:object>
            </w:r>
          </w:p>
        </w:tc>
        <w:tc>
          <w:tcPr>
            <w:tcW w:w="1024" w:type="dxa"/>
          </w:tcPr>
          <w:p w:rsidR="00212B4D" w:rsidRDefault="005727C5" w:rsidP="005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1438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52E78" w:rsidRDefault="00352E78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38F" w:rsidRDefault="0001438F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Komentář: </w:t>
      </w:r>
      <w:r w:rsidR="00B10A7A">
        <w:rPr>
          <w:rFonts w:ascii="Times New Roman" w:hAnsi="Times New Roman" w:cs="Times New Roman"/>
          <w:sz w:val="24"/>
          <w:szCs w:val="24"/>
        </w:rPr>
        <w:t>Raiffeisenbank má stejný trend vývoje jako Fio banka, ale s mnohem nižšími hodnotami</w:t>
      </w:r>
      <w:r w:rsidR="00FE401A">
        <w:rPr>
          <w:rFonts w:ascii="Times New Roman" w:hAnsi="Times New Roman" w:cs="Times New Roman"/>
          <w:sz w:val="24"/>
          <w:szCs w:val="24"/>
        </w:rPr>
        <w:t xml:space="preserve">, co se týče ROE. Hodnota ROE je u Raiffeisenbank mnohem nižší než u Fio banky, protože Raiffeisenbank má o dost vyšší kapitálovou přiměřenost (nižší LM než Fio). Naproti tomu rentabilitu aktiv má Raiffeisenbank o dost příznivější. I tak jsou ale hodnoty obou rentability pod průměrem českého bankovního sektoru. </w:t>
      </w:r>
    </w:p>
    <w:p w:rsidR="00352E78" w:rsidRDefault="00352E78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78" w:rsidRPr="00352E78" w:rsidRDefault="00352E78" w:rsidP="00190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E78">
        <w:rPr>
          <w:rFonts w:ascii="Times New Roman" w:hAnsi="Times New Roman" w:cs="Times New Roman"/>
          <w:b/>
          <w:sz w:val="24"/>
          <w:szCs w:val="24"/>
        </w:rPr>
        <w:t>Sberbank:</w:t>
      </w:r>
    </w:p>
    <w:tbl>
      <w:tblPr>
        <w:tblStyle w:val="Mkatabulky"/>
        <w:tblW w:w="0" w:type="auto"/>
        <w:tblLook w:val="04A0"/>
      </w:tblPr>
      <w:tblGrid>
        <w:gridCol w:w="723"/>
        <w:gridCol w:w="7465"/>
        <w:gridCol w:w="1024"/>
      </w:tblGrid>
      <w:tr w:rsidR="00212B4D" w:rsidTr="00664F01">
        <w:tc>
          <w:tcPr>
            <w:tcW w:w="723" w:type="dxa"/>
          </w:tcPr>
          <w:p w:rsidR="00212B4D" w:rsidRDefault="00212B4D" w:rsidP="0066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</w:tcPr>
          <w:p w:rsidR="00212B4D" w:rsidRDefault="00212B4D" w:rsidP="0071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143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24" w:type="dxa"/>
          </w:tcPr>
          <w:p w:rsidR="00212B4D" w:rsidRDefault="00212B4D" w:rsidP="0071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14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12B4D" w:rsidTr="00664F01">
        <w:tc>
          <w:tcPr>
            <w:tcW w:w="723" w:type="dxa"/>
          </w:tcPr>
          <w:p w:rsidR="00212B4D" w:rsidRDefault="00212B4D" w:rsidP="0066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ROA</w:t>
            </w:r>
          </w:p>
        </w:tc>
        <w:tc>
          <w:tcPr>
            <w:tcW w:w="7465" w:type="dxa"/>
          </w:tcPr>
          <w:p w:rsidR="00212B4D" w:rsidRDefault="00212B4D" w:rsidP="00FD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ROA=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čistý zisk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celková aktiva</m:t>
                    </m:r>
                  </m:den>
                </m:f>
                <m:r>
                  <w:rPr>
                    <w:rFonts w:ascii="Cambria Math" w:hAnsi="Cambria Math"/>
                  </w:rPr>
                  <m:t>*100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%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424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81464</m:t>
                    </m:r>
                  </m:den>
                </m:f>
                <m:r>
                  <w:rPr>
                    <w:rFonts w:ascii="Cambria Math" w:hAnsi="Cambria Math"/>
                  </w:rPr>
                  <m:t>*100=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0,52 %</m:t>
                </m:r>
              </m:oMath>
            </m:oMathPara>
          </w:p>
        </w:tc>
        <w:tc>
          <w:tcPr>
            <w:tcW w:w="1024" w:type="dxa"/>
          </w:tcPr>
          <w:p w:rsidR="00212B4D" w:rsidRDefault="00212B4D" w:rsidP="00FD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D2C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12B4D" w:rsidTr="00664F01">
        <w:tc>
          <w:tcPr>
            <w:tcW w:w="723" w:type="dxa"/>
          </w:tcPr>
          <w:p w:rsidR="00212B4D" w:rsidRDefault="00212B4D" w:rsidP="0066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ROE</w:t>
            </w:r>
          </w:p>
        </w:tc>
        <w:tc>
          <w:tcPr>
            <w:tcW w:w="7465" w:type="dxa"/>
          </w:tcPr>
          <w:p w:rsidR="00212B4D" w:rsidRDefault="00212B4D" w:rsidP="00FD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ROE=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čistý zisk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kapitál</m:t>
                    </m:r>
                  </m:den>
                </m:f>
                <m:r>
                  <w:rPr>
                    <w:rFonts w:ascii="Cambria Math" w:hAnsi="Cambria Math"/>
                  </w:rPr>
                  <m:t>*100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%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424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8754</m:t>
                    </m:r>
                  </m:den>
                </m:f>
                <m:r>
                  <w:rPr>
                    <w:rFonts w:ascii="Cambria Math" w:hAnsi="Cambria Math"/>
                  </w:rPr>
                  <m:t>*100=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4,84 %</m:t>
                </m:r>
              </m:oMath>
            </m:oMathPara>
          </w:p>
        </w:tc>
        <w:tc>
          <w:tcPr>
            <w:tcW w:w="1024" w:type="dxa"/>
          </w:tcPr>
          <w:p w:rsidR="00212B4D" w:rsidRDefault="00FD2C32" w:rsidP="00FD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2B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12B4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12B4D" w:rsidTr="00664F01">
        <w:tc>
          <w:tcPr>
            <w:tcW w:w="723" w:type="dxa"/>
          </w:tcPr>
          <w:p w:rsidR="00212B4D" w:rsidRDefault="00212B4D" w:rsidP="0066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  <w:tc>
          <w:tcPr>
            <w:tcW w:w="7465" w:type="dxa"/>
          </w:tcPr>
          <w:p w:rsidR="00212B4D" w:rsidRDefault="0048553A" w:rsidP="0066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680" w:dyaOrig="660">
                <v:shape id="_x0000_i1028" type="#_x0000_t75" style="width:184pt;height:33pt" o:ole="">
                  <v:imagedata r:id="rId12" o:title=""/>
                </v:shape>
                <o:OLEObject Type="Embed" ProgID="Equation.3" ShapeID="_x0000_i1028" DrawAspect="Content" ObjectID="_1649534541" r:id="rId13"/>
              </w:object>
            </w:r>
          </w:p>
        </w:tc>
        <w:tc>
          <w:tcPr>
            <w:tcW w:w="1024" w:type="dxa"/>
          </w:tcPr>
          <w:p w:rsidR="00212B4D" w:rsidRDefault="00FD2C32" w:rsidP="00FD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2B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352E78" w:rsidRDefault="00352E78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9DD" w:rsidRDefault="00BA29DD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Komentář: </w:t>
      </w:r>
      <w:r w:rsidR="00B60448">
        <w:rPr>
          <w:rFonts w:ascii="Times New Roman" w:hAnsi="Times New Roman" w:cs="Times New Roman"/>
          <w:sz w:val="24"/>
          <w:szCs w:val="24"/>
        </w:rPr>
        <w:t xml:space="preserve">U Sberbank </w:t>
      </w:r>
      <w:r w:rsidR="0048553A">
        <w:rPr>
          <w:rFonts w:ascii="Times New Roman" w:hAnsi="Times New Roman" w:cs="Times New Roman"/>
          <w:sz w:val="24"/>
          <w:szCs w:val="24"/>
        </w:rPr>
        <w:t xml:space="preserve">došlo k poklesu zisku, proto klesá jak ROE, tak ROA. Hodnoty rentability jsou výrazně podprůměrné. Pozitivní je pouze to, že hodnoty ROA a ROE jsou alespoň kladné, tj. banka dosahuje sice nízkého, ale alespoň nějakého zisku. Ze všech tří ukazatelů tak pozitivně hodnotíme pouze ukazatel LM: LM je silně podprůměrné, což znamená nadprůměrnou kapitálovou přiměřenost. Sberbank je </w:t>
      </w:r>
      <w:r w:rsidR="00FE401A">
        <w:rPr>
          <w:rFonts w:ascii="Times New Roman" w:hAnsi="Times New Roman" w:cs="Times New Roman"/>
          <w:sz w:val="24"/>
          <w:szCs w:val="24"/>
        </w:rPr>
        <w:t>malá banka a u těch to tak většinou je.</w:t>
      </w:r>
    </w:p>
    <w:p w:rsidR="00D862BA" w:rsidRDefault="00D862BA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112" w:rsidRDefault="00BB3112">
      <w:pPr>
        <w:rPr>
          <w:rFonts w:ascii="Times New Roman" w:hAnsi="Times New Roman" w:cs="Times New Roman"/>
          <w:sz w:val="24"/>
          <w:szCs w:val="24"/>
        </w:rPr>
      </w:pPr>
    </w:p>
    <w:sectPr w:rsidR="00BB3112" w:rsidSect="0029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6BF"/>
    <w:multiLevelType w:val="hybridMultilevel"/>
    <w:tmpl w:val="B3C2CEBA"/>
    <w:lvl w:ilvl="0" w:tplc="C8EA6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80625"/>
    <w:multiLevelType w:val="hybridMultilevel"/>
    <w:tmpl w:val="E9FAE10A"/>
    <w:lvl w:ilvl="0" w:tplc="CFCEBB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92AB9C">
      <w:start w:val="135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11441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D2749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4EF7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26F6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8EAC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78F3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AAA3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CBC322B"/>
    <w:multiLevelType w:val="hybridMultilevel"/>
    <w:tmpl w:val="AC8C212A"/>
    <w:lvl w:ilvl="0" w:tplc="D090E5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DCB2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9CA8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F09C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1CFB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D6EB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FA50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3097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42CF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16E3AFB"/>
    <w:multiLevelType w:val="hybridMultilevel"/>
    <w:tmpl w:val="955C6D36"/>
    <w:lvl w:ilvl="0" w:tplc="B1905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E3474"/>
    <w:multiLevelType w:val="hybridMultilevel"/>
    <w:tmpl w:val="26CA607E"/>
    <w:lvl w:ilvl="0" w:tplc="5FB4E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4012D6">
      <w:start w:val="160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0E8E8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429D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464A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48A9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5299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90B1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08CF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6264544"/>
    <w:multiLevelType w:val="hybridMultilevel"/>
    <w:tmpl w:val="1C5432D2"/>
    <w:lvl w:ilvl="0" w:tplc="F07447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6A16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1EAC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686F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E24D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C23B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20CF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6230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50F2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25919EC"/>
    <w:multiLevelType w:val="hybridMultilevel"/>
    <w:tmpl w:val="33CC96E8"/>
    <w:lvl w:ilvl="0" w:tplc="D38E82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3E86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663A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AE22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08D3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B8A3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D0F4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ACE4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74F7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6597782"/>
    <w:multiLevelType w:val="hybridMultilevel"/>
    <w:tmpl w:val="21E01AE8"/>
    <w:lvl w:ilvl="0" w:tplc="890297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5E12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1624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EC68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E42B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6C22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94C2D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242A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F67B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48C4DED"/>
    <w:multiLevelType w:val="hybridMultilevel"/>
    <w:tmpl w:val="A2BEBDA6"/>
    <w:lvl w:ilvl="0" w:tplc="085ADC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26B4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7CA6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5CAA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E6F3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F8AD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568A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5AA2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F0CE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C5610A1"/>
    <w:multiLevelType w:val="hybridMultilevel"/>
    <w:tmpl w:val="32BCD518"/>
    <w:lvl w:ilvl="0" w:tplc="7902D4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BC86EE">
      <w:start w:val="138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732EA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64EA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B8CA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A812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1486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04BB3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BA00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E451DC5"/>
    <w:multiLevelType w:val="hybridMultilevel"/>
    <w:tmpl w:val="7852801A"/>
    <w:lvl w:ilvl="0" w:tplc="E5DCD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20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A26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96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7EE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989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E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AB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DE5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9421B43"/>
    <w:multiLevelType w:val="hybridMultilevel"/>
    <w:tmpl w:val="11FA29AA"/>
    <w:lvl w:ilvl="0" w:tplc="B336A6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EEE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0472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228C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0CA9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1425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ECE0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62E5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6071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FCA392D"/>
    <w:multiLevelType w:val="hybridMultilevel"/>
    <w:tmpl w:val="8732ED64"/>
    <w:lvl w:ilvl="0" w:tplc="D14AA9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A26580">
      <w:start w:val="153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7F6CE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80B0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7CE4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96AE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CC2B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4CB7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D2FE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0DF3"/>
    <w:rsid w:val="0001438F"/>
    <w:rsid w:val="00175893"/>
    <w:rsid w:val="00190DF3"/>
    <w:rsid w:val="00212B4D"/>
    <w:rsid w:val="00296055"/>
    <w:rsid w:val="002A013C"/>
    <w:rsid w:val="002A0BC1"/>
    <w:rsid w:val="003257C6"/>
    <w:rsid w:val="00352E78"/>
    <w:rsid w:val="003B2647"/>
    <w:rsid w:val="003F2F33"/>
    <w:rsid w:val="0041580E"/>
    <w:rsid w:val="00417B40"/>
    <w:rsid w:val="0048553A"/>
    <w:rsid w:val="004A7083"/>
    <w:rsid w:val="00543A9B"/>
    <w:rsid w:val="00554BA0"/>
    <w:rsid w:val="005727C5"/>
    <w:rsid w:val="00611681"/>
    <w:rsid w:val="00631113"/>
    <w:rsid w:val="00664F01"/>
    <w:rsid w:val="00687992"/>
    <w:rsid w:val="006B4210"/>
    <w:rsid w:val="0071439A"/>
    <w:rsid w:val="00771CC9"/>
    <w:rsid w:val="007E27E2"/>
    <w:rsid w:val="008117FC"/>
    <w:rsid w:val="00834CD0"/>
    <w:rsid w:val="0084074E"/>
    <w:rsid w:val="00855D6B"/>
    <w:rsid w:val="008A04CE"/>
    <w:rsid w:val="008A6B65"/>
    <w:rsid w:val="008D62F7"/>
    <w:rsid w:val="00980002"/>
    <w:rsid w:val="009E5DA1"/>
    <w:rsid w:val="009F3CDA"/>
    <w:rsid w:val="009F7EAF"/>
    <w:rsid w:val="00A06EF6"/>
    <w:rsid w:val="00A11900"/>
    <w:rsid w:val="00A46108"/>
    <w:rsid w:val="00B10A7A"/>
    <w:rsid w:val="00B206AA"/>
    <w:rsid w:val="00B60448"/>
    <w:rsid w:val="00B62796"/>
    <w:rsid w:val="00B74F5C"/>
    <w:rsid w:val="00BA29DD"/>
    <w:rsid w:val="00BA2ACD"/>
    <w:rsid w:val="00BB3112"/>
    <w:rsid w:val="00BB6DEF"/>
    <w:rsid w:val="00BE4219"/>
    <w:rsid w:val="00BE4DA1"/>
    <w:rsid w:val="00C01404"/>
    <w:rsid w:val="00C81BE7"/>
    <w:rsid w:val="00CF5D87"/>
    <w:rsid w:val="00D10197"/>
    <w:rsid w:val="00D3567E"/>
    <w:rsid w:val="00D472D0"/>
    <w:rsid w:val="00D51DD5"/>
    <w:rsid w:val="00D6319C"/>
    <w:rsid w:val="00D862BA"/>
    <w:rsid w:val="00DB1A4C"/>
    <w:rsid w:val="00DE7D48"/>
    <w:rsid w:val="00E0683C"/>
    <w:rsid w:val="00E72345"/>
    <w:rsid w:val="00E97C8B"/>
    <w:rsid w:val="00EB0B55"/>
    <w:rsid w:val="00EF03DE"/>
    <w:rsid w:val="00FD2C32"/>
    <w:rsid w:val="00FE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60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0D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21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B6D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16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9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2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66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6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0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8099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807">
          <w:marLeft w:val="141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800">
          <w:marLeft w:val="141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379">
          <w:marLeft w:val="141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4894">
          <w:marLeft w:val="141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873">
          <w:marLeft w:val="141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23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60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6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22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6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55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3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47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7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38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35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56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8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5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910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58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8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84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94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3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6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8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7738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717">
          <w:marLeft w:val="146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537">
          <w:marLeft w:val="146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98">
          <w:marLeft w:val="146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626">
          <w:marLeft w:val="146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523">
          <w:marLeft w:val="146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131">
          <w:marLeft w:val="146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727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://www.cnb.cz/cnb/stat.arady_pkg.strom_drill?p_strid=BA&amp;p_lang=CS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vodova</dc:creator>
  <cp:lastModifiedBy>vodova</cp:lastModifiedBy>
  <cp:revision>3</cp:revision>
  <dcterms:created xsi:type="dcterms:W3CDTF">2020-04-27T21:14:00Z</dcterms:created>
  <dcterms:modified xsi:type="dcterms:W3CDTF">2020-04-27T21:15:00Z</dcterms:modified>
</cp:coreProperties>
</file>