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1B" w:rsidRDefault="00DF5C1B">
      <w:pPr>
        <w:rPr>
          <w:rFonts w:ascii="Times New Roman" w:hAnsi="Times New Roman" w:cs="Times New Roman"/>
          <w:b/>
          <w:sz w:val="24"/>
          <w:szCs w:val="24"/>
        </w:rPr>
      </w:pPr>
    </w:p>
    <w:p w:rsidR="009C34A9" w:rsidRPr="00856447" w:rsidRDefault="00BE4D0B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2C2D47">
        <w:rPr>
          <w:rFonts w:ascii="Times New Roman" w:hAnsi="Times New Roman" w:cs="Times New Roman"/>
          <w:b/>
          <w:sz w:val="28"/>
          <w:szCs w:val="28"/>
        </w:rPr>
        <w:t xml:space="preserve">enové </w:t>
      </w:r>
      <w:r w:rsidR="00DF5C1B" w:rsidRPr="00856447">
        <w:rPr>
          <w:rFonts w:ascii="Times New Roman" w:hAnsi="Times New Roman" w:cs="Times New Roman"/>
          <w:b/>
          <w:sz w:val="28"/>
          <w:szCs w:val="28"/>
        </w:rPr>
        <w:t>indexy</w:t>
      </w:r>
      <w:r w:rsidR="002C2D47">
        <w:rPr>
          <w:rFonts w:ascii="Times New Roman" w:hAnsi="Times New Roman" w:cs="Times New Roman"/>
          <w:b/>
          <w:sz w:val="28"/>
          <w:szCs w:val="28"/>
        </w:rPr>
        <w:t>, inflace</w:t>
      </w:r>
    </w:p>
    <w:p w:rsidR="001851CA" w:rsidRDefault="001851CA" w:rsidP="00487EF7">
      <w:pPr>
        <w:ind w:left="709" w:hanging="709"/>
        <w:rPr>
          <w:rFonts w:ascii="Times New Roman" w:hAnsi="Times New Roman" w:cs="Times New Roman"/>
          <w:b/>
        </w:rPr>
      </w:pPr>
    </w:p>
    <w:p w:rsidR="001851CA" w:rsidRDefault="001851CA" w:rsidP="001851CA">
      <w:pPr>
        <w:ind w:left="709" w:hanging="709"/>
        <w:rPr>
          <w:rFonts w:ascii="Times New Roman" w:eastAsiaTheme="minorEastAsia" w:hAnsi="Times New Roman" w:cs="Times New Roman"/>
          <w:b/>
          <w:bCs/>
          <w:iCs/>
        </w:rPr>
      </w:pPr>
      <w:r w:rsidRPr="001851CA">
        <w:rPr>
          <w:rFonts w:ascii="Times New Roman" w:hAnsi="Times New Roman" w:cs="Times New Roman"/>
          <w:b/>
          <w:u w:val="single"/>
        </w:rPr>
        <w:t>Index spotřebitelských cen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Laspayerův</w:t>
      </w:r>
      <w:proofErr w:type="spellEnd"/>
      <w:r>
        <w:rPr>
          <w:rFonts w:ascii="Times New Roman" w:hAnsi="Times New Roman" w:cs="Times New Roman"/>
          <w:b/>
        </w:rPr>
        <w:t xml:space="preserve"> index)           </w:t>
      </w:r>
      <m:oMath>
        <m:r>
          <m:rPr>
            <m:sty m:val="bi"/>
          </m:rPr>
          <w:rPr>
            <w:rFonts w:ascii="Cambria Math" w:hAnsi="Cambria Math" w:cs="Times New Roman"/>
          </w:rPr>
          <m:t>CPI= 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e>
            </m:nary>
          </m:den>
        </m:f>
        <m:r>
          <m:rPr>
            <m:sty m:val="bi"/>
          </m:rPr>
          <w:rPr>
            <w:rFonts w:ascii="Cambria Math" w:hAnsi="Cambria Math" w:cs="Times New Roman"/>
          </w:rPr>
          <m:t>×100</m:t>
        </m:r>
      </m:oMath>
    </w:p>
    <w:p w:rsidR="001851CA" w:rsidRDefault="001851CA" w:rsidP="001851CA">
      <w:pPr>
        <w:ind w:left="709" w:hanging="709"/>
        <w:rPr>
          <w:rFonts w:ascii="Times New Roman" w:hAnsi="Times New Roman" w:cs="Times New Roman"/>
          <w:b/>
        </w:rPr>
      </w:pPr>
    </w:p>
    <w:p w:rsidR="001851CA" w:rsidRDefault="001851CA" w:rsidP="001851CA">
      <w:pPr>
        <w:ind w:left="709" w:hanging="709"/>
        <w:rPr>
          <w:b/>
          <w:bCs/>
        </w:rPr>
      </w:pPr>
      <w:r w:rsidRPr="001851CA">
        <w:rPr>
          <w:rFonts w:ascii="Times New Roman" w:hAnsi="Times New Roman" w:cs="Times New Roman"/>
          <w:b/>
          <w:u w:val="single"/>
        </w:rPr>
        <w:t>Deflátor HDP</w:t>
      </w:r>
      <w:r>
        <w:rPr>
          <w:rFonts w:ascii="Times New Roman" w:hAnsi="Times New Roman" w:cs="Times New Roman"/>
          <w:b/>
        </w:rPr>
        <w:t xml:space="preserve"> (implicitní cenový deflátor)     </w:t>
      </w:r>
      <m:oMath>
        <m:r>
          <m:rPr>
            <m:sty m:val="bi"/>
          </m:rPr>
          <w:rPr>
            <w:rFonts w:ascii="Cambria Math" w:hAnsi="Cambria Math"/>
          </w:rPr>
          <m:t>IPD=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nary>
          </m:den>
        </m:f>
        <m:r>
          <m:rPr>
            <m:sty m:val="bi"/>
          </m:rPr>
          <w:rPr>
            <w:rFonts w:ascii="Cambria Math" w:hAnsi="Cambria Math"/>
          </w:rPr>
          <m:t>×100</m:t>
        </m:r>
      </m:oMath>
      <w:r w:rsidRPr="001851CA">
        <w:rPr>
          <w:b/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Nominální HDP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Reálný HDP</m:t>
            </m:r>
          </m:den>
        </m:f>
      </m:oMath>
      <w:r w:rsidRPr="001851CA">
        <w:rPr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×100</m:t>
        </m:r>
      </m:oMath>
      <w:r w:rsidRPr="001851CA">
        <w:rPr>
          <w:b/>
          <w:bCs/>
        </w:rPr>
        <w:t xml:space="preserve"> </w:t>
      </w:r>
    </w:p>
    <w:p w:rsidR="001851CA" w:rsidRDefault="001851CA" w:rsidP="001851CA">
      <w:pPr>
        <w:ind w:left="709" w:hanging="709"/>
        <w:rPr>
          <w:b/>
        </w:rPr>
      </w:pPr>
    </w:p>
    <w:p w:rsidR="001851CA" w:rsidRDefault="001851CA" w:rsidP="001851CA">
      <w:pPr>
        <w:ind w:left="709" w:hanging="709"/>
        <w:rPr>
          <w:rFonts w:ascii="Times New Roman" w:eastAsiaTheme="minorEastAsia" w:hAnsi="Times New Roman" w:cs="Times New Roman"/>
          <w:b/>
          <w:bCs/>
          <w:iCs/>
        </w:rPr>
      </w:pPr>
      <w:r w:rsidRPr="001851CA">
        <w:rPr>
          <w:rFonts w:ascii="Times New Roman" w:hAnsi="Times New Roman" w:cs="Times New Roman"/>
          <w:b/>
          <w:u w:val="single"/>
        </w:rPr>
        <w:t>Míra inflace</w:t>
      </w:r>
      <w:r>
        <w:rPr>
          <w:rFonts w:ascii="Times New Roman" w:hAnsi="Times New Roman" w:cs="Times New Roman"/>
          <w:b/>
        </w:rPr>
        <w:t xml:space="preserve">      </w:t>
      </w:r>
      <m:oMath>
        <m:r>
          <m:rPr>
            <m:sty m:val="bi"/>
          </m:rPr>
          <w:rPr>
            <w:rFonts w:ascii="Cambria Math" w:hAnsi="Cambria Math"/>
          </w:rPr>
          <m:t>míra inflace=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CPI</m:t>
            </m:r>
            <m:r>
              <m:rPr>
                <m:sty m:val="bi"/>
              </m:rPr>
              <w:rPr>
                <w:rFonts w:ascii="Cambria Math" w:hAnsi="Cambria Math"/>
              </w:rPr>
              <m:t> </m:t>
            </m:r>
            <m:d>
              <m:dPr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CPI(</m:t>
            </m:r>
            <m:r>
              <m:rPr>
                <m:sty m:val="bi"/>
              </m:rPr>
              <w:rPr>
                <w:rFonts w:ascii="Cambria Math" w:hAnsi="Cambria Math"/>
              </w:rPr>
              <m:t>t-1)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CPI</m:t>
            </m:r>
            <m:r>
              <m:rPr>
                <m:sty m:val="bi"/>
              </m:rPr>
              <w:rPr>
                <w:rFonts w:ascii="Cambria Math" w:hAnsi="Cambria Math"/>
              </w:rPr>
              <m:t>t-1)</m:t>
            </m:r>
          </m:den>
        </m:f>
        <m:r>
          <m:rPr>
            <m:sty m:val="bi"/>
          </m:rPr>
          <w:rPr>
            <w:rFonts w:ascii="Cambria Math" w:hAnsi="Cambria Math"/>
          </w:rPr>
          <m:t>x 100</m:t>
        </m:r>
      </m:oMath>
      <w:r>
        <w:rPr>
          <w:rFonts w:ascii="Times New Roman" w:eastAsiaTheme="minorEastAsia" w:hAnsi="Times New Roman" w:cs="Times New Roman"/>
          <w:b/>
          <w:bCs/>
          <w:iCs/>
        </w:rPr>
        <w:t xml:space="preserve">  nebo       </w:t>
      </w:r>
      <m:oMath>
        <m:r>
          <m:rPr>
            <m:sty m:val="bi"/>
          </m:rPr>
          <w:rPr>
            <w:rFonts w:ascii="Cambria Math" w:eastAsiaTheme="minorEastAsia" w:hAnsi="Cambria Math"/>
          </w:rPr>
          <m:t>míra inflace=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IPD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-IPD(t-1)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IPD(t-1)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x 100</m:t>
        </m:r>
      </m:oMath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</w:t>
      </w:r>
    </w:p>
    <w:p w:rsidR="005F596C" w:rsidRPr="00A90407" w:rsidRDefault="005F596C" w:rsidP="005F596C">
      <w:pPr>
        <w:ind w:left="709" w:hanging="709"/>
        <w:rPr>
          <w:rFonts w:ascii="Times New Roman" w:hAnsi="Times New Roman" w:cs="Times New Roman"/>
          <w:b/>
          <w:color w:val="FF0000"/>
        </w:rPr>
      </w:pPr>
      <w:r w:rsidRPr="00A90407">
        <w:rPr>
          <w:rFonts w:ascii="Times New Roman" w:hAnsi="Times New Roman" w:cs="Times New Roman"/>
          <w:b/>
          <w:color w:val="FF0000"/>
        </w:rPr>
        <w:t>Červeně je komentář</w:t>
      </w:r>
      <w:r>
        <w:rPr>
          <w:rFonts w:ascii="Times New Roman" w:hAnsi="Times New Roman" w:cs="Times New Roman"/>
          <w:b/>
          <w:color w:val="FF0000"/>
        </w:rPr>
        <w:t xml:space="preserve">, který vám ukáže jak počítat. </w:t>
      </w:r>
      <w:r w:rsidRPr="005F596C">
        <w:rPr>
          <w:rFonts w:ascii="Times New Roman" w:hAnsi="Times New Roman" w:cs="Times New Roman"/>
          <w:b/>
          <w:color w:val="000000" w:themeColor="text1"/>
        </w:rPr>
        <w:t>Černě pak zadání plus to, co máte dopočítat.</w:t>
      </w:r>
    </w:p>
    <w:p w:rsidR="005F596C" w:rsidRPr="005F596C" w:rsidRDefault="005F596C" w:rsidP="005F596C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1851CA" w:rsidRPr="001851CA" w:rsidRDefault="001851CA" w:rsidP="001851CA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 w:rsidRPr="001851CA">
        <w:rPr>
          <w:rFonts w:ascii="Times New Roman" w:eastAsiaTheme="minorEastAsia" w:hAnsi="Times New Roman" w:cs="Times New Roman"/>
          <w:b/>
          <w:bCs/>
          <w:iCs/>
        </w:rPr>
        <w:t>Ekonomika produkuje pouze tři statky zahrnuté do HDP. Dopočítejte tabulku a údaje použijte pro výpočet deflátoru HDP.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9"/>
        <w:gridCol w:w="990"/>
        <w:gridCol w:w="850"/>
        <w:gridCol w:w="1418"/>
        <w:gridCol w:w="1134"/>
        <w:gridCol w:w="1984"/>
      </w:tblGrid>
      <w:tr w:rsidR="001851CA" w:rsidTr="00145AD2">
        <w:tc>
          <w:tcPr>
            <w:tcW w:w="1699" w:type="dxa"/>
          </w:tcPr>
          <w:p w:rsidR="001851CA" w:rsidRDefault="001851CA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3258" w:type="dxa"/>
            <w:gridSpan w:val="3"/>
          </w:tcPr>
          <w:p w:rsidR="001851CA" w:rsidRDefault="001851CA" w:rsidP="001851C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Běžné období</w:t>
            </w:r>
          </w:p>
        </w:tc>
        <w:tc>
          <w:tcPr>
            <w:tcW w:w="3118" w:type="dxa"/>
            <w:gridSpan w:val="2"/>
          </w:tcPr>
          <w:p w:rsidR="001851CA" w:rsidRDefault="001851CA" w:rsidP="001851C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Základní období</w:t>
            </w:r>
          </w:p>
        </w:tc>
      </w:tr>
      <w:tr w:rsidR="001851CA" w:rsidTr="00145AD2">
        <w:tc>
          <w:tcPr>
            <w:tcW w:w="1699" w:type="dxa"/>
          </w:tcPr>
          <w:p w:rsidR="001851CA" w:rsidRDefault="001851CA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Položka</w:t>
            </w:r>
          </w:p>
        </w:tc>
        <w:tc>
          <w:tcPr>
            <w:tcW w:w="99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Q</w:t>
            </w:r>
          </w:p>
        </w:tc>
        <w:tc>
          <w:tcPr>
            <w:tcW w:w="85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</w:t>
            </w:r>
          </w:p>
        </w:tc>
        <w:tc>
          <w:tcPr>
            <w:tcW w:w="1418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Q x P</w:t>
            </w:r>
          </w:p>
        </w:tc>
        <w:tc>
          <w:tcPr>
            <w:tcW w:w="113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</w:t>
            </w:r>
          </w:p>
        </w:tc>
        <w:tc>
          <w:tcPr>
            <w:tcW w:w="198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Q x P</w:t>
            </w:r>
          </w:p>
        </w:tc>
      </w:tr>
      <w:tr w:rsidR="001851CA" w:rsidTr="00145AD2">
        <w:tc>
          <w:tcPr>
            <w:tcW w:w="1699" w:type="dxa"/>
          </w:tcPr>
          <w:p w:rsidR="001851CA" w:rsidRDefault="001851CA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Auta</w:t>
            </w:r>
          </w:p>
        </w:tc>
        <w:tc>
          <w:tcPr>
            <w:tcW w:w="99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0,3</w:t>
            </w:r>
          </w:p>
        </w:tc>
        <w:tc>
          <w:tcPr>
            <w:tcW w:w="85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1418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1984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1851CA" w:rsidTr="00145AD2">
        <w:tc>
          <w:tcPr>
            <w:tcW w:w="1699" w:type="dxa"/>
          </w:tcPr>
          <w:p w:rsidR="001851CA" w:rsidRDefault="00145AD2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Pečivo</w:t>
            </w:r>
          </w:p>
        </w:tc>
        <w:tc>
          <w:tcPr>
            <w:tcW w:w="99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0,5</w:t>
            </w:r>
          </w:p>
        </w:tc>
        <w:tc>
          <w:tcPr>
            <w:tcW w:w="85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14</w:t>
            </w:r>
          </w:p>
        </w:tc>
        <w:tc>
          <w:tcPr>
            <w:tcW w:w="1418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1984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1851CA" w:rsidTr="00145AD2">
        <w:tc>
          <w:tcPr>
            <w:tcW w:w="1699" w:type="dxa"/>
          </w:tcPr>
          <w:p w:rsidR="001851CA" w:rsidRDefault="00145AD2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Boty</w:t>
            </w:r>
          </w:p>
        </w:tc>
        <w:tc>
          <w:tcPr>
            <w:tcW w:w="99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0,2</w:t>
            </w:r>
          </w:p>
        </w:tc>
        <w:tc>
          <w:tcPr>
            <w:tcW w:w="85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15</w:t>
            </w:r>
          </w:p>
        </w:tc>
        <w:tc>
          <w:tcPr>
            <w:tcW w:w="1418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16</w:t>
            </w:r>
          </w:p>
        </w:tc>
        <w:tc>
          <w:tcPr>
            <w:tcW w:w="1984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776B61" w:rsidTr="00145AD2">
        <w:tc>
          <w:tcPr>
            <w:tcW w:w="1699" w:type="dxa"/>
          </w:tcPr>
          <w:p w:rsidR="00776B61" w:rsidRDefault="00776B61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Celkem</w:t>
            </w:r>
          </w:p>
        </w:tc>
        <w:tc>
          <w:tcPr>
            <w:tcW w:w="990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850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1418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13, 6</w:t>
            </w:r>
          </w:p>
        </w:tc>
        <w:tc>
          <w:tcPr>
            <w:tcW w:w="1134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1984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</w:tbl>
    <w:p w:rsidR="00145AD2" w:rsidRDefault="00145AD2" w:rsidP="001851CA">
      <w:pPr>
        <w:rPr>
          <w:rFonts w:ascii="Times New Roman" w:eastAsiaTheme="minorEastAsia" w:hAnsi="Times New Roman" w:cs="Times New Roman"/>
          <w:b/>
          <w:bCs/>
          <w:iCs/>
        </w:rPr>
      </w:pPr>
    </w:p>
    <w:p w:rsidR="00145AD2" w:rsidRDefault="00145AD2" w:rsidP="001851CA">
      <w:pPr>
        <w:rPr>
          <w:rFonts w:ascii="Times New Roman" w:eastAsiaTheme="minorEastAsia" w:hAnsi="Times New Roman" w:cs="Times New Roman"/>
          <w:b/>
          <w:bCs/>
          <w:iCs/>
          <w:color w:val="FF0000"/>
          <w:vertAlign w:val="subscript"/>
        </w:rPr>
      </w:pPr>
      <w:r w:rsidRPr="00145AD2">
        <w:rPr>
          <w:rFonts w:ascii="Times New Roman" w:eastAsiaTheme="minorEastAsia" w:hAnsi="Times New Roman" w:cs="Times New Roman"/>
          <w:b/>
          <w:bCs/>
          <w:iCs/>
          <w:color w:val="FF0000"/>
        </w:rPr>
        <w:t>Abychom mohli dopočítat tabulku, musíme si nejprve indexy označit úroveň produkce v základním a běžném období</w:t>
      </w:r>
      <w:r>
        <w:rPr>
          <w:rFonts w:ascii="Times New Roman" w:eastAsiaTheme="minorEastAsia" w:hAnsi="Times New Roman" w:cs="Times New Roman"/>
          <w:b/>
          <w:bCs/>
          <w:iCs/>
          <w:color w:val="FF0000"/>
        </w:rPr>
        <w:t>. V běžném období bude produkce označena Q</w:t>
      </w:r>
      <w:r>
        <w:rPr>
          <w:rFonts w:ascii="Times New Roman" w:eastAsiaTheme="minorEastAsia" w:hAnsi="Times New Roman" w:cs="Times New Roman"/>
          <w:b/>
          <w:bCs/>
          <w:iCs/>
          <w:color w:val="FF0000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b/>
          <w:bCs/>
          <w:iCs/>
          <w:color w:val="FF0000"/>
        </w:rPr>
        <w:t>a ceny symbolem P</w:t>
      </w:r>
      <w:r>
        <w:rPr>
          <w:rFonts w:ascii="Times New Roman" w:eastAsiaTheme="minorEastAsia" w:hAnsi="Times New Roman" w:cs="Times New Roman"/>
          <w:b/>
          <w:bCs/>
          <w:iCs/>
          <w:color w:val="FF0000"/>
          <w:vertAlign w:val="subscript"/>
        </w:rPr>
        <w:t>1</w:t>
      </w:r>
      <w:r>
        <w:rPr>
          <w:rFonts w:ascii="Times New Roman" w:eastAsiaTheme="minorEastAsia" w:hAnsi="Times New Roman" w:cs="Times New Roman"/>
          <w:b/>
          <w:bCs/>
          <w:iCs/>
          <w:color w:val="FF0000"/>
        </w:rPr>
        <w:t>. V základním období bude produkce stejná, tedy Q</w:t>
      </w:r>
      <w:r>
        <w:rPr>
          <w:rFonts w:ascii="Times New Roman" w:eastAsiaTheme="minorEastAsia" w:hAnsi="Times New Roman" w:cs="Times New Roman"/>
          <w:b/>
          <w:bCs/>
          <w:iCs/>
          <w:color w:val="FF0000"/>
          <w:vertAlign w:val="subscript"/>
        </w:rPr>
        <w:t>1</w:t>
      </w:r>
      <w:r>
        <w:rPr>
          <w:rFonts w:ascii="Times New Roman" w:eastAsiaTheme="minorEastAsia" w:hAnsi="Times New Roman" w:cs="Times New Roman"/>
          <w:b/>
          <w:bCs/>
          <w:iCs/>
          <w:color w:val="FF0000"/>
        </w:rPr>
        <w:t xml:space="preserve"> ovšem ceny základního období budou označeny P</w:t>
      </w:r>
      <w:r>
        <w:rPr>
          <w:rFonts w:ascii="Times New Roman" w:eastAsiaTheme="minorEastAsia" w:hAnsi="Times New Roman" w:cs="Times New Roman"/>
          <w:b/>
          <w:bCs/>
          <w:iCs/>
          <w:color w:val="FF0000"/>
          <w:vertAlign w:val="subscript"/>
        </w:rPr>
        <w:t>0.</w:t>
      </w:r>
    </w:p>
    <w:p w:rsidR="00145AD2" w:rsidRPr="00145AD2" w:rsidRDefault="00145AD2" w:rsidP="001851CA">
      <w:p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  <w:color w:val="FF0000"/>
        </w:rPr>
        <w:t xml:space="preserve">Potom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9"/>
        <w:gridCol w:w="990"/>
        <w:gridCol w:w="850"/>
        <w:gridCol w:w="1418"/>
        <w:gridCol w:w="1134"/>
        <w:gridCol w:w="1984"/>
      </w:tblGrid>
      <w:tr w:rsidR="00145AD2" w:rsidTr="00FD2CE2">
        <w:tc>
          <w:tcPr>
            <w:tcW w:w="1699" w:type="dxa"/>
          </w:tcPr>
          <w:p w:rsidR="00145AD2" w:rsidRPr="00145AD2" w:rsidRDefault="00145AD2" w:rsidP="00FD2CE2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</w:p>
        </w:tc>
        <w:tc>
          <w:tcPr>
            <w:tcW w:w="3258" w:type="dxa"/>
            <w:gridSpan w:val="3"/>
          </w:tcPr>
          <w:p w:rsidR="00145AD2" w:rsidRPr="00145AD2" w:rsidRDefault="00145AD2" w:rsidP="00FD2CE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  <w:r w:rsidRPr="00145AD2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Běžné období</w:t>
            </w:r>
          </w:p>
        </w:tc>
        <w:tc>
          <w:tcPr>
            <w:tcW w:w="3118" w:type="dxa"/>
            <w:gridSpan w:val="2"/>
          </w:tcPr>
          <w:p w:rsidR="00145AD2" w:rsidRPr="00145AD2" w:rsidRDefault="00145AD2" w:rsidP="00FD2CE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  <w:r w:rsidRPr="00145AD2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Základní období</w:t>
            </w:r>
          </w:p>
        </w:tc>
      </w:tr>
      <w:tr w:rsidR="00145AD2" w:rsidTr="00FD2CE2">
        <w:tc>
          <w:tcPr>
            <w:tcW w:w="1699" w:type="dxa"/>
          </w:tcPr>
          <w:p w:rsidR="00145AD2" w:rsidRPr="00145AD2" w:rsidRDefault="00145AD2" w:rsidP="00FD2CE2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  <w:r w:rsidRPr="00145AD2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Položka</w:t>
            </w:r>
          </w:p>
        </w:tc>
        <w:tc>
          <w:tcPr>
            <w:tcW w:w="990" w:type="dxa"/>
          </w:tcPr>
          <w:p w:rsidR="00145AD2" w:rsidRPr="00145AD2" w:rsidRDefault="00145AD2" w:rsidP="00FD2CE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  <w:vertAlign w:val="subscript"/>
              </w:rPr>
            </w:pPr>
            <w:r w:rsidRPr="00145AD2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Q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  <w:vertAlign w:val="subscript"/>
              </w:rPr>
              <w:t>1</w:t>
            </w:r>
          </w:p>
        </w:tc>
        <w:tc>
          <w:tcPr>
            <w:tcW w:w="850" w:type="dxa"/>
          </w:tcPr>
          <w:p w:rsidR="00145AD2" w:rsidRPr="00145AD2" w:rsidRDefault="00145AD2" w:rsidP="00FD2CE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  <w:vertAlign w:val="subscript"/>
              </w:rPr>
            </w:pPr>
            <w:r w:rsidRPr="00145AD2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  <w:vertAlign w:val="subscript"/>
              </w:rPr>
              <w:t>0</w:t>
            </w:r>
          </w:p>
        </w:tc>
        <w:tc>
          <w:tcPr>
            <w:tcW w:w="1418" w:type="dxa"/>
          </w:tcPr>
          <w:p w:rsidR="00145AD2" w:rsidRPr="00145AD2" w:rsidRDefault="00145AD2" w:rsidP="00FD2CE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  <w:vertAlign w:val="subscript"/>
              </w:rPr>
            </w:pPr>
            <w:r w:rsidRPr="00145AD2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Q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  <w:vertAlign w:val="subscript"/>
              </w:rPr>
              <w:t>1</w:t>
            </w:r>
            <w:r w:rsidRPr="00145AD2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 xml:space="preserve"> x P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145AD2" w:rsidRPr="00145AD2" w:rsidRDefault="00145AD2" w:rsidP="00FD2CE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  <w:vertAlign w:val="subscript"/>
              </w:rPr>
            </w:pPr>
            <w:r w:rsidRPr="00145AD2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  <w:vertAlign w:val="subscript"/>
              </w:rPr>
              <w:t>0</w:t>
            </w:r>
          </w:p>
        </w:tc>
        <w:tc>
          <w:tcPr>
            <w:tcW w:w="1984" w:type="dxa"/>
          </w:tcPr>
          <w:p w:rsidR="00145AD2" w:rsidRPr="00145AD2" w:rsidRDefault="00145AD2" w:rsidP="00FD2CE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  <w:vertAlign w:val="subscript"/>
              </w:rPr>
            </w:pPr>
            <w:r w:rsidRPr="00145AD2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Q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  <w:vertAlign w:val="subscript"/>
              </w:rPr>
              <w:t>1</w:t>
            </w:r>
            <w:r w:rsidRPr="00145AD2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 xml:space="preserve"> x P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  <w:vertAlign w:val="subscript"/>
              </w:rPr>
              <w:t>0</w:t>
            </w:r>
          </w:p>
        </w:tc>
      </w:tr>
      <w:tr w:rsidR="00145AD2" w:rsidTr="00FD2CE2">
        <w:tc>
          <w:tcPr>
            <w:tcW w:w="1699" w:type="dxa"/>
          </w:tcPr>
          <w:p w:rsidR="00145AD2" w:rsidRPr="00145AD2" w:rsidRDefault="00145AD2" w:rsidP="00FD2CE2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  <w:r w:rsidRPr="00145AD2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Auta</w:t>
            </w:r>
          </w:p>
        </w:tc>
        <w:tc>
          <w:tcPr>
            <w:tcW w:w="990" w:type="dxa"/>
          </w:tcPr>
          <w:p w:rsidR="00145AD2" w:rsidRPr="00145AD2" w:rsidRDefault="00145AD2" w:rsidP="00FD2CE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  <w:r w:rsidRPr="00145AD2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0,3</w:t>
            </w:r>
          </w:p>
        </w:tc>
        <w:tc>
          <w:tcPr>
            <w:tcW w:w="850" w:type="dxa"/>
          </w:tcPr>
          <w:p w:rsidR="00145AD2" w:rsidRPr="00145AD2" w:rsidRDefault="00145AD2" w:rsidP="00FD2CE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  <w:r w:rsidRPr="00145AD2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12</w:t>
            </w:r>
          </w:p>
        </w:tc>
        <w:tc>
          <w:tcPr>
            <w:tcW w:w="1418" w:type="dxa"/>
          </w:tcPr>
          <w:p w:rsidR="00145AD2" w:rsidRPr="00145AD2" w:rsidRDefault="00145AD2" w:rsidP="00FD2CE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3,6</w:t>
            </w:r>
          </w:p>
        </w:tc>
        <w:tc>
          <w:tcPr>
            <w:tcW w:w="1134" w:type="dxa"/>
          </w:tcPr>
          <w:p w:rsidR="00145AD2" w:rsidRPr="00145AD2" w:rsidRDefault="00145AD2" w:rsidP="00FD2CE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  <w:r w:rsidRPr="00145AD2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10</w:t>
            </w:r>
          </w:p>
        </w:tc>
        <w:tc>
          <w:tcPr>
            <w:tcW w:w="1984" w:type="dxa"/>
          </w:tcPr>
          <w:p w:rsidR="00145AD2" w:rsidRPr="00145AD2" w:rsidRDefault="00145AD2" w:rsidP="00FD2CE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3</w:t>
            </w:r>
          </w:p>
        </w:tc>
      </w:tr>
    </w:tbl>
    <w:p w:rsidR="00145AD2" w:rsidRDefault="00145AD2" w:rsidP="001851CA">
      <w:pPr>
        <w:ind w:left="709" w:hanging="709"/>
        <w:rPr>
          <w:b/>
        </w:rPr>
      </w:pPr>
    </w:p>
    <w:p w:rsidR="00145AD2" w:rsidRDefault="00145AD2" w:rsidP="001851CA">
      <w:pPr>
        <w:ind w:left="709" w:hanging="709"/>
        <w:rPr>
          <w:rFonts w:ascii="Times New Roman" w:hAnsi="Times New Roman" w:cs="Times New Roman"/>
          <w:b/>
        </w:rPr>
      </w:pPr>
      <w:r w:rsidRPr="00145AD2">
        <w:rPr>
          <w:rFonts w:ascii="Times New Roman" w:hAnsi="Times New Roman" w:cs="Times New Roman"/>
          <w:b/>
        </w:rPr>
        <w:t>Dopočítejte zbytek tabulky</w:t>
      </w:r>
    </w:p>
    <w:p w:rsidR="00145AD2" w:rsidRDefault="00542DAF" w:rsidP="00776B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Deflátor HDP je počítán jako poměr nominálního produktu v daném roce a reálného </w:t>
      </w:r>
      <w:r w:rsidR="00776B61">
        <w:rPr>
          <w:rFonts w:ascii="Times New Roman" w:hAnsi="Times New Roman" w:cs="Times New Roman"/>
          <w:b/>
          <w:color w:val="FF0000"/>
        </w:rPr>
        <w:t xml:space="preserve">produktu v daném roce (v %).  Nominální produkt (produkt běžného období) je v našem případě roven 13,6. </w:t>
      </w:r>
      <w:r w:rsidR="00776B61">
        <w:rPr>
          <w:rFonts w:ascii="Times New Roman" w:hAnsi="Times New Roman" w:cs="Times New Roman"/>
          <w:b/>
        </w:rPr>
        <w:t>Kolik bude činit reálný produkt?</w:t>
      </w:r>
    </w:p>
    <w:p w:rsidR="00A90407" w:rsidRDefault="004B497C" w:rsidP="00A90407">
      <w:pPr>
        <w:ind w:left="709" w:hanging="709"/>
        <w:rPr>
          <w:b/>
          <w:bCs/>
        </w:rPr>
      </w:pPr>
      <w:r>
        <w:rPr>
          <w:rFonts w:ascii="Times New Roman" w:hAnsi="Times New Roman" w:cs="Times New Roman"/>
          <w:b/>
          <w:color w:val="FF0000"/>
        </w:rPr>
        <w:t>Po dosazení do vztahu pro výpočet implicitního cenového deflátoru</w:t>
      </w:r>
      <w:r w:rsidR="00A90407">
        <w:rPr>
          <w:rFonts w:ascii="Times New Roman" w:hAnsi="Times New Roman" w:cs="Times New Roman"/>
          <w:b/>
          <w:color w:val="FF000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IPD</m:t>
        </m:r>
        <m:r>
          <m:rPr>
            <m:sty m:val="bi"/>
          </m:rPr>
          <w:rPr>
            <w:rFonts w:ascii="Cambria Math" w:hAnsi="Cambria Math"/>
            <w:color w:val="FF0000"/>
          </w:rPr>
          <m:t>=</m:t>
        </m:r>
      </m:oMath>
      <w:r w:rsidR="00A90407" w:rsidRPr="00A90407">
        <w:rPr>
          <w:b/>
          <w:bCs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Nominální HDP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Reálný HDP</m:t>
            </m:r>
          </m:den>
        </m:f>
      </m:oMath>
      <w:r w:rsidR="00A90407" w:rsidRPr="00A90407">
        <w:rPr>
          <w:b/>
          <w:bCs/>
          <w:color w:val="FF000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×100</m:t>
        </m:r>
      </m:oMath>
      <w:r w:rsidR="00A90407" w:rsidRPr="00A90407">
        <w:rPr>
          <w:b/>
          <w:bCs/>
          <w:color w:val="FF0000"/>
        </w:rPr>
        <w:t xml:space="preserve"> </w:t>
      </w:r>
    </w:p>
    <w:p w:rsidR="001851CA" w:rsidRPr="004B497C" w:rsidRDefault="004B497C" w:rsidP="004B497C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FF0000"/>
        </w:rPr>
        <w:t xml:space="preserve"> dostaneme výsledek 111,4%. </w:t>
      </w:r>
      <w:r>
        <w:rPr>
          <w:rFonts w:ascii="Times New Roman" w:hAnsi="Times New Roman" w:cs="Times New Roman"/>
          <w:b/>
          <w:color w:val="000000" w:themeColor="text1"/>
        </w:rPr>
        <w:t>Jaké je tedy průměrné zvýšení cenové hladiny v běžném roce ve srovnání s rokem základním?</w:t>
      </w:r>
    </w:p>
    <w:p w:rsidR="001851CA" w:rsidRDefault="001851CA" w:rsidP="00487EF7">
      <w:pPr>
        <w:ind w:left="709" w:hanging="709"/>
        <w:rPr>
          <w:rFonts w:ascii="Times New Roman" w:hAnsi="Times New Roman" w:cs="Times New Roman"/>
          <w:b/>
        </w:rPr>
      </w:pPr>
    </w:p>
    <w:p w:rsidR="001851CA" w:rsidRDefault="00F603FB" w:rsidP="00F603FB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 w:rsidRPr="00F603FB">
        <w:rPr>
          <w:rFonts w:ascii="Times New Roman" w:eastAsiaTheme="minorEastAsia" w:hAnsi="Times New Roman" w:cs="Times New Roman"/>
          <w:b/>
          <w:bCs/>
          <w:iCs/>
        </w:rPr>
        <w:lastRenderedPageBreak/>
        <w:t>Dopočítejte chybějící údaje v tabulce a určete velikost indexu spotřebitelských cen. Jaké je průměrné zvýšení cenové hladiny?</w:t>
      </w: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1464"/>
        <w:gridCol w:w="1087"/>
        <w:gridCol w:w="2217"/>
        <w:gridCol w:w="1185"/>
        <w:gridCol w:w="2121"/>
      </w:tblGrid>
      <w:tr w:rsidR="00F603FB" w:rsidTr="00F603FB">
        <w:tc>
          <w:tcPr>
            <w:tcW w:w="1838" w:type="dxa"/>
            <w:vMerge w:val="restart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Položka spotřebního koše</w:t>
            </w:r>
          </w:p>
        </w:tc>
        <w:tc>
          <w:tcPr>
            <w:tcW w:w="4768" w:type="dxa"/>
            <w:gridSpan w:val="3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Základní období</w:t>
            </w:r>
          </w:p>
        </w:tc>
        <w:tc>
          <w:tcPr>
            <w:tcW w:w="3306" w:type="dxa"/>
            <w:gridSpan w:val="2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Běžné období</w:t>
            </w:r>
          </w:p>
        </w:tc>
      </w:tr>
      <w:tr w:rsidR="00F603FB" w:rsidTr="00F603FB">
        <w:tc>
          <w:tcPr>
            <w:tcW w:w="1838" w:type="dxa"/>
            <w:vMerge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množství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cena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Výdaje</w:t>
            </w: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Cena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Výdaje</w:t>
            </w:r>
          </w:p>
        </w:tc>
      </w:tr>
      <w:tr w:rsidR="00F603FB" w:rsidTr="00F603FB">
        <w:tc>
          <w:tcPr>
            <w:tcW w:w="1838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Potraviny</w:t>
            </w: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20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F603FB" w:rsidTr="00F603FB">
        <w:tc>
          <w:tcPr>
            <w:tcW w:w="1838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Oděvy</w:t>
            </w: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15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F603FB" w:rsidTr="00F603FB">
        <w:tc>
          <w:tcPr>
            <w:tcW w:w="1838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Bydlení</w:t>
            </w: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17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11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F603FB" w:rsidTr="00F603FB">
        <w:tc>
          <w:tcPr>
            <w:tcW w:w="1838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Vzdělání</w:t>
            </w: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</w:tbl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  <w:color w:val="FF0000"/>
        </w:rPr>
      </w:pPr>
      <w:r>
        <w:rPr>
          <w:rFonts w:ascii="Times New Roman" w:eastAsiaTheme="minorEastAsia" w:hAnsi="Times New Roman" w:cs="Times New Roman"/>
          <w:b/>
          <w:bCs/>
          <w:iCs/>
          <w:color w:val="FF0000"/>
        </w:rPr>
        <w:t>Budete postupovat analogicky jako v příkladu 1, POZOR na správně označení množství a ceny v základním a běžn</w:t>
      </w:r>
      <w:r w:rsidR="00BE5213">
        <w:rPr>
          <w:rFonts w:ascii="Times New Roman" w:eastAsiaTheme="minorEastAsia" w:hAnsi="Times New Roman" w:cs="Times New Roman"/>
          <w:b/>
          <w:bCs/>
          <w:iCs/>
          <w:color w:val="FF0000"/>
        </w:rPr>
        <w:t>ém období</w:t>
      </w:r>
      <w:r>
        <w:rPr>
          <w:rFonts w:ascii="Times New Roman" w:eastAsiaTheme="minorEastAsia" w:hAnsi="Times New Roman" w:cs="Times New Roman"/>
          <w:b/>
          <w:bCs/>
          <w:iCs/>
          <w:color w:val="FF0000"/>
        </w:rPr>
        <w:t>!!!!</w:t>
      </w: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  <w:color w:val="FF0000"/>
        </w:rPr>
      </w:pP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  <w:color w:val="FF0000"/>
        </w:rPr>
      </w:pP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  <w:color w:val="FF0000"/>
        </w:rPr>
      </w:pP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  <w:color w:val="FF0000"/>
        </w:rPr>
      </w:pP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  <w:color w:val="FF0000"/>
        </w:rPr>
      </w:pP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  <w:color w:val="FF0000"/>
        </w:rPr>
      </w:pP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  <w:color w:val="FF0000"/>
        </w:rPr>
      </w:pP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  <w:color w:val="FF0000"/>
        </w:rPr>
      </w:pP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  <w:color w:val="FF0000"/>
        </w:rPr>
      </w:pP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  <w:color w:val="FF0000"/>
        </w:rPr>
      </w:pPr>
    </w:p>
    <w:p w:rsidR="00F603FB" w:rsidRPr="005B6577" w:rsidRDefault="00F603FB" w:rsidP="00F603FB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 w:rsidRPr="005B6577">
        <w:rPr>
          <w:rFonts w:ascii="Times New Roman" w:eastAsiaTheme="minorEastAsia" w:hAnsi="Times New Roman" w:cs="Times New Roman"/>
          <w:b/>
          <w:bCs/>
          <w:iCs/>
        </w:rPr>
        <w:t>Ekonomika je charakterizována následujícími indikátory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554"/>
        <w:gridCol w:w="2268"/>
        <w:gridCol w:w="2268"/>
      </w:tblGrid>
      <w:tr w:rsidR="005B6577" w:rsidTr="005B6577">
        <w:tc>
          <w:tcPr>
            <w:tcW w:w="1554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ROK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Reálný HDP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Nominální HDP</w:t>
            </w:r>
          </w:p>
        </w:tc>
      </w:tr>
      <w:tr w:rsidR="005B6577" w:rsidTr="005B6577">
        <w:tc>
          <w:tcPr>
            <w:tcW w:w="1554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1999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1 450 mld.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1 600 mld.</w:t>
            </w:r>
          </w:p>
        </w:tc>
      </w:tr>
      <w:tr w:rsidR="005B6577" w:rsidTr="005B6577">
        <w:tc>
          <w:tcPr>
            <w:tcW w:w="1554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2000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1 500 mld.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1 720 mld.</w:t>
            </w:r>
          </w:p>
        </w:tc>
      </w:tr>
    </w:tbl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Určete: a) deflátor HDP pro rok 1999</w:t>
      </w: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ab/>
        <w:t xml:space="preserve">      b) deflátor HDP pro rok 2000</w:t>
      </w: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ab/>
        <w:t xml:space="preserve">      c) míru inflace mezi oběma roky</w:t>
      </w: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  <w:color w:val="FF0000"/>
        </w:rPr>
      </w:pPr>
      <w:r w:rsidRPr="005B6577">
        <w:rPr>
          <w:rFonts w:ascii="Times New Roman" w:eastAsiaTheme="minorEastAsia" w:hAnsi="Times New Roman" w:cs="Times New Roman"/>
          <w:b/>
          <w:bCs/>
          <w:iCs/>
          <w:color w:val="FF0000"/>
        </w:rPr>
        <w:t>Dosazování do vzorečk</w:t>
      </w:r>
      <w:r>
        <w:rPr>
          <w:rFonts w:ascii="Times New Roman" w:eastAsiaTheme="minorEastAsia" w:hAnsi="Times New Roman" w:cs="Times New Roman"/>
          <w:b/>
          <w:bCs/>
          <w:iCs/>
          <w:color w:val="FF0000"/>
        </w:rPr>
        <w:t>ů</w:t>
      </w:r>
      <w:r w:rsidRPr="005B6577">
        <w:rPr>
          <w:rFonts w:ascii="Times New Roman" w:eastAsiaTheme="minorEastAsia" w:hAnsi="Times New Roman" w:cs="Times New Roman"/>
          <w:b/>
          <w:bCs/>
          <w:iCs/>
          <w:color w:val="FF0000"/>
        </w:rPr>
        <w:t xml:space="preserve"> uvedených na začátku</w:t>
      </w:r>
      <w:r>
        <w:rPr>
          <w:rFonts w:ascii="Times New Roman" w:eastAsiaTheme="minorEastAsia" w:hAnsi="Times New Roman" w:cs="Times New Roman"/>
          <w:b/>
          <w:bCs/>
          <w:iCs/>
          <w:color w:val="FF0000"/>
        </w:rPr>
        <w:t xml:space="preserve"> :o)</w:t>
      </w: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  <w:color w:val="FF0000"/>
        </w:rPr>
      </w:pPr>
    </w:p>
    <w:p w:rsidR="00A352AF" w:rsidRDefault="00A352AF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A352AF" w:rsidRDefault="00A352AF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A352AF" w:rsidRDefault="00A352AF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A352AF" w:rsidRDefault="00A352AF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A352AF" w:rsidRDefault="00A352AF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5B6577" w:rsidRDefault="005B6577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bookmarkStart w:id="0" w:name="_GoBack"/>
      <w:bookmarkEnd w:id="0"/>
      <w:r w:rsidRPr="005B6577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t>Doplňte následující tvrzení</w:t>
      </w:r>
    </w:p>
    <w:p w:rsidR="005B6577" w:rsidRDefault="005B6577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 w:rsidRPr="005B6577">
        <w:rPr>
          <w:rFonts w:ascii="Times New Roman" w:eastAsiaTheme="minorEastAsia" w:hAnsi="Times New Roman" w:cs="Times New Roman"/>
          <w:bCs/>
          <w:iCs/>
        </w:rPr>
        <w:t>Pokud roste průměrná cenová hladina, říkáme, že v ekonomice nastala …………………… Průměrná cenová hladina se měří pomocí cenových ………………</w:t>
      </w:r>
    </w:p>
    <w:p w:rsidR="005B6577" w:rsidRDefault="005B6577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V důsledku inflace …………………. 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klesá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 xml:space="preserve"> kupní síla peněz.</w:t>
      </w:r>
    </w:p>
    <w:p w:rsidR="005B6577" w:rsidRDefault="005B6577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Je-li inflace záporná, hovoříme o ……………………………</w:t>
      </w:r>
    </w:p>
    <w:p w:rsidR="005B6577" w:rsidRDefault="005B6577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Pokud cenové indexy nevykazují skutečný růst cenové hladiny, hovoříme o tzv. ……………………. 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inflaci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531FC6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O cenové stabilitě hovoříme, jestliže je míra inflace ……………….</w:t>
      </w: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lastRenderedPageBreak/>
        <w:t>Rozhodněte, zda jsou uvedená tvrzení pravdivá (P) či nepravdivá (N)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O inflaci hovoříme, pokud rostou ceny výrobků.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Hyperinflace je přirozeným jevem ve vyspělých tržních ekonomikách.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Indexace mezd znamená, že dohodnutý růst mezd je navýšen o očekávanou inflaci. 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Jedním z dopadů inflace je přerozdělování důchodu.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Index cen výrobců zahrnuje ceny všech statků, z nichž je složen HDP.</w:t>
      </w: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Cs/>
          <w:iCs/>
        </w:rPr>
      </w:pPr>
    </w:p>
    <w:p w:rsidR="00531FC6" w:rsidRP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Označte správnou odpověď (jen jedna je správná):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Je-li míra inflace nulová, potom v ekonomice nastala:</w:t>
      </w:r>
    </w:p>
    <w:p w:rsidR="00531FC6" w:rsidRDefault="00531FC6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Deflace</w:t>
      </w:r>
    </w:p>
    <w:p w:rsidR="00531FC6" w:rsidRDefault="00531FC6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Dezinflace</w:t>
      </w:r>
    </w:p>
    <w:p w:rsidR="00531FC6" w:rsidRDefault="00531FC6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Cenová stabilita</w:t>
      </w:r>
    </w:p>
    <w:p w:rsidR="00531FC6" w:rsidRDefault="00531FC6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Cenový index je:</w:t>
      </w:r>
    </w:p>
    <w:p w:rsidR="00531FC6" w:rsidRPr="00531FC6" w:rsidRDefault="00531FC6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31FC6">
        <w:rPr>
          <w:rFonts w:ascii="Times New Roman" w:eastAsiaTheme="minorEastAsia" w:hAnsi="Times New Roman" w:cs="Times New Roman"/>
          <w:bCs/>
          <w:iCs/>
        </w:rPr>
        <w:t>Postup užívaný k propojení smluvních plateb s cenovou hladinou</w:t>
      </w:r>
    </w:p>
    <w:p w:rsidR="00531FC6" w:rsidRPr="00531FC6" w:rsidRDefault="00531FC6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31FC6">
        <w:rPr>
          <w:rFonts w:ascii="Times New Roman" w:eastAsiaTheme="minorEastAsia" w:hAnsi="Times New Roman" w:cs="Times New Roman"/>
          <w:bCs/>
          <w:iCs/>
        </w:rPr>
        <w:t>Měřítko míry inflace v základním roce</w:t>
      </w:r>
    </w:p>
    <w:p w:rsidR="00531FC6" w:rsidRDefault="00531FC6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31FC6">
        <w:rPr>
          <w:rFonts w:ascii="Times New Roman" w:eastAsiaTheme="minorEastAsia" w:hAnsi="Times New Roman" w:cs="Times New Roman"/>
          <w:bCs/>
          <w:iCs/>
        </w:rPr>
        <w:t>Měřítko cenové hladiny v jednom období jako % její úrovně v předchozím období</w:t>
      </w:r>
    </w:p>
    <w:p w:rsidR="000D5059" w:rsidRDefault="000D5059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0D5059" w:rsidP="000D5059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Předpokládejme, že OPEC neočekávaně zvýší ceny ropy. Důsledkem bude:</w:t>
      </w:r>
    </w:p>
    <w:p w:rsidR="000D5059" w:rsidRDefault="000D5059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Zvýšení cenové hladiny a zvýšení reálného produktu</w:t>
      </w:r>
    </w:p>
    <w:p w:rsidR="000D5059" w:rsidRDefault="000D5059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Zvýšení cenové hladiny a snížení reálného produktu</w:t>
      </w:r>
    </w:p>
    <w:p w:rsidR="000D5059" w:rsidRPr="00531FC6" w:rsidRDefault="000D5059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Snížení cenové hladiny a zvýšení reálného produktu</w:t>
      </w:r>
    </w:p>
    <w:p w:rsidR="001E735E" w:rsidRDefault="001E735E" w:rsidP="00487EF7">
      <w:pPr>
        <w:ind w:left="709" w:hanging="709"/>
        <w:rPr>
          <w:rFonts w:ascii="Times New Roman" w:hAnsi="Times New Roman" w:cs="Times New Roman"/>
        </w:rPr>
      </w:pPr>
    </w:p>
    <w:sectPr w:rsidR="001E735E" w:rsidSect="001851CA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1B" w:rsidRDefault="00DF5C1B" w:rsidP="00DF5C1B">
      <w:pPr>
        <w:spacing w:after="0" w:line="240" w:lineRule="auto"/>
      </w:pPr>
      <w:r>
        <w:separator/>
      </w:r>
    </w:p>
  </w:endnote>
  <w:end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1B" w:rsidRDefault="00DF5C1B" w:rsidP="00DF5C1B">
      <w:pPr>
        <w:spacing w:after="0" w:line="240" w:lineRule="auto"/>
      </w:pPr>
      <w:r>
        <w:separator/>
      </w:r>
    </w:p>
  </w:footnote>
  <w:foot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BPVEP sem 3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</w:rPr>
      <w:t xml:space="preserve">Cenové </w:t>
    </w:r>
    <w:r w:rsidR="00DF5C1B" w:rsidRPr="00DF5C1B">
      <w:rPr>
        <w:rFonts w:ascii="Times New Roman" w:hAnsi="Times New Roman" w:cs="Times New Roman"/>
        <w:sz w:val="20"/>
        <w:szCs w:val="20"/>
      </w:rPr>
      <w:t>indexy</w:t>
    </w:r>
    <w:r>
      <w:rPr>
        <w:rFonts w:ascii="Times New Roman" w:hAnsi="Times New Roman" w:cs="Times New Roman"/>
        <w:sz w:val="20"/>
        <w:szCs w:val="20"/>
      </w:rPr>
      <w:t>, inflace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>Ing. Eva Kotlánová,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62037"/>
    <w:multiLevelType w:val="hybridMultilevel"/>
    <w:tmpl w:val="62105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B"/>
    <w:rsid w:val="00000BB2"/>
    <w:rsid w:val="00012676"/>
    <w:rsid w:val="00013C26"/>
    <w:rsid w:val="00014583"/>
    <w:rsid w:val="000D5059"/>
    <w:rsid w:val="000F3C0E"/>
    <w:rsid w:val="00126F7C"/>
    <w:rsid w:val="00145AD2"/>
    <w:rsid w:val="001851CA"/>
    <w:rsid w:val="001B2B8A"/>
    <w:rsid w:val="001E735E"/>
    <w:rsid w:val="002C2D47"/>
    <w:rsid w:val="002F7F45"/>
    <w:rsid w:val="00333F20"/>
    <w:rsid w:val="00345F94"/>
    <w:rsid w:val="00487EF7"/>
    <w:rsid w:val="004B497C"/>
    <w:rsid w:val="004C34A3"/>
    <w:rsid w:val="00531FC6"/>
    <w:rsid w:val="00542DAF"/>
    <w:rsid w:val="00587B25"/>
    <w:rsid w:val="00594F2A"/>
    <w:rsid w:val="005B6577"/>
    <w:rsid w:val="005F596C"/>
    <w:rsid w:val="00612DDA"/>
    <w:rsid w:val="006302F7"/>
    <w:rsid w:val="006C44F0"/>
    <w:rsid w:val="00776B61"/>
    <w:rsid w:val="00856447"/>
    <w:rsid w:val="00956923"/>
    <w:rsid w:val="009A3394"/>
    <w:rsid w:val="009C34A9"/>
    <w:rsid w:val="009D6DF8"/>
    <w:rsid w:val="00A1320C"/>
    <w:rsid w:val="00A352AF"/>
    <w:rsid w:val="00A8515D"/>
    <w:rsid w:val="00A90407"/>
    <w:rsid w:val="00AC7521"/>
    <w:rsid w:val="00AF436D"/>
    <w:rsid w:val="00B6299F"/>
    <w:rsid w:val="00B632AB"/>
    <w:rsid w:val="00BA4462"/>
    <w:rsid w:val="00BE4D0B"/>
    <w:rsid w:val="00BE5213"/>
    <w:rsid w:val="00C039E7"/>
    <w:rsid w:val="00C961B1"/>
    <w:rsid w:val="00CB51A9"/>
    <w:rsid w:val="00CE730E"/>
    <w:rsid w:val="00D22667"/>
    <w:rsid w:val="00D4030F"/>
    <w:rsid w:val="00D40FB4"/>
    <w:rsid w:val="00D823E3"/>
    <w:rsid w:val="00DF5C1B"/>
    <w:rsid w:val="00E60954"/>
    <w:rsid w:val="00E805FF"/>
    <w:rsid w:val="00EE3234"/>
    <w:rsid w:val="00F329C8"/>
    <w:rsid w:val="00F460C5"/>
    <w:rsid w:val="00F603FB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DABD1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prigo_ek@outlook.cz</cp:lastModifiedBy>
  <cp:revision>15</cp:revision>
  <dcterms:created xsi:type="dcterms:W3CDTF">2020-03-17T15:23:00Z</dcterms:created>
  <dcterms:modified xsi:type="dcterms:W3CDTF">2020-03-17T16:46:00Z</dcterms:modified>
</cp:coreProperties>
</file>