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355A6" w:rsidRPr="009355A6" w14:paraId="51280DDF" w14:textId="77777777" w:rsidTr="009355A6">
        <w:trPr>
          <w:tblCellSpacing w:w="0" w:type="dxa"/>
        </w:trPr>
        <w:tc>
          <w:tcPr>
            <w:tcW w:w="5000" w:type="pct"/>
            <w:hideMark/>
          </w:tcPr>
          <w:p w14:paraId="3E1F485E" w14:textId="77777777" w:rsidR="009355A6" w:rsidRPr="009355A6" w:rsidRDefault="009355A6" w:rsidP="0093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8A9080B" w14:textId="77777777" w:rsidR="009355A6" w:rsidRPr="009355A6" w:rsidRDefault="009355A6" w:rsidP="009355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355A6" w:rsidRPr="00AF20D9" w14:paraId="3FD05E7B" w14:textId="77777777" w:rsidTr="009355A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355A6" w:rsidRPr="00AF20D9" w14:paraId="58F0E2A1" w14:textId="77777777" w:rsidTr="009355A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pPr w:leftFromText="45" w:rightFromText="115" w:vertAnchor="text" w:horzAnchor="margin" w:tblpY="-94"/>
                    <w:tblOverlap w:val="nev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225"/>
                  </w:tblGrid>
                  <w:tr w:rsidR="009355A6" w:rsidRPr="00C82738" w14:paraId="253CC52E" w14:textId="77777777" w:rsidTr="00BC1365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</w:tcPr>
                      <w:p w14:paraId="263334FF" w14:textId="77777777" w:rsidR="009355A6" w:rsidRPr="00C82738" w:rsidRDefault="009355A6" w:rsidP="009355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25" w:type="dxa"/>
                      </w:tcPr>
                      <w:p w14:paraId="1584DDC6" w14:textId="36C92033" w:rsidR="009355A6" w:rsidRPr="00C82738" w:rsidRDefault="009355A6" w:rsidP="009355A6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cs-CZ"/>
                          </w:rPr>
                        </w:pPr>
                      </w:p>
                    </w:tc>
                  </w:tr>
                  <w:tr w:rsidR="009355A6" w:rsidRPr="00C82738" w14:paraId="141E137F" w14:textId="77777777" w:rsidTr="00BC1365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</w:tcPr>
                      <w:p w14:paraId="27653DCB" w14:textId="77777777" w:rsidR="009355A6" w:rsidRPr="00C82738" w:rsidRDefault="009355A6" w:rsidP="009355A6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25" w:type="dxa"/>
                      </w:tcPr>
                      <w:p w14:paraId="7200648B" w14:textId="592497DA" w:rsidR="009355A6" w:rsidRPr="00C82738" w:rsidRDefault="009355A6" w:rsidP="009355A6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cs-CZ"/>
                          </w:rPr>
                        </w:pPr>
                      </w:p>
                    </w:tc>
                  </w:tr>
                </w:tbl>
                <w:p w14:paraId="21FE58DB" w14:textId="789CE45E" w:rsidR="009355A6" w:rsidRPr="00C82738" w:rsidRDefault="009355A6" w:rsidP="00AF2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3F42"/>
                      <w:sz w:val="28"/>
                      <w:szCs w:val="28"/>
                      <w:lang w:eastAsia="cs-CZ"/>
                    </w:rPr>
                  </w:pPr>
                  <w:r w:rsidRPr="00C82738">
                    <w:rPr>
                      <w:rFonts w:ascii="Arial" w:eastAsia="Times New Roman" w:hAnsi="Arial" w:cs="Arial"/>
                      <w:b/>
                      <w:bCs/>
                      <w:color w:val="BF3F2F"/>
                      <w:sz w:val="28"/>
                      <w:szCs w:val="28"/>
                      <w:lang w:eastAsia="cs-CZ"/>
                    </w:rPr>
                    <w:t>OSOBNÍ BRANDING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bCs/>
                      <w:color w:val="BF3F2F"/>
                      <w:sz w:val="28"/>
                      <w:szCs w:val="28"/>
                      <w:lang w:eastAsia="cs-CZ"/>
                    </w:rPr>
                    <w:t xml:space="preserve"> – formování vlastní značky</w:t>
                  </w:r>
                </w:p>
                <w:p w14:paraId="5C70AEE5" w14:textId="7B306B7E" w:rsidR="009355A6" w:rsidRPr="00C82738" w:rsidRDefault="009355A6" w:rsidP="009355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403F42"/>
                      <w:sz w:val="28"/>
                      <w:szCs w:val="28"/>
                      <w:lang w:eastAsia="cs-CZ"/>
                    </w:rPr>
                  </w:pPr>
                </w:p>
                <w:p w14:paraId="0B999607" w14:textId="7D40589B" w:rsidR="00AF20D9" w:rsidRPr="00C82738" w:rsidRDefault="009355A6" w:rsidP="009355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</w:pP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Ví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te, že v tom,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 co dělá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te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, js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te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 dobří 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a divíte se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, že 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kromě vás </w:t>
                  </w:r>
                  <w:r w:rsidR="00A7695E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o tom 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neví více lidí? </w:t>
                  </w:r>
                </w:p>
                <w:p w14:paraId="643A07F8" w14:textId="77777777" w:rsidR="00AF20D9" w:rsidRPr="00C82738" w:rsidRDefault="00AF20D9" w:rsidP="009355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</w:pPr>
                </w:p>
                <w:p w14:paraId="28E3A6F9" w14:textId="3D783B0A" w:rsidR="00AF20D9" w:rsidRPr="00A7695E" w:rsidRDefault="009355A6" w:rsidP="009355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</w:pP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Odpověď se možná nachází v tenzi mezi dvěma poli</w:t>
                  </w:r>
                  <w:r w:rsidR="00A7695E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, kterými jsou 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>v</w:t>
                  </w:r>
                  <w:r w:rsidRPr="00C82738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 xml:space="preserve">aše odbornost a 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 xml:space="preserve">vaše </w:t>
                  </w:r>
                  <w:r w:rsidRPr="00C82738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>viditelnost</w:t>
                  </w:r>
                  <w:r w:rsidR="00A7695E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>.</w:t>
                  </w:r>
                </w:p>
                <w:p w14:paraId="74C4B9AF" w14:textId="77777777" w:rsidR="00AF20D9" w:rsidRPr="00C82738" w:rsidRDefault="00AF20D9" w:rsidP="009355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</w:pPr>
                </w:p>
                <w:p w14:paraId="544466C7" w14:textId="75710693" w:rsidR="00AF20D9" w:rsidRDefault="009355A6" w:rsidP="00A769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</w:pP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Každý 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totiž 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přirozeně 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směřuje 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k jednomu 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ze dvou 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extrém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ů.</w:t>
                  </w:r>
                </w:p>
                <w:p w14:paraId="1B4D0978" w14:textId="77777777" w:rsidR="00A7695E" w:rsidRPr="00C82738" w:rsidRDefault="00A7695E" w:rsidP="009355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</w:pPr>
                </w:p>
                <w:p w14:paraId="5E2B4147" w14:textId="77768EF7" w:rsidR="00AF20D9" w:rsidRPr="00C82738" w:rsidRDefault="00AF20D9" w:rsidP="00AF20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403F42"/>
                      <w:sz w:val="28"/>
                      <w:szCs w:val="28"/>
                      <w:lang w:eastAsia="cs-CZ"/>
                    </w:rPr>
                  </w:pP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N</w:t>
                  </w:r>
                  <w:r w:rsidR="009355A6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ěkdo preferuje prohlubo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vání </w:t>
                  </w:r>
                  <w:r w:rsidR="009355A6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odbornost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i</w:t>
                  </w:r>
                  <w:r w:rsidR="009355A6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 a doufá, že výsledky jeho práce </w:t>
                  </w:r>
                  <w:r w:rsidR="00A7695E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se prosadí </w:t>
                  </w:r>
                  <w:r w:rsidR="009355A6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samy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.</w:t>
                  </w:r>
                </w:p>
                <w:p w14:paraId="69F27FAD" w14:textId="76D324CE" w:rsidR="009355A6" w:rsidRPr="00C82738" w:rsidRDefault="00AF20D9" w:rsidP="00AF20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403F42"/>
                      <w:sz w:val="28"/>
                      <w:szCs w:val="28"/>
                      <w:lang w:eastAsia="cs-CZ"/>
                    </w:rPr>
                  </w:pP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N</w:t>
                  </w:r>
                  <w:r w:rsidR="009355A6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ěkdo sází na viditelnost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,</w:t>
                  </w:r>
                  <w:r w:rsidR="009355A6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 i když 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může </w:t>
                  </w:r>
                  <w:r w:rsidR="009355A6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více investovat do rozvoje odbornosti.</w:t>
                  </w:r>
                  <w:r w:rsidR="009355A6" w:rsidRPr="00C82738">
                    <w:rPr>
                      <w:rFonts w:ascii="Arial" w:eastAsia="Times New Roman" w:hAnsi="Arial" w:cs="Arial"/>
                      <w:b/>
                      <w:color w:val="403F42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  <w:p w14:paraId="1718ECB0" w14:textId="77777777" w:rsidR="009355A6" w:rsidRPr="00C82738" w:rsidRDefault="009355A6" w:rsidP="009355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403F42"/>
                      <w:sz w:val="28"/>
                      <w:szCs w:val="28"/>
                      <w:lang w:eastAsia="cs-CZ"/>
                    </w:rPr>
                  </w:pPr>
                </w:p>
                <w:p w14:paraId="323CD170" w14:textId="1A5794D7" w:rsidR="009355A6" w:rsidRPr="00C82738" w:rsidRDefault="009355A6" w:rsidP="00AF20D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</w:pPr>
                  <w:r w:rsidRPr="00C82738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>Jak můžeme uřídit 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>napětí</w:t>
                  </w:r>
                  <w:r w:rsidRPr="00C82738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 xml:space="preserve"> mezi odborností a viditelností?</w:t>
                  </w:r>
                </w:p>
                <w:p w14:paraId="2037D427" w14:textId="5DCAC2C0" w:rsidR="009355A6" w:rsidRPr="00C82738" w:rsidRDefault="009355A6" w:rsidP="00A7695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</w:pPr>
                  <w:r w:rsidRPr="00C82738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 xml:space="preserve">Jak sestavit pro sebe strategii osobní komunikace, která zvýší 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>va</w:t>
                  </w:r>
                  <w:r w:rsidRPr="00C82738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>ši hodnotu na trhu</w:t>
                  </w:r>
                  <w:r w:rsidR="00A7695E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 xml:space="preserve"> práce</w:t>
                  </w:r>
                  <w:r w:rsidRPr="00C82738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 xml:space="preserve"> a pom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>ůže</w:t>
                  </w:r>
                  <w:r w:rsidRPr="00C82738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 xml:space="preserve"> 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>v</w:t>
                  </w:r>
                  <w:r w:rsidRPr="00C82738">
                    <w:rPr>
                      <w:rFonts w:ascii="Arial" w:eastAsia="Times New Roman" w:hAnsi="Arial" w:cs="Arial"/>
                      <w:b/>
                      <w:bCs/>
                      <w:color w:val="294B93"/>
                      <w:sz w:val="28"/>
                      <w:szCs w:val="28"/>
                      <w:lang w:eastAsia="cs-CZ"/>
                    </w:rPr>
                    <w:t>ám pracovat s větší lehkostí?</w:t>
                  </w:r>
                </w:p>
                <w:p w14:paraId="2184E582" w14:textId="469E1A7D" w:rsidR="00AF20D9" w:rsidRPr="00C82738" w:rsidRDefault="00AF20D9" w:rsidP="00C82738">
                  <w:pPr>
                    <w:jc w:val="both"/>
                    <w:rPr>
                      <w:rStyle w:val="jlqj4b"/>
                      <w:b/>
                      <w:sz w:val="28"/>
                      <w:szCs w:val="28"/>
                    </w:rPr>
                  </w:pP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>V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>ytvoření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 osobní značk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>y k z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ískání 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větší 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>pozornosti může být obtížn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>é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. 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>V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>ytvoř</w:t>
                  </w:r>
                  <w:r w:rsidR="00C82738"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te si profesní 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životopis </w:t>
                  </w:r>
                  <w:r w:rsidR="00C82738"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a 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>on</w:t>
                  </w:r>
                  <w:r w:rsidR="00C82738" w:rsidRPr="00C82738">
                    <w:rPr>
                      <w:rStyle w:val="jlqj4b"/>
                      <w:b/>
                      <w:sz w:val="28"/>
                      <w:szCs w:val="28"/>
                    </w:rPr>
                    <w:t>-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line profil pro vyhledávače </w:t>
                  </w:r>
                  <w:proofErr w:type="spellStart"/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>LinkedIn</w:t>
                  </w:r>
                  <w:proofErr w:type="spellEnd"/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>Xing</w:t>
                  </w:r>
                  <w:proofErr w:type="spellEnd"/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 nebo </w:t>
                  </w:r>
                  <w:r w:rsidR="00C82738"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jinou 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platformu používanou na </w:t>
                  </w:r>
                  <w:r w:rsidR="00C82738" w:rsidRPr="00C82738">
                    <w:rPr>
                      <w:rStyle w:val="jlqj4b"/>
                      <w:b/>
                      <w:sz w:val="28"/>
                      <w:szCs w:val="28"/>
                    </w:rPr>
                    <w:t>lokálním trhu práce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, abyste vynikli mezi </w:t>
                  </w:r>
                  <w:r w:rsidR="00C82738" w:rsidRPr="00C82738">
                    <w:rPr>
                      <w:rStyle w:val="jlqj4b"/>
                      <w:b/>
                      <w:sz w:val="28"/>
                      <w:szCs w:val="28"/>
                    </w:rPr>
                    <w:t>kandidáty na pracovní pozice.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 Svůj profil můžete přidat do burzy digitálních talentů LHH</w:t>
                  </w:r>
                  <w:r w:rsidR="00C82738"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, 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>kde zaměstnavatel</w:t>
                  </w:r>
                  <w:r w:rsidR="00C82738" w:rsidRPr="00C82738">
                    <w:rPr>
                      <w:rStyle w:val="jlqj4b"/>
                      <w:b/>
                      <w:sz w:val="28"/>
                      <w:szCs w:val="28"/>
                    </w:rPr>
                    <w:t>é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>hledají kandidáty</w:t>
                  </w:r>
                  <w:r w:rsidR="00C82738" w:rsidRPr="00C82738">
                    <w:rPr>
                      <w:rStyle w:val="jlqj4b"/>
                      <w:b/>
                      <w:sz w:val="28"/>
                      <w:szCs w:val="28"/>
                    </w:rPr>
                    <w:t xml:space="preserve"> na pracovní pozice </w:t>
                  </w:r>
                  <w:r w:rsidRPr="00C82738">
                    <w:rPr>
                      <w:rStyle w:val="jlqj4b"/>
                      <w:b/>
                      <w:sz w:val="28"/>
                      <w:szCs w:val="28"/>
                    </w:rPr>
                    <w:t>a zveřejňují nová pracovní místa, která jinde nenajdete.</w:t>
                  </w:r>
                </w:p>
                <w:p w14:paraId="3495CD48" w14:textId="77777777" w:rsidR="00C82738" w:rsidRDefault="00C82738" w:rsidP="009355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</w:pPr>
                </w:p>
                <w:p w14:paraId="4490F04F" w14:textId="77777777" w:rsidR="00C82738" w:rsidRDefault="00C82738" w:rsidP="00C827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Co potřebujete,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 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abyste se </w:t>
                  </w:r>
                  <w:r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lépe 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zviditelnili </w:t>
                  </w:r>
                </w:p>
                <w:p w14:paraId="18D28E26" w14:textId="4125072C" w:rsidR="009355A6" w:rsidRPr="00C82738" w:rsidRDefault="00C82738" w:rsidP="00C827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3F42"/>
                      <w:sz w:val="28"/>
                      <w:szCs w:val="28"/>
                      <w:lang w:eastAsia="cs-CZ"/>
                    </w:rPr>
                  </w:pP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a posíli</w:t>
                  </w:r>
                  <w:r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li 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hodnotu své práce a osobní značk</w:t>
                  </w:r>
                  <w:r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y?</w:t>
                  </w:r>
                </w:p>
                <w:p w14:paraId="1312DABF" w14:textId="056C7C7C" w:rsidR="00C82738" w:rsidRPr="00C82738" w:rsidRDefault="00C82738" w:rsidP="00C827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ind w:left="714" w:hanging="357"/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j</w:t>
                  </w:r>
                  <w:r w:rsidR="009355A6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asn</w:t>
                  </w:r>
                  <w:r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ý popis </w:t>
                  </w:r>
                  <w:r w:rsidR="009355A6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osobního </w:t>
                  </w:r>
                  <w:proofErr w:type="spellStart"/>
                  <w:r w:rsidR="009355A6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brandingu</w:t>
                  </w:r>
                  <w:proofErr w:type="spellEnd"/>
                </w:p>
                <w:p w14:paraId="24B773FF" w14:textId="1095067D" w:rsidR="00C82738" w:rsidRPr="00C82738" w:rsidRDefault="009355A6" w:rsidP="00C827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ind w:left="714" w:hanging="357"/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</w:pP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pochop</w:t>
                  </w:r>
                  <w:r w:rsidR="00AF20D9"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it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 rozdíl mezi osobním </w:t>
                  </w:r>
                  <w:proofErr w:type="spellStart"/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brandingem</w:t>
                  </w:r>
                  <w:proofErr w:type="spellEnd"/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 a reputací</w:t>
                  </w:r>
                </w:p>
                <w:p w14:paraId="318BADC5" w14:textId="70DE2CAE" w:rsidR="009355A6" w:rsidRPr="00C82738" w:rsidRDefault="009355A6" w:rsidP="00C827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ind w:left="714" w:hanging="357"/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</w:pP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struktur</w:t>
                  </w:r>
                  <w:r w:rsid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u pro 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sestav</w:t>
                  </w:r>
                  <w:r w:rsid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ení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 strategi</w:t>
                  </w:r>
                  <w:r w:rsid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e 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>osobní komunikace</w:t>
                  </w:r>
                </w:p>
                <w:p w14:paraId="59761D4C" w14:textId="3A8C4F9B" w:rsidR="00C82738" w:rsidRDefault="009355A6" w:rsidP="00C827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ind w:left="714" w:hanging="357"/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</w:pP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seznam jasných kroků, které </w:t>
                  </w:r>
                  <w:r w:rsid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budete </w:t>
                  </w:r>
                  <w:r w:rsidRPr="00C82738"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  <w:t xml:space="preserve">uplatňovat </w:t>
                  </w:r>
                </w:p>
                <w:p w14:paraId="56962406" w14:textId="4FD4034C" w:rsidR="009355A6" w:rsidRPr="00C82738" w:rsidRDefault="009355A6" w:rsidP="00C8273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b/>
                      <w:color w:val="294B93"/>
                      <w:sz w:val="28"/>
                      <w:szCs w:val="28"/>
                      <w:lang w:eastAsia="cs-CZ"/>
                    </w:rPr>
                  </w:pPr>
                </w:p>
              </w:tc>
            </w:tr>
          </w:tbl>
          <w:p w14:paraId="2C331C45" w14:textId="77777777" w:rsidR="009355A6" w:rsidRPr="00AF20D9" w:rsidRDefault="009355A6" w:rsidP="0093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14:paraId="480B2BB3" w14:textId="5F3BFF6E" w:rsidR="00435D71" w:rsidRDefault="00435D71" w:rsidP="00AF20D9"/>
    <w:sectPr w:rsidR="00435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7665"/>
    <w:multiLevelType w:val="multilevel"/>
    <w:tmpl w:val="ACB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367CC"/>
    <w:multiLevelType w:val="hybridMultilevel"/>
    <w:tmpl w:val="B442C1D2"/>
    <w:lvl w:ilvl="0" w:tplc="C824BD5A">
      <w:start w:val="1"/>
      <w:numFmt w:val="decimal"/>
      <w:lvlText w:val="%1)"/>
      <w:lvlJc w:val="left"/>
      <w:pPr>
        <w:ind w:left="720" w:hanging="360"/>
      </w:pPr>
      <w:rPr>
        <w:rFonts w:hint="default"/>
        <w:color w:val="294B9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C4BD3"/>
    <w:multiLevelType w:val="multilevel"/>
    <w:tmpl w:val="6B20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FB"/>
    <w:rsid w:val="002E4F37"/>
    <w:rsid w:val="00371FE3"/>
    <w:rsid w:val="00435D71"/>
    <w:rsid w:val="007F39C7"/>
    <w:rsid w:val="009355A6"/>
    <w:rsid w:val="009740FB"/>
    <w:rsid w:val="00A7695E"/>
    <w:rsid w:val="00AF20D9"/>
    <w:rsid w:val="00C8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A386"/>
  <w15:chartTrackingRefBased/>
  <w15:docId w15:val="{AE477546-58CF-4C34-9AF5-B5730F19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2E4F37"/>
  </w:style>
  <w:style w:type="paragraph" w:styleId="Odstavecseseznamem">
    <w:name w:val="List Paragraph"/>
    <w:basedOn w:val="Normln"/>
    <w:uiPriority w:val="34"/>
    <w:qFormat/>
    <w:rsid w:val="00AF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7</cp:revision>
  <dcterms:created xsi:type="dcterms:W3CDTF">2021-02-15T13:37:00Z</dcterms:created>
  <dcterms:modified xsi:type="dcterms:W3CDTF">2021-03-01T12:07:00Z</dcterms:modified>
</cp:coreProperties>
</file>