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35656" w14:textId="77777777" w:rsidR="00BF1AC0" w:rsidRPr="00064D81" w:rsidRDefault="00064D81">
      <w:pPr>
        <w:rPr>
          <w:b/>
          <w:sz w:val="28"/>
          <w:szCs w:val="28"/>
        </w:rPr>
      </w:pPr>
      <w:r w:rsidRPr="00064D81">
        <w:rPr>
          <w:b/>
          <w:sz w:val="28"/>
          <w:szCs w:val="28"/>
        </w:rPr>
        <w:t>Průběžný test:</w:t>
      </w:r>
    </w:p>
    <w:p w14:paraId="62F3FC5A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</w:t>
      </w: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</w:p>
    <w:p w14:paraId="4525041A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Z doplňkového penzijního spoření lze vyplácet dávky formou: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F271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8pt;height:15.6pt" o:ole="">
            <v:imagedata r:id="rId4" o:title=""/>
          </v:shape>
          <w:control r:id="rId5" w:name="DefaultOcxName" w:shapeid="_x0000_i1060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starobní penze na určenou dobu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A5FBE5C">
          <v:shape id="_x0000_i1063" type="#_x0000_t75" style="width:18pt;height:15.6pt" o:ole="">
            <v:imagedata r:id="rId4" o:title=""/>
          </v:shape>
          <w:control r:id="rId6" w:name="DefaultOcxName1" w:shapeid="_x0000_i1063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invalidní penze na určenou dobu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1698B4">
          <v:shape id="_x0000_i1066" type="#_x0000_t75" style="width:18pt;height:15.6pt" o:ole="">
            <v:imagedata r:id="rId4" o:title=""/>
          </v:shape>
          <w:control r:id="rId7" w:name="DefaultOcxName2" w:shapeid="_x0000_i1066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jednorázového vyrovnání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BECFD98">
          <v:shape id="_x0000_i1069" type="#_x0000_t75" style="width:18pt;height:15.6pt" o:ole="">
            <v:imagedata r:id="rId4" o:title=""/>
          </v:shape>
          <w:control r:id="rId8" w:name="DefaultOcxName3" w:shapeid="_x0000_i1069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odbytného</w:t>
      </w:r>
    </w:p>
    <w:p w14:paraId="381B3981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</w:t>
      </w:r>
    </w:p>
    <w:p w14:paraId="0779DE76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Osoba, na jejíž život, zdraví, majetek, odpovědnost za škodu nebo jiné hodnoty pojistného zájmu se vztahuje pojištění, se nazývá: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C97FA4">
          <v:shape id="_x0000_i1072" type="#_x0000_t75" style="width:18pt;height:15.6pt" o:ole="">
            <v:imagedata r:id="rId4" o:title=""/>
          </v:shape>
          <w:control r:id="rId9" w:name="DefaultOcxName4" w:shapeid="_x0000_i1072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pojistitel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632A518">
          <v:shape id="_x0000_i1075" type="#_x0000_t75" style="width:18pt;height:15.6pt" o:ole="">
            <v:imagedata r:id="rId4" o:title=""/>
          </v:shape>
          <w:control r:id="rId10" w:name="DefaultOcxName5" w:shapeid="_x0000_i1075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pojistník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F486ED">
          <v:shape id="_x0000_i1078" type="#_x0000_t75" style="width:18pt;height:15.6pt" o:ole="">
            <v:imagedata r:id="rId4" o:title=""/>
          </v:shape>
          <w:control r:id="rId11" w:name="DefaultOcxName6" w:shapeid="_x0000_i1078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pojištěný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E8F995">
          <v:shape id="_x0000_i1081" type="#_x0000_t75" style="width:18pt;height:15.6pt" o:ole="">
            <v:imagedata r:id="rId4" o:title=""/>
          </v:shape>
          <w:control r:id="rId12" w:name="DefaultOcxName7" w:shapeid="_x0000_i1081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obmyšlená osoba</w:t>
      </w:r>
    </w:p>
    <w:p w14:paraId="69580B1D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AF44DA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</w:t>
      </w:r>
    </w:p>
    <w:p w14:paraId="6BF15FEB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otevřený podílový fond má ve svém portfoliu převážně akcie a dluhopisy, uvádí doporučený investiční horizont minimálně 3-5 let a investiční riziko je střední, pak se nejspíše jedná o fond: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EBB878B">
          <v:shape id="_x0000_i1084" type="#_x0000_t75" style="width:18pt;height:15.6pt" o:ole="">
            <v:imagedata r:id="rId4" o:title=""/>
          </v:shape>
          <w:control r:id="rId13" w:name="DefaultOcxName8" w:shapeid="_x0000_i1084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peněžního trhu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4BC519">
          <v:shape id="_x0000_i1087" type="#_x0000_t75" style="width:18pt;height:15.6pt" o:ole="">
            <v:imagedata r:id="rId4" o:title=""/>
          </v:shape>
          <w:control r:id="rId14" w:name="DefaultOcxName9" w:shapeid="_x0000_i1087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dluhopisový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D5359D">
          <v:shape id="_x0000_i1090" type="#_x0000_t75" style="width:18pt;height:15.6pt" o:ole="">
            <v:imagedata r:id="rId4" o:title=""/>
          </v:shape>
          <w:control r:id="rId15" w:name="DefaultOcxName10" w:shapeid="_x0000_i1090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smíšený </w:t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76803C">
          <v:shape id="_x0000_i1093" type="#_x0000_t75" style="width:18pt;height:15.6pt" o:ole="">
            <v:imagedata r:id="rId4" o:title=""/>
          </v:shape>
          <w:control r:id="rId16" w:name="DefaultOcxName11" w:shapeid="_x0000_i1093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akciový</w:t>
      </w:r>
    </w:p>
    <w:p w14:paraId="25F9BCF9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36702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</w:t>
      </w:r>
    </w:p>
    <w:p w14:paraId="6123ADA9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3B cílů ve finančním plánování je cílem plánu bezpečí: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223A1E">
          <v:shape id="_x0000_i1097" type="#_x0000_t75" style="width:152.4pt;height:18pt" o:ole="">
            <v:imagedata r:id="rId17" o:title=""/>
          </v:shape>
          <w:control r:id="rId18" w:name="DefaultOcxName12" w:shapeid="_x0000_i1097"/>
        </w:object>
      </w:r>
    </w:p>
    <w:p w14:paraId="30CA2900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93C176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</w:t>
      </w:r>
    </w:p>
    <w:p w14:paraId="7D71AB3F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Úvěr ze stavebního spoření lze použít pouze na financování: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1C4CD9">
          <v:shape id="_x0000_i1100" type="#_x0000_t75" style="width:94.8pt;height:18pt" o:ole="">
            <v:imagedata r:id="rId19" o:title=""/>
          </v:shape>
          <w:control r:id="rId20" w:name="DefaultOcxName13" w:shapeid="_x0000_i1100"/>
        </w:object>
      </w:r>
    </w:p>
    <w:p w14:paraId="0CC398DC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CBE4E5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</w:t>
      </w:r>
    </w:p>
    <w:p w14:paraId="17190F25" w14:textId="11269D29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Kolik bude muset pravidelně měsíčně splácet paní Nováková, vezme-li si hypotéční úvěr 1 200 000,- Kč na 20 let za předpokladu, že úrok činí 2,7 % p.a. a jde o anuitní splácení?  (2 body)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3BCD0F0">
          <v:shape id="_x0000_i1110" type="#_x0000_t75" style="width:312.6pt;height:114.6pt" o:ole="">
            <v:imagedata r:id="rId21" o:title=""/>
          </v:shape>
          <w:control r:id="rId22" w:name="DefaultOcxName14" w:shapeid="_x0000_i1110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766ABC6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8A0A5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</w:t>
      </w:r>
    </w:p>
    <w:p w14:paraId="2997D25A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>Pan Novák dnes uzavřel smlouvu o stavebním spoření a po 6 letech hodlá úspory vybrat. Chce spořit pravidelně 1 500 Kč měsíčně. Kolik si bude moci po 6 letech ze stavebního spoření vybrat (po zdanění), při průměrném zhodnocení 2 % p.a. s měsíčním připisováním úroků? (3 body)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A85230">
          <v:shape id="_x0000_i1106" type="#_x0000_t75" style="width:312.6pt;height:162.6pt" o:ole="">
            <v:imagedata r:id="rId23" o:title=""/>
          </v:shape>
          <w:control r:id="rId24" w:name="DefaultOcxName15" w:shapeid="_x0000_i1106"/>
        </w:objec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06D9CA3" w14:textId="77777777" w:rsidR="00064D81" w:rsidRPr="00064D81" w:rsidRDefault="00064D81" w:rsidP="00064D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64D8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8.</w:t>
      </w:r>
    </w:p>
    <w:p w14:paraId="481F002B" w14:textId="77777777" w:rsidR="00064D81" w:rsidRPr="00064D81" w:rsidRDefault="00064D81" w:rsidP="0006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Novák si založil i doplňkové penzijní spoření. Jak vysokou měsíční penzi může očekávat? Spořit bude od svých 35 let do svých 65 let 500 Kč měsíčně a zaměstnavatel mu bude přispívat po celou dobu spoření 400 Kč měsíčně. Očekává průměrné roční zhodnocení 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cca 3 % p.a., penzi bude chtít čerpat po dobu 15 let. Zohledněte ve výpočtu daň. (5 bodů)</w:t>
      </w:r>
      <w:r w:rsidRPr="00064D8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64D81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65F4D2">
          <v:shape id="_x0000_i1109" type="#_x0000_t75" style="width:312.6pt;height:258.6pt" o:ole="">
            <v:imagedata r:id="rId25" o:title=""/>
          </v:shape>
          <w:control r:id="rId26" w:name="DefaultOcxName16" w:shapeid="_x0000_i1109"/>
        </w:object>
      </w:r>
    </w:p>
    <w:p w14:paraId="68563B20" w14:textId="77777777" w:rsidR="00064D81" w:rsidRDefault="00064D81"/>
    <w:sectPr w:rsidR="0006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81"/>
    <w:rsid w:val="00064D81"/>
    <w:rsid w:val="00275C65"/>
    <w:rsid w:val="002D2789"/>
    <w:rsid w:val="007E1175"/>
    <w:rsid w:val="008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1D1A34D"/>
  <w15:chartTrackingRefBased/>
  <w15:docId w15:val="{7B7E7C93-7CE6-4F3C-AF5D-F5618F06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4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4D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3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3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6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3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5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7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6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Klepková Vodová</dc:creator>
  <cp:keywords/>
  <dc:description/>
  <cp:lastModifiedBy>Roman Hlawiczka</cp:lastModifiedBy>
  <cp:revision>2</cp:revision>
  <dcterms:created xsi:type="dcterms:W3CDTF">2021-03-24T21:28:00Z</dcterms:created>
  <dcterms:modified xsi:type="dcterms:W3CDTF">2021-03-24T21:28:00Z</dcterms:modified>
</cp:coreProperties>
</file>