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CEE" w:rsidRDefault="00C04CEE" w:rsidP="00C04CEE">
      <w:pPr>
        <w:autoSpaceDN/>
        <w:spacing w:before="240" w:after="120" w:line="240" w:lineRule="auto"/>
        <w:contextualSpacing/>
        <w:jc w:val="both"/>
        <w:textAlignment w:val="auto"/>
        <w:rPr>
          <w:rFonts w:ascii="Times New Roman" w:hAnsi="Times New Roman"/>
          <w:sz w:val="24"/>
          <w:szCs w:val="24"/>
        </w:rPr>
      </w:pPr>
    </w:p>
    <w:p w:rsidR="003B76F8" w:rsidRPr="00C04CEE" w:rsidRDefault="003B76F8" w:rsidP="003B76F8">
      <w:pPr>
        <w:autoSpaceDN/>
        <w:spacing w:before="240" w:after="120" w:line="240" w:lineRule="auto"/>
        <w:contextualSpacing/>
        <w:jc w:val="both"/>
        <w:textAlignment w:val="auto"/>
        <w:rPr>
          <w:rFonts w:ascii="Times New Roman" w:hAnsi="Times New Roman"/>
          <w:b/>
          <w:sz w:val="24"/>
          <w:szCs w:val="24"/>
        </w:rPr>
      </w:pPr>
      <w:r>
        <w:rPr>
          <w:rFonts w:ascii="Times New Roman" w:hAnsi="Times New Roman"/>
          <w:b/>
          <w:sz w:val="24"/>
          <w:szCs w:val="24"/>
        </w:rPr>
        <w:t>Správné členění sortimentu dle mezinárodního členění a technologické skupiny zboží.</w:t>
      </w:r>
    </w:p>
    <w:p w:rsidR="003B76F8" w:rsidRDefault="003B76F8" w:rsidP="00C04CEE">
      <w:pPr>
        <w:autoSpaceDN/>
        <w:spacing w:before="240" w:after="120" w:line="240" w:lineRule="auto"/>
        <w:contextualSpacing/>
        <w:jc w:val="both"/>
        <w:textAlignment w:val="auto"/>
        <w:rPr>
          <w:rFonts w:ascii="Times New Roman" w:hAnsi="Times New Roman"/>
          <w:sz w:val="24"/>
          <w:szCs w:val="24"/>
        </w:rPr>
      </w:pPr>
      <w:r>
        <w:rPr>
          <w:rFonts w:ascii="Times New Roman" w:hAnsi="Times New Roman"/>
          <w:sz w:val="24"/>
          <w:szCs w:val="24"/>
        </w:rPr>
        <w:t>-teorií k mezinárodnímu členění zboží je několik a mohou se lišit. Podle současných teorií můžeme zboží třídit následovně:</w:t>
      </w:r>
      <w:r w:rsidRPr="003B76F8">
        <w:rPr>
          <w:noProof/>
          <w:lang w:eastAsia="cs-CZ"/>
        </w:rPr>
        <w:t xml:space="preserve"> </w:t>
      </w:r>
    </w:p>
    <w:tbl>
      <w:tblPr>
        <w:tblStyle w:val="Mkatabulky"/>
        <w:tblpPr w:leftFromText="141" w:rightFromText="141" w:vertAnchor="page" w:horzAnchor="margin" w:tblpXSpec="center" w:tblpY="2821"/>
        <w:tblW w:w="13178" w:type="dxa"/>
        <w:tblLayout w:type="fixed"/>
        <w:tblLook w:val="04A0" w:firstRow="1" w:lastRow="0" w:firstColumn="1" w:lastColumn="0" w:noHBand="0" w:noVBand="1"/>
      </w:tblPr>
      <w:tblGrid>
        <w:gridCol w:w="2121"/>
        <w:gridCol w:w="1418"/>
        <w:gridCol w:w="1418"/>
        <w:gridCol w:w="1417"/>
        <w:gridCol w:w="1133"/>
        <w:gridCol w:w="1135"/>
        <w:gridCol w:w="1133"/>
        <w:gridCol w:w="1843"/>
        <w:gridCol w:w="1560"/>
      </w:tblGrid>
      <w:tr w:rsidR="003B76F8" w:rsidRPr="00C04CEE" w:rsidTr="000B7366">
        <w:tc>
          <w:tcPr>
            <w:tcW w:w="13178" w:type="dxa"/>
            <w:gridSpan w:val="9"/>
            <w:tcBorders>
              <w:top w:val="single" w:sz="12" w:space="0" w:color="auto"/>
              <w:left w:val="single" w:sz="12" w:space="0" w:color="auto"/>
              <w:right w:val="single" w:sz="12" w:space="0" w:color="auto"/>
            </w:tcBorders>
            <w:shd w:val="clear" w:color="auto" w:fill="CCC0D9" w:themeFill="accent4" w:themeFillTint="66"/>
            <w:vAlign w:val="center"/>
          </w:tcPr>
          <w:p w:rsidR="003B76F8" w:rsidRDefault="003B76F8" w:rsidP="003B76F8">
            <w:pPr>
              <w:spacing w:after="160" w:line="259" w:lineRule="auto"/>
              <w:jc w:val="center"/>
              <w:rPr>
                <w:rFonts w:ascii="Times New Roman" w:hAnsi="Times New Roman"/>
                <w:b/>
                <w:sz w:val="24"/>
                <w:szCs w:val="24"/>
              </w:rPr>
            </w:pPr>
            <w:r>
              <w:rPr>
                <w:rFonts w:ascii="Times New Roman" w:hAnsi="Times New Roman"/>
                <w:b/>
                <w:sz w:val="24"/>
                <w:szCs w:val="24"/>
              </w:rPr>
              <w:t>MEZINÁRODNÍ ČLENĚNÍ SORTIMENTU SPOTŘEBNÍHO ZBOŽÍ</w:t>
            </w:r>
          </w:p>
        </w:tc>
      </w:tr>
      <w:tr w:rsidR="003B76F8" w:rsidRPr="00C04CEE" w:rsidTr="000B7366">
        <w:tc>
          <w:tcPr>
            <w:tcW w:w="2121" w:type="dxa"/>
            <w:vMerge w:val="restart"/>
            <w:tcBorders>
              <w:left w:val="single" w:sz="12" w:space="0" w:color="auto"/>
              <w:right w:val="single" w:sz="12" w:space="0" w:color="auto"/>
            </w:tcBorders>
            <w:shd w:val="clear" w:color="auto" w:fill="auto"/>
            <w:vAlign w:val="center"/>
          </w:tcPr>
          <w:p w:rsidR="003B76F8" w:rsidRPr="003B76F8" w:rsidRDefault="003B76F8" w:rsidP="003B76F8">
            <w:pPr>
              <w:spacing w:before="120"/>
              <w:contextualSpacing/>
              <w:rPr>
                <w:rFonts w:ascii="Times New Roman" w:hAnsi="Times New Roman"/>
                <w:b/>
              </w:rPr>
            </w:pPr>
            <w:r w:rsidRPr="003B76F8">
              <w:rPr>
                <w:rFonts w:ascii="Times New Roman" w:hAnsi="Times New Roman"/>
                <w:b/>
              </w:rPr>
              <w:t>Druh zboží</w:t>
            </w:r>
          </w:p>
        </w:tc>
        <w:tc>
          <w:tcPr>
            <w:tcW w:w="4253" w:type="dxa"/>
            <w:gridSpan w:val="3"/>
            <w:tcBorders>
              <w:top w:val="single" w:sz="12" w:space="0" w:color="auto"/>
              <w:left w:val="single" w:sz="12" w:space="0" w:color="auto"/>
              <w:bottom w:val="single" w:sz="12" w:space="0" w:color="auto"/>
              <w:right w:val="single" w:sz="12" w:space="0" w:color="auto"/>
            </w:tcBorders>
            <w:shd w:val="clear" w:color="auto" w:fill="E5DFEC" w:themeFill="accent4" w:themeFillTint="33"/>
          </w:tcPr>
          <w:p w:rsidR="003B76F8" w:rsidRPr="00C04CEE" w:rsidRDefault="003B76F8" w:rsidP="005D46A0">
            <w:pPr>
              <w:spacing w:after="160" w:line="259" w:lineRule="auto"/>
              <w:jc w:val="center"/>
              <w:rPr>
                <w:rFonts w:ascii="Times New Roman" w:hAnsi="Times New Roman"/>
                <w:b/>
                <w:sz w:val="24"/>
                <w:szCs w:val="24"/>
              </w:rPr>
            </w:pPr>
            <w:r>
              <w:rPr>
                <w:rFonts w:ascii="Times New Roman" w:hAnsi="Times New Roman"/>
                <w:b/>
                <w:sz w:val="24"/>
                <w:szCs w:val="24"/>
              </w:rPr>
              <w:t>POTRAVINÁŘSKÉ ZBOŽÍ</w:t>
            </w:r>
          </w:p>
        </w:tc>
        <w:tc>
          <w:tcPr>
            <w:tcW w:w="6804" w:type="dxa"/>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rsidR="003B76F8" w:rsidRPr="00C04CEE" w:rsidRDefault="003B76F8" w:rsidP="005D46A0">
            <w:pPr>
              <w:spacing w:after="160" w:line="259" w:lineRule="auto"/>
              <w:jc w:val="center"/>
              <w:rPr>
                <w:rFonts w:ascii="Times New Roman" w:hAnsi="Times New Roman"/>
                <w:b/>
                <w:sz w:val="24"/>
                <w:szCs w:val="24"/>
              </w:rPr>
            </w:pPr>
            <w:r>
              <w:rPr>
                <w:rFonts w:ascii="Times New Roman" w:hAnsi="Times New Roman"/>
                <w:b/>
                <w:sz w:val="24"/>
                <w:szCs w:val="24"/>
              </w:rPr>
              <w:t>NEPOTRAVINÁŘSKÉ ZBOŽÍ</w:t>
            </w:r>
          </w:p>
        </w:tc>
      </w:tr>
      <w:tr w:rsidR="000B7366" w:rsidRPr="00C04CEE" w:rsidTr="00DB41F9">
        <w:tc>
          <w:tcPr>
            <w:tcW w:w="2121" w:type="dxa"/>
            <w:vMerge/>
            <w:tcBorders>
              <w:left w:val="single" w:sz="12" w:space="0" w:color="auto"/>
              <w:right w:val="single" w:sz="12" w:space="0" w:color="auto"/>
            </w:tcBorders>
            <w:shd w:val="clear" w:color="auto" w:fill="auto"/>
          </w:tcPr>
          <w:p w:rsidR="000B7366" w:rsidRPr="00C04CEE" w:rsidRDefault="000B7366" w:rsidP="005D46A0">
            <w:pPr>
              <w:spacing w:before="120"/>
              <w:contextualSpacing/>
              <w:jc w:val="both"/>
            </w:pPr>
          </w:p>
        </w:tc>
        <w:tc>
          <w:tcPr>
            <w:tcW w:w="1418" w:type="dxa"/>
            <w:vMerge w:val="restart"/>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B7366" w:rsidRPr="00DB41F9" w:rsidRDefault="000B7366" w:rsidP="000B7366">
            <w:pPr>
              <w:spacing w:before="120"/>
              <w:contextualSpacing/>
              <w:jc w:val="center"/>
              <w:rPr>
                <w:rFonts w:ascii="Times New Roman" w:hAnsi="Times New Roman"/>
              </w:rPr>
            </w:pPr>
            <w:r w:rsidRPr="00DB41F9">
              <w:rPr>
                <w:rFonts w:ascii="Times New Roman" w:hAnsi="Times New Roman"/>
              </w:rPr>
              <w:t>Suchý sortiment</w:t>
            </w:r>
          </w:p>
        </w:tc>
        <w:tc>
          <w:tcPr>
            <w:tcW w:w="1418" w:type="dxa"/>
            <w:vMerge w:val="restart"/>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B7366" w:rsidRPr="00DB41F9" w:rsidRDefault="000B7366" w:rsidP="000B7366">
            <w:pPr>
              <w:spacing w:before="120"/>
              <w:contextualSpacing/>
              <w:jc w:val="center"/>
              <w:rPr>
                <w:rFonts w:ascii="Times New Roman" w:hAnsi="Times New Roman"/>
              </w:rPr>
            </w:pPr>
            <w:r w:rsidRPr="00DB41F9">
              <w:rPr>
                <w:rFonts w:ascii="Times New Roman" w:hAnsi="Times New Roman"/>
              </w:rPr>
              <w:t>Rychle se kazící sortiment</w:t>
            </w:r>
          </w:p>
        </w:tc>
        <w:tc>
          <w:tcPr>
            <w:tcW w:w="1417" w:type="dxa"/>
            <w:vMerge w:val="restart"/>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B7366" w:rsidRPr="00DB41F9" w:rsidRDefault="000B7366" w:rsidP="000B7366">
            <w:pPr>
              <w:spacing w:before="120"/>
              <w:contextualSpacing/>
              <w:jc w:val="center"/>
              <w:rPr>
                <w:rFonts w:ascii="Times New Roman" w:hAnsi="Times New Roman"/>
              </w:rPr>
            </w:pPr>
            <w:r w:rsidRPr="00DB41F9">
              <w:rPr>
                <w:rFonts w:ascii="Times New Roman" w:hAnsi="Times New Roman"/>
              </w:rPr>
              <w:t>Nezařazené</w:t>
            </w:r>
          </w:p>
        </w:tc>
        <w:tc>
          <w:tcPr>
            <w:tcW w:w="1133" w:type="dxa"/>
            <w:vMerge w:val="restart"/>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B7366" w:rsidRPr="00DB41F9" w:rsidRDefault="000B7366" w:rsidP="000B7366">
            <w:pPr>
              <w:spacing w:before="120"/>
              <w:contextualSpacing/>
              <w:jc w:val="center"/>
              <w:rPr>
                <w:rFonts w:ascii="Times New Roman" w:hAnsi="Times New Roman"/>
              </w:rPr>
            </w:pPr>
            <w:r w:rsidRPr="00DB41F9">
              <w:rPr>
                <w:rFonts w:ascii="Times New Roman" w:hAnsi="Times New Roman"/>
              </w:rPr>
              <w:t>Měkké</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B7366" w:rsidRPr="00DB41F9" w:rsidRDefault="000B7366" w:rsidP="000B7366">
            <w:pPr>
              <w:spacing w:before="120"/>
              <w:contextualSpacing/>
              <w:jc w:val="center"/>
              <w:rPr>
                <w:rFonts w:ascii="Times New Roman" w:hAnsi="Times New Roman"/>
              </w:rPr>
            </w:pPr>
            <w:r w:rsidRPr="00DB41F9">
              <w:rPr>
                <w:rFonts w:ascii="Times New Roman" w:hAnsi="Times New Roman"/>
              </w:rPr>
              <w:t>Tvrdé</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B7366" w:rsidRPr="00DB41F9" w:rsidRDefault="000B7366" w:rsidP="000B7366">
            <w:pPr>
              <w:spacing w:before="120"/>
              <w:contextualSpacing/>
              <w:jc w:val="center"/>
              <w:rPr>
                <w:rFonts w:ascii="Times New Roman" w:hAnsi="Times New Roman"/>
              </w:rPr>
            </w:pPr>
            <w:r w:rsidRPr="00DB41F9">
              <w:rPr>
                <w:rFonts w:ascii="Times New Roman" w:hAnsi="Times New Roman"/>
              </w:rPr>
              <w:t>Malé spotřebiče</w:t>
            </w:r>
            <w:r w:rsidR="006B61A6">
              <w:rPr>
                <w:rFonts w:ascii="Times New Roman" w:hAnsi="Times New Roman"/>
              </w:rPr>
              <w:t>*</w:t>
            </w:r>
          </w:p>
        </w:tc>
        <w:tc>
          <w:tcPr>
            <w:tcW w:w="1560" w:type="dxa"/>
            <w:vMerge w:val="restart"/>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B7366" w:rsidRPr="00DB41F9" w:rsidRDefault="000B7366" w:rsidP="000B7366">
            <w:pPr>
              <w:spacing w:before="120"/>
              <w:contextualSpacing/>
              <w:jc w:val="center"/>
              <w:rPr>
                <w:rFonts w:ascii="Times New Roman" w:hAnsi="Times New Roman"/>
              </w:rPr>
            </w:pPr>
            <w:r w:rsidRPr="00DB41F9">
              <w:rPr>
                <w:rFonts w:ascii="Times New Roman" w:hAnsi="Times New Roman"/>
              </w:rPr>
              <w:t>Nezařazené</w:t>
            </w:r>
          </w:p>
        </w:tc>
      </w:tr>
      <w:tr w:rsidR="000B7366" w:rsidRPr="00C04CEE" w:rsidTr="00DB41F9">
        <w:tc>
          <w:tcPr>
            <w:tcW w:w="2121" w:type="dxa"/>
            <w:vMerge/>
            <w:tcBorders>
              <w:left w:val="single" w:sz="12" w:space="0" w:color="auto"/>
              <w:bottom w:val="single" w:sz="12" w:space="0" w:color="auto"/>
              <w:right w:val="single" w:sz="12" w:space="0" w:color="auto"/>
            </w:tcBorders>
            <w:shd w:val="clear" w:color="auto" w:fill="auto"/>
          </w:tcPr>
          <w:p w:rsidR="000B7366" w:rsidRPr="00C04CEE" w:rsidRDefault="000B7366" w:rsidP="005D46A0">
            <w:pPr>
              <w:spacing w:before="120"/>
              <w:contextualSpacing/>
              <w:jc w:val="both"/>
              <w:rPr>
                <w:b/>
              </w:rPr>
            </w:pPr>
          </w:p>
        </w:tc>
        <w:tc>
          <w:tcPr>
            <w:tcW w:w="1418" w:type="dxa"/>
            <w:vMerge/>
            <w:tcBorders>
              <w:top w:val="single" w:sz="12" w:space="0" w:color="auto"/>
              <w:left w:val="single" w:sz="12" w:space="0" w:color="auto"/>
              <w:bottom w:val="single" w:sz="12" w:space="0" w:color="auto"/>
              <w:right w:val="single" w:sz="12" w:space="0" w:color="auto"/>
            </w:tcBorders>
            <w:shd w:val="clear" w:color="auto" w:fill="auto"/>
          </w:tcPr>
          <w:p w:rsidR="000B7366" w:rsidRPr="000B7366" w:rsidRDefault="000B7366" w:rsidP="005D46A0">
            <w:pPr>
              <w:spacing w:before="120"/>
              <w:contextualSpacing/>
              <w:jc w:val="center"/>
              <w:rPr>
                <w:rFonts w:ascii="Times New Roman" w:hAnsi="Times New Roman"/>
                <w:color w:val="FF0000"/>
                <w:sz w:val="24"/>
                <w:szCs w:val="24"/>
              </w:rPr>
            </w:pPr>
          </w:p>
        </w:tc>
        <w:tc>
          <w:tcPr>
            <w:tcW w:w="1418" w:type="dxa"/>
            <w:vMerge/>
            <w:tcBorders>
              <w:top w:val="single" w:sz="12" w:space="0" w:color="auto"/>
              <w:left w:val="single" w:sz="12" w:space="0" w:color="auto"/>
              <w:bottom w:val="single" w:sz="12" w:space="0" w:color="auto"/>
              <w:right w:val="single" w:sz="12" w:space="0" w:color="auto"/>
            </w:tcBorders>
            <w:shd w:val="clear" w:color="auto" w:fill="auto"/>
          </w:tcPr>
          <w:p w:rsidR="000B7366" w:rsidRPr="000B7366" w:rsidRDefault="000B7366" w:rsidP="005D46A0">
            <w:pPr>
              <w:spacing w:before="120"/>
              <w:contextualSpacing/>
              <w:jc w:val="center"/>
              <w:rPr>
                <w:color w:val="FF0000"/>
              </w:rPr>
            </w:pPr>
          </w:p>
        </w:tc>
        <w:tc>
          <w:tcPr>
            <w:tcW w:w="1417" w:type="dxa"/>
            <w:vMerge/>
            <w:tcBorders>
              <w:top w:val="single" w:sz="12" w:space="0" w:color="auto"/>
              <w:left w:val="single" w:sz="12" w:space="0" w:color="auto"/>
              <w:bottom w:val="single" w:sz="12" w:space="0" w:color="auto"/>
              <w:right w:val="single" w:sz="12" w:space="0" w:color="auto"/>
            </w:tcBorders>
            <w:shd w:val="clear" w:color="auto" w:fill="auto"/>
          </w:tcPr>
          <w:p w:rsidR="000B7366" w:rsidRPr="000B7366" w:rsidRDefault="000B7366" w:rsidP="005D46A0">
            <w:pPr>
              <w:spacing w:before="120"/>
              <w:contextualSpacing/>
              <w:jc w:val="center"/>
              <w:rPr>
                <w:color w:val="FF0000"/>
              </w:rPr>
            </w:pPr>
          </w:p>
        </w:tc>
        <w:tc>
          <w:tcPr>
            <w:tcW w:w="1133" w:type="dxa"/>
            <w:vMerge/>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0B7366" w:rsidRPr="000B7366" w:rsidRDefault="000B7366" w:rsidP="005D46A0">
            <w:pPr>
              <w:spacing w:before="120"/>
              <w:contextualSpacing/>
              <w:jc w:val="center"/>
              <w:rPr>
                <w:color w:val="FF0000"/>
              </w:rPr>
            </w:pPr>
          </w:p>
        </w:tc>
        <w:tc>
          <w:tcPr>
            <w:tcW w:w="1135" w:type="dxa"/>
            <w:tcBorders>
              <w:top w:val="single" w:sz="12" w:space="0" w:color="auto"/>
              <w:left w:val="single" w:sz="12" w:space="0" w:color="auto"/>
              <w:bottom w:val="single" w:sz="12" w:space="0" w:color="auto"/>
            </w:tcBorders>
            <w:shd w:val="clear" w:color="auto" w:fill="F2DBDB" w:themeFill="accent2" w:themeFillTint="33"/>
            <w:vAlign w:val="center"/>
          </w:tcPr>
          <w:p w:rsidR="000B7366" w:rsidRPr="00DB41F9" w:rsidRDefault="000B7366" w:rsidP="000B7366">
            <w:pPr>
              <w:spacing w:before="120"/>
              <w:contextualSpacing/>
              <w:jc w:val="center"/>
              <w:rPr>
                <w:rFonts w:ascii="Times New Roman" w:hAnsi="Times New Roman"/>
              </w:rPr>
            </w:pPr>
            <w:r w:rsidRPr="00DB41F9">
              <w:rPr>
                <w:rFonts w:ascii="Times New Roman" w:hAnsi="Times New Roman"/>
              </w:rPr>
              <w:t>Bílé</w:t>
            </w:r>
          </w:p>
        </w:tc>
        <w:tc>
          <w:tcPr>
            <w:tcW w:w="1133" w:type="dxa"/>
            <w:tcBorders>
              <w:top w:val="single" w:sz="12" w:space="0" w:color="auto"/>
              <w:bottom w:val="single" w:sz="12" w:space="0" w:color="auto"/>
              <w:right w:val="single" w:sz="12" w:space="0" w:color="auto"/>
            </w:tcBorders>
            <w:shd w:val="clear" w:color="auto" w:fill="F2DBDB" w:themeFill="accent2" w:themeFillTint="33"/>
            <w:vAlign w:val="center"/>
          </w:tcPr>
          <w:p w:rsidR="000B7366" w:rsidRPr="00DB41F9" w:rsidRDefault="000B7366" w:rsidP="000B7366">
            <w:pPr>
              <w:spacing w:before="120"/>
              <w:contextualSpacing/>
              <w:jc w:val="center"/>
              <w:rPr>
                <w:rFonts w:ascii="Times New Roman" w:hAnsi="Times New Roman"/>
              </w:rPr>
            </w:pPr>
            <w:r w:rsidRPr="00DB41F9">
              <w:rPr>
                <w:rFonts w:ascii="Times New Roman" w:hAnsi="Times New Roman"/>
              </w:rPr>
              <w:t>Hnědé</w:t>
            </w:r>
          </w:p>
        </w:tc>
        <w:tc>
          <w:tcPr>
            <w:tcW w:w="1843" w:type="dxa"/>
            <w:vMerge/>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0B7366" w:rsidRPr="000B7366" w:rsidRDefault="000B7366" w:rsidP="005D46A0">
            <w:pPr>
              <w:spacing w:before="120"/>
              <w:contextualSpacing/>
              <w:jc w:val="both"/>
              <w:rPr>
                <w:color w:val="FF0000"/>
              </w:rPr>
            </w:pPr>
          </w:p>
        </w:tc>
        <w:tc>
          <w:tcPr>
            <w:tcW w:w="1560" w:type="dxa"/>
            <w:vMerge/>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0B7366" w:rsidRPr="000B7366" w:rsidRDefault="000B7366" w:rsidP="005D46A0">
            <w:pPr>
              <w:spacing w:before="120"/>
              <w:contextualSpacing/>
              <w:jc w:val="both"/>
              <w:rPr>
                <w:color w:val="FF0000"/>
              </w:rPr>
            </w:pPr>
          </w:p>
        </w:tc>
      </w:tr>
      <w:tr w:rsidR="003B76F8" w:rsidRPr="00C04CEE" w:rsidTr="000B7366">
        <w:tc>
          <w:tcPr>
            <w:tcW w:w="2121" w:type="dxa"/>
            <w:tcBorders>
              <w:top w:val="single" w:sz="12" w:space="0" w:color="auto"/>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rPr>
            </w:pPr>
            <w:r w:rsidRPr="00DB41F9">
              <w:rPr>
                <w:rFonts w:ascii="Times New Roman" w:hAnsi="Times New Roman"/>
              </w:rPr>
              <w:t>Jablka</w:t>
            </w:r>
          </w:p>
        </w:tc>
        <w:tc>
          <w:tcPr>
            <w:tcW w:w="1418" w:type="dxa"/>
            <w:tcBorders>
              <w:top w:val="single" w:sz="12" w:space="0" w:color="auto"/>
              <w:lef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c>
          <w:tcPr>
            <w:tcW w:w="1418" w:type="dxa"/>
            <w:tcBorders>
              <w:top w:val="single" w:sz="12" w:space="0" w:color="auto"/>
            </w:tcBorders>
            <w:vAlign w:val="center"/>
          </w:tcPr>
          <w:p w:rsidR="003B76F8" w:rsidRPr="00C04CEE" w:rsidRDefault="003B76F8" w:rsidP="003B76F8">
            <w:pPr>
              <w:spacing w:before="120"/>
              <w:contextualSpacing/>
              <w:jc w:val="center"/>
              <w:rPr>
                <w:b/>
              </w:rPr>
            </w:pPr>
            <w:r w:rsidRPr="00C04CEE">
              <w:rPr>
                <w:b/>
              </w:rPr>
              <w:t>X</w:t>
            </w:r>
          </w:p>
        </w:tc>
        <w:tc>
          <w:tcPr>
            <w:tcW w:w="1417" w:type="dxa"/>
            <w:tcBorders>
              <w:top w:val="single" w:sz="12" w:space="0" w:color="auto"/>
              <w:right w:val="single" w:sz="12" w:space="0" w:color="auto"/>
            </w:tcBorders>
            <w:vAlign w:val="center"/>
          </w:tcPr>
          <w:p w:rsidR="003B76F8" w:rsidRPr="00C04CEE" w:rsidRDefault="003B76F8" w:rsidP="003B76F8">
            <w:pPr>
              <w:spacing w:before="120"/>
              <w:contextualSpacing/>
              <w:jc w:val="center"/>
              <w:rPr>
                <w:b/>
              </w:rPr>
            </w:pPr>
          </w:p>
        </w:tc>
        <w:tc>
          <w:tcPr>
            <w:tcW w:w="1133" w:type="dxa"/>
            <w:tcBorders>
              <w:top w:val="single" w:sz="12" w:space="0" w:color="auto"/>
              <w:left w:val="single" w:sz="12" w:space="0" w:color="auto"/>
            </w:tcBorders>
            <w:vAlign w:val="center"/>
          </w:tcPr>
          <w:p w:rsidR="003B76F8" w:rsidRPr="00C04CEE" w:rsidRDefault="003B76F8" w:rsidP="003B76F8">
            <w:pPr>
              <w:spacing w:before="120"/>
              <w:contextualSpacing/>
              <w:jc w:val="center"/>
              <w:rPr>
                <w:b/>
              </w:rPr>
            </w:pPr>
          </w:p>
        </w:tc>
        <w:tc>
          <w:tcPr>
            <w:tcW w:w="1135" w:type="dxa"/>
            <w:tcBorders>
              <w:top w:val="single" w:sz="12" w:space="0" w:color="auto"/>
            </w:tcBorders>
            <w:vAlign w:val="center"/>
          </w:tcPr>
          <w:p w:rsidR="003B76F8" w:rsidRPr="00C04CEE" w:rsidRDefault="003B76F8" w:rsidP="003B76F8">
            <w:pPr>
              <w:spacing w:before="120"/>
              <w:contextualSpacing/>
              <w:jc w:val="center"/>
              <w:rPr>
                <w:b/>
              </w:rPr>
            </w:pPr>
          </w:p>
        </w:tc>
        <w:tc>
          <w:tcPr>
            <w:tcW w:w="1133" w:type="dxa"/>
            <w:tcBorders>
              <w:top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tcBorders>
              <w:top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top w:val="single" w:sz="12" w:space="0" w:color="auto"/>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Mléčné nápoje pro děti</w:t>
            </w:r>
          </w:p>
        </w:tc>
        <w:tc>
          <w:tcPr>
            <w:tcW w:w="1418" w:type="dxa"/>
            <w:tcBorders>
              <w:lef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c>
          <w:tcPr>
            <w:tcW w:w="1418" w:type="dxa"/>
            <w:vAlign w:val="center"/>
          </w:tcPr>
          <w:p w:rsidR="003B76F8" w:rsidRPr="00C04CEE" w:rsidRDefault="003B76F8" w:rsidP="003B76F8">
            <w:pPr>
              <w:spacing w:before="120"/>
              <w:contextualSpacing/>
              <w:jc w:val="center"/>
              <w:rPr>
                <w:b/>
              </w:rPr>
            </w:pPr>
            <w:r w:rsidRPr="00C04CEE">
              <w:rPr>
                <w:b/>
              </w:rPr>
              <w:t>X</w:t>
            </w: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contextualSpacing/>
              <w:rPr>
                <w:rFonts w:ascii="Times New Roman" w:hAnsi="Times New Roman"/>
                <w:b/>
              </w:rPr>
            </w:pPr>
            <w:r w:rsidRPr="00DB41F9">
              <w:rPr>
                <w:rFonts w:ascii="Times New Roman" w:hAnsi="Times New Roman"/>
              </w:rPr>
              <w:t>Králičí maso – pult. prodej</w:t>
            </w:r>
          </w:p>
        </w:tc>
        <w:tc>
          <w:tcPr>
            <w:tcW w:w="1418" w:type="dxa"/>
            <w:tcBorders>
              <w:lef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c>
          <w:tcPr>
            <w:tcW w:w="1418" w:type="dxa"/>
            <w:vAlign w:val="center"/>
          </w:tcPr>
          <w:p w:rsidR="003B76F8" w:rsidRPr="00C04CEE" w:rsidRDefault="003B76F8" w:rsidP="003B76F8">
            <w:pPr>
              <w:spacing w:before="120"/>
              <w:contextualSpacing/>
              <w:jc w:val="center"/>
              <w:rPr>
                <w:b/>
              </w:rPr>
            </w:pPr>
            <w:r w:rsidRPr="00C04CEE">
              <w:rPr>
                <w:b/>
              </w:rPr>
              <w:t>X</w:t>
            </w: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Sůl</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Lněný olej</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Mražený hrášek</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r w:rsidRPr="00C04CEE">
              <w:rPr>
                <w:b/>
              </w:rPr>
              <w:t>X</w:t>
            </w: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Granko</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Prášek na praní</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b/>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r w:rsidRPr="00C04CEE">
              <w:rPr>
                <w:b/>
              </w:rPr>
              <w:t>X</w:t>
            </w: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Parfémy</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b/>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r w:rsidRPr="00C04CEE">
              <w:rPr>
                <w:b/>
              </w:rPr>
              <w:t>X</w:t>
            </w: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Krmivo pro kočky</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Čerstvé květiny – Růže</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b/>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r w:rsidRPr="00C04CEE">
              <w:rPr>
                <w:b/>
              </w:rPr>
              <w:t>X</w:t>
            </w: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Pračky</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r w:rsidRPr="00C04CEE">
              <w:rPr>
                <w:b/>
              </w:rPr>
              <w:t>X</w:t>
            </w: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Vysavače</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r w:rsidRPr="00C04CEE">
              <w:rPr>
                <w:b/>
              </w:rPr>
              <w:t>X</w:t>
            </w: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Exotické ovoce</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r w:rsidRPr="00C04CEE">
              <w:rPr>
                <w:b/>
              </w:rPr>
              <w:t>X</w:t>
            </w: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Čerstvé mléko</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r w:rsidRPr="00C04CEE">
              <w:rPr>
                <w:b/>
              </w:rPr>
              <w:t>X</w:t>
            </w: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rPr>
                <w:rFonts w:ascii="Times New Roman" w:hAnsi="Times New Roman"/>
                <w:b/>
              </w:rPr>
            </w:pPr>
            <w:r w:rsidRPr="00DB41F9">
              <w:rPr>
                <w:rFonts w:ascii="Times New Roman" w:hAnsi="Times New Roman"/>
              </w:rPr>
              <w:t>Drůbeží maso–pult. prodej</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r w:rsidRPr="00C04CEE">
              <w:rPr>
                <w:b/>
              </w:rPr>
              <w:t>X</w:t>
            </w: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Cukr</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Olivový olej</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Mražené jahody</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r w:rsidRPr="00C04CEE">
              <w:rPr>
                <w:b/>
              </w:rPr>
              <w:t>X</w:t>
            </w: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lastRenderedPageBreak/>
              <w:t>Kakao</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Gel na praní</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b/>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r w:rsidRPr="00C04CEE">
              <w:rPr>
                <w:b/>
              </w:rPr>
              <w:t>X</w:t>
            </w: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Deodoranty</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b/>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r w:rsidRPr="00C04CEE">
              <w:rPr>
                <w:b/>
              </w:rPr>
              <w:t>X</w:t>
            </w: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Krmivo pro psy</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Čerstvé květiny – Lilie</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b/>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r w:rsidRPr="00C04CEE">
              <w:rPr>
                <w:b/>
              </w:rPr>
              <w:t>X</w:t>
            </w: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Lednice</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r w:rsidRPr="00C04CEE">
              <w:rPr>
                <w:b/>
              </w:rPr>
              <w:t>X</w:t>
            </w: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Žehličky</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r w:rsidRPr="00C04CEE">
              <w:rPr>
                <w:b/>
              </w:rPr>
              <w:t>X</w:t>
            </w: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Mouka</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Slunečnicový olej</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Mražené kuřecí maso</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r w:rsidRPr="00C04CEE">
              <w:rPr>
                <w:b/>
              </w:rPr>
              <w:t>X</w:t>
            </w: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b/>
              </w:rPr>
            </w:pPr>
            <w:r w:rsidRPr="00DB41F9">
              <w:rPr>
                <w:rFonts w:ascii="Times New Roman" w:hAnsi="Times New Roman"/>
              </w:rPr>
              <w:t>Hořká čokoláda</w:t>
            </w:r>
          </w:p>
        </w:tc>
        <w:tc>
          <w:tcPr>
            <w:tcW w:w="1418" w:type="dxa"/>
            <w:tcBorders>
              <w:left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vAlign w:val="center"/>
          </w:tcPr>
          <w:p w:rsidR="003B76F8" w:rsidRPr="00C04CEE" w:rsidRDefault="003B76F8" w:rsidP="003B76F8">
            <w:pPr>
              <w:spacing w:before="120"/>
              <w:contextualSpacing/>
              <w:jc w:val="center"/>
              <w:rPr>
                <w:b/>
              </w:rPr>
            </w:pPr>
          </w:p>
        </w:tc>
        <w:tc>
          <w:tcPr>
            <w:tcW w:w="1417" w:type="dxa"/>
            <w:tcBorders>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tcBorders>
            <w:vAlign w:val="center"/>
          </w:tcPr>
          <w:p w:rsidR="003B76F8" w:rsidRPr="00C04CEE" w:rsidRDefault="003B76F8" w:rsidP="003B76F8">
            <w:pPr>
              <w:spacing w:before="120"/>
              <w:contextualSpacing/>
              <w:jc w:val="center"/>
              <w:rPr>
                <w:b/>
              </w:rPr>
            </w:pPr>
          </w:p>
        </w:tc>
        <w:tc>
          <w:tcPr>
            <w:tcW w:w="1135" w:type="dxa"/>
            <w:vAlign w:val="center"/>
          </w:tcPr>
          <w:p w:rsidR="003B76F8" w:rsidRPr="00C04CEE" w:rsidRDefault="003B76F8" w:rsidP="003B76F8">
            <w:pPr>
              <w:spacing w:before="120"/>
              <w:contextualSpacing/>
              <w:jc w:val="center"/>
              <w:rPr>
                <w:b/>
              </w:rPr>
            </w:pPr>
          </w:p>
        </w:tc>
        <w:tc>
          <w:tcPr>
            <w:tcW w:w="113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r w:rsidR="003B76F8" w:rsidRPr="00C04CEE" w:rsidTr="000B7366">
        <w:tc>
          <w:tcPr>
            <w:tcW w:w="2121" w:type="dxa"/>
            <w:tcBorders>
              <w:left w:val="single" w:sz="12" w:space="0" w:color="auto"/>
              <w:bottom w:val="single" w:sz="12" w:space="0" w:color="auto"/>
              <w:right w:val="single" w:sz="12" w:space="0" w:color="auto"/>
            </w:tcBorders>
            <w:shd w:val="clear" w:color="auto" w:fill="auto"/>
          </w:tcPr>
          <w:p w:rsidR="003B76F8" w:rsidRPr="00DB41F9" w:rsidRDefault="003B76F8" w:rsidP="005D46A0">
            <w:pPr>
              <w:spacing w:before="120"/>
              <w:contextualSpacing/>
              <w:jc w:val="both"/>
              <w:rPr>
                <w:rFonts w:ascii="Times New Roman" w:hAnsi="Times New Roman"/>
              </w:rPr>
            </w:pPr>
            <w:r w:rsidRPr="00DB41F9">
              <w:rPr>
                <w:rFonts w:ascii="Times New Roman" w:hAnsi="Times New Roman"/>
              </w:rPr>
              <w:t>Rýže</w:t>
            </w:r>
          </w:p>
        </w:tc>
        <w:tc>
          <w:tcPr>
            <w:tcW w:w="1418" w:type="dxa"/>
            <w:tcBorders>
              <w:left w:val="single" w:sz="12" w:space="0" w:color="auto"/>
              <w:bottom w:val="single" w:sz="12" w:space="0" w:color="auto"/>
            </w:tcBorders>
            <w:vAlign w:val="center"/>
          </w:tcPr>
          <w:p w:rsidR="003B76F8" w:rsidRPr="00C04CEE" w:rsidRDefault="003B76F8" w:rsidP="003B76F8">
            <w:pPr>
              <w:spacing w:before="120"/>
              <w:contextualSpacing/>
              <w:jc w:val="center"/>
              <w:rPr>
                <w:b/>
                <w:sz w:val="24"/>
                <w:szCs w:val="24"/>
              </w:rPr>
            </w:pPr>
            <w:r w:rsidRPr="00C04CEE">
              <w:rPr>
                <w:b/>
              </w:rPr>
              <w:t>X</w:t>
            </w:r>
          </w:p>
        </w:tc>
        <w:tc>
          <w:tcPr>
            <w:tcW w:w="1418" w:type="dxa"/>
            <w:tcBorders>
              <w:bottom w:val="single" w:sz="12" w:space="0" w:color="auto"/>
            </w:tcBorders>
            <w:vAlign w:val="center"/>
          </w:tcPr>
          <w:p w:rsidR="003B76F8" w:rsidRPr="00C04CEE" w:rsidRDefault="003B76F8" w:rsidP="003B76F8">
            <w:pPr>
              <w:spacing w:before="120"/>
              <w:contextualSpacing/>
              <w:jc w:val="center"/>
              <w:rPr>
                <w:b/>
              </w:rPr>
            </w:pPr>
          </w:p>
        </w:tc>
        <w:tc>
          <w:tcPr>
            <w:tcW w:w="1417" w:type="dxa"/>
            <w:tcBorders>
              <w:bottom w:val="single" w:sz="12" w:space="0" w:color="auto"/>
              <w:right w:val="single" w:sz="12" w:space="0" w:color="auto"/>
            </w:tcBorders>
            <w:vAlign w:val="center"/>
          </w:tcPr>
          <w:p w:rsidR="003B76F8" w:rsidRPr="00C04CEE" w:rsidRDefault="003B76F8" w:rsidP="003B76F8">
            <w:pPr>
              <w:spacing w:before="120"/>
              <w:contextualSpacing/>
              <w:jc w:val="center"/>
              <w:rPr>
                <w:b/>
              </w:rPr>
            </w:pPr>
          </w:p>
        </w:tc>
        <w:tc>
          <w:tcPr>
            <w:tcW w:w="1133" w:type="dxa"/>
            <w:tcBorders>
              <w:left w:val="single" w:sz="12" w:space="0" w:color="auto"/>
              <w:bottom w:val="single" w:sz="12" w:space="0" w:color="auto"/>
            </w:tcBorders>
            <w:vAlign w:val="center"/>
          </w:tcPr>
          <w:p w:rsidR="003B76F8" w:rsidRPr="00C04CEE" w:rsidRDefault="003B76F8" w:rsidP="003B76F8">
            <w:pPr>
              <w:spacing w:before="120"/>
              <w:contextualSpacing/>
              <w:jc w:val="center"/>
              <w:rPr>
                <w:b/>
              </w:rPr>
            </w:pPr>
          </w:p>
        </w:tc>
        <w:tc>
          <w:tcPr>
            <w:tcW w:w="1135" w:type="dxa"/>
            <w:tcBorders>
              <w:bottom w:val="single" w:sz="12" w:space="0" w:color="auto"/>
            </w:tcBorders>
            <w:vAlign w:val="center"/>
          </w:tcPr>
          <w:p w:rsidR="003B76F8" w:rsidRPr="00C04CEE" w:rsidRDefault="003B76F8" w:rsidP="003B76F8">
            <w:pPr>
              <w:spacing w:before="120"/>
              <w:contextualSpacing/>
              <w:jc w:val="center"/>
              <w:rPr>
                <w:b/>
              </w:rPr>
            </w:pPr>
          </w:p>
        </w:tc>
        <w:tc>
          <w:tcPr>
            <w:tcW w:w="1133" w:type="dxa"/>
            <w:tcBorders>
              <w:bottom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c>
          <w:tcPr>
            <w:tcW w:w="1843" w:type="dxa"/>
            <w:tcBorders>
              <w:bottom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c>
          <w:tcPr>
            <w:tcW w:w="1560" w:type="dxa"/>
            <w:tcBorders>
              <w:bottom w:val="single" w:sz="12" w:space="0" w:color="auto"/>
              <w:right w:val="single" w:sz="12" w:space="0" w:color="auto"/>
            </w:tcBorders>
            <w:vAlign w:val="center"/>
          </w:tcPr>
          <w:p w:rsidR="003B76F8" w:rsidRPr="00C04CEE" w:rsidRDefault="003B76F8" w:rsidP="003B76F8">
            <w:pPr>
              <w:spacing w:before="120"/>
              <w:contextualSpacing/>
              <w:jc w:val="center"/>
              <w:rPr>
                <w:rFonts w:ascii="Times New Roman" w:hAnsi="Times New Roman"/>
                <w:b/>
                <w:sz w:val="24"/>
                <w:szCs w:val="24"/>
              </w:rPr>
            </w:pPr>
          </w:p>
        </w:tc>
      </w:tr>
    </w:tbl>
    <w:p w:rsidR="00C04CEE" w:rsidRDefault="00C04CEE"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3B76F8" w:rsidRDefault="003B76F8" w:rsidP="00C04CEE">
      <w:pPr>
        <w:autoSpaceDN/>
        <w:spacing w:before="240" w:after="120" w:line="240" w:lineRule="auto"/>
        <w:contextualSpacing/>
        <w:jc w:val="both"/>
        <w:textAlignment w:val="auto"/>
        <w:rPr>
          <w:rFonts w:ascii="Times New Roman" w:hAnsi="Times New Roman"/>
          <w:sz w:val="24"/>
          <w:szCs w:val="24"/>
        </w:rPr>
      </w:pPr>
    </w:p>
    <w:p w:rsidR="00C04CEE" w:rsidRDefault="006B61A6" w:rsidP="00B6027C">
      <w:pPr>
        <w:spacing w:line="240" w:lineRule="auto"/>
        <w:ind w:left="720"/>
        <w:jc w:val="both"/>
      </w:pPr>
      <w:r w:rsidRPr="006B61A6">
        <w:rPr>
          <w:rFonts w:ascii="Times New Roman" w:hAnsi="Times New Roman"/>
          <w:sz w:val="24"/>
          <w:szCs w:val="24"/>
        </w:rPr>
        <w:t>*</w:t>
      </w:r>
      <w:r>
        <w:t xml:space="preserve"> O malých spotřebičích jsme se na semináři nebavili, protože toto rozdělení jsme dosud v předmětu nepoužívali, vzhledem k nutnosti inovace a aktualizování teorie jsem se rozhodla tuto skupinu také zařadit, abychom tyto spotřebiče nemuseli řadit do malých hnědých, kam teoreticky úplně tak nepatří. Pokud by se tato tématika objevila na zkoušce, tak budou vybrány pouze ty druhy zboží, u kterých je jejich zařazení jasné, sporné druhy nebudeme zařazovat (ty se hodí pouze do diskuze na semináři).</w:t>
      </w:r>
      <w:bookmarkStart w:id="0" w:name="_GoBack"/>
      <w:bookmarkEnd w:id="0"/>
    </w:p>
    <w:tbl>
      <w:tblPr>
        <w:tblStyle w:val="Mkatabulky1"/>
        <w:tblpPr w:leftFromText="141" w:rightFromText="141" w:vertAnchor="page" w:horzAnchor="margin" w:tblpXSpec="center" w:tblpY="165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2"/>
        <w:gridCol w:w="1172"/>
        <w:gridCol w:w="1410"/>
        <w:gridCol w:w="1984"/>
        <w:gridCol w:w="2268"/>
        <w:gridCol w:w="2046"/>
      </w:tblGrid>
      <w:tr w:rsidR="00C04CEE" w:rsidRPr="00C04CEE" w:rsidTr="003B4209">
        <w:tc>
          <w:tcPr>
            <w:tcW w:w="11852" w:type="dxa"/>
            <w:gridSpan w:val="6"/>
            <w:tcBorders>
              <w:top w:val="single" w:sz="12" w:space="0" w:color="auto"/>
              <w:bottom w:val="single" w:sz="4" w:space="0" w:color="auto"/>
            </w:tcBorders>
            <w:shd w:val="clear" w:color="auto" w:fill="CCC0D9" w:themeFill="accent4" w:themeFillTint="66"/>
          </w:tcPr>
          <w:p w:rsidR="00C04CEE" w:rsidRPr="00C04CEE" w:rsidRDefault="00C04CEE" w:rsidP="005D46A0">
            <w:pPr>
              <w:spacing w:before="120"/>
              <w:contextualSpacing/>
              <w:jc w:val="center"/>
              <w:rPr>
                <w:rFonts w:ascii="Times New Roman" w:hAnsi="Times New Roman"/>
                <w:b/>
                <w:sz w:val="24"/>
                <w:szCs w:val="24"/>
              </w:rPr>
            </w:pPr>
            <w:r w:rsidRPr="00C04CEE">
              <w:rPr>
                <w:rFonts w:ascii="Times New Roman" w:hAnsi="Times New Roman"/>
                <w:b/>
                <w:sz w:val="24"/>
                <w:szCs w:val="24"/>
              </w:rPr>
              <w:lastRenderedPageBreak/>
              <w:t>ČLENĚNÍ Z HLEDISKA TECHNOLOGICKÉ SKUPINY ZBOŽÍ</w:t>
            </w:r>
          </w:p>
        </w:tc>
      </w:tr>
      <w:tr w:rsidR="00D45F9B" w:rsidRPr="00C04CEE" w:rsidTr="003B4209">
        <w:tc>
          <w:tcPr>
            <w:tcW w:w="2972" w:type="dxa"/>
            <w:tcBorders>
              <w:top w:val="single" w:sz="12" w:space="0" w:color="auto"/>
              <w:bottom w:val="single" w:sz="12" w:space="0" w:color="auto"/>
              <w:right w:val="single" w:sz="12" w:space="0" w:color="auto"/>
            </w:tcBorders>
            <w:shd w:val="clear" w:color="auto" w:fill="auto"/>
            <w:vAlign w:val="center"/>
          </w:tcPr>
          <w:p w:rsidR="00C04CEE" w:rsidRPr="00C04CEE" w:rsidRDefault="00D45F9B" w:rsidP="00D45F9B">
            <w:pPr>
              <w:spacing w:before="120"/>
              <w:contextualSpacing/>
              <w:rPr>
                <w:rFonts w:ascii="Times New Roman" w:hAnsi="Times New Roman"/>
                <w:b/>
                <w:sz w:val="24"/>
                <w:szCs w:val="24"/>
              </w:rPr>
            </w:pPr>
            <w:r>
              <w:rPr>
                <w:rFonts w:ascii="Times New Roman" w:hAnsi="Times New Roman"/>
                <w:b/>
                <w:sz w:val="24"/>
                <w:szCs w:val="24"/>
              </w:rPr>
              <w:t>Druh zboží</w:t>
            </w:r>
          </w:p>
        </w:tc>
        <w:tc>
          <w:tcPr>
            <w:tcW w:w="1172" w:type="dxa"/>
            <w:tcBorders>
              <w:top w:val="single" w:sz="12" w:space="0" w:color="auto"/>
              <w:left w:val="single" w:sz="12" w:space="0" w:color="auto"/>
              <w:bottom w:val="single" w:sz="12" w:space="0" w:color="auto"/>
              <w:right w:val="single" w:sz="12" w:space="0" w:color="auto"/>
            </w:tcBorders>
            <w:shd w:val="clear" w:color="auto" w:fill="E5DFEC" w:themeFill="accent4" w:themeFillTint="33"/>
            <w:vAlign w:val="center"/>
          </w:tcPr>
          <w:p w:rsidR="00C04CEE" w:rsidRPr="00D45F9B" w:rsidRDefault="00C04CEE" w:rsidP="00D45F9B">
            <w:pPr>
              <w:spacing w:before="120"/>
              <w:contextualSpacing/>
              <w:jc w:val="center"/>
              <w:rPr>
                <w:rFonts w:ascii="Times New Roman" w:hAnsi="Times New Roman"/>
                <w:sz w:val="20"/>
                <w:szCs w:val="20"/>
              </w:rPr>
            </w:pPr>
            <w:r w:rsidRPr="00D45F9B">
              <w:rPr>
                <w:rFonts w:ascii="Times New Roman" w:hAnsi="Times New Roman"/>
                <w:sz w:val="20"/>
                <w:szCs w:val="20"/>
              </w:rPr>
              <w:t>Aromaticky agresivní</w:t>
            </w:r>
          </w:p>
        </w:tc>
        <w:tc>
          <w:tcPr>
            <w:tcW w:w="1410" w:type="dxa"/>
            <w:tcBorders>
              <w:top w:val="single" w:sz="4" w:space="0" w:color="auto"/>
              <w:left w:val="single" w:sz="12" w:space="0" w:color="auto"/>
              <w:bottom w:val="single" w:sz="12" w:space="0" w:color="auto"/>
              <w:right w:val="single" w:sz="12" w:space="0" w:color="auto"/>
            </w:tcBorders>
            <w:shd w:val="clear" w:color="auto" w:fill="E5DFEC" w:themeFill="accent4" w:themeFillTint="33"/>
            <w:vAlign w:val="center"/>
          </w:tcPr>
          <w:p w:rsidR="00C04CEE" w:rsidRPr="00D45F9B" w:rsidRDefault="00C04CEE" w:rsidP="00D45F9B">
            <w:pPr>
              <w:spacing w:before="120"/>
              <w:contextualSpacing/>
              <w:jc w:val="center"/>
              <w:rPr>
                <w:rFonts w:ascii="Times New Roman" w:hAnsi="Times New Roman"/>
                <w:sz w:val="20"/>
                <w:szCs w:val="20"/>
              </w:rPr>
            </w:pPr>
            <w:r w:rsidRPr="00D45F9B">
              <w:rPr>
                <w:rFonts w:ascii="Times New Roman" w:hAnsi="Times New Roman"/>
                <w:sz w:val="20"/>
                <w:szCs w:val="20"/>
              </w:rPr>
              <w:t>Absorbující pachy</w:t>
            </w:r>
          </w:p>
        </w:tc>
        <w:tc>
          <w:tcPr>
            <w:tcW w:w="1984" w:type="dxa"/>
            <w:tcBorders>
              <w:top w:val="single" w:sz="12" w:space="0" w:color="auto"/>
              <w:left w:val="single" w:sz="12" w:space="0" w:color="auto"/>
              <w:bottom w:val="single" w:sz="12" w:space="0" w:color="auto"/>
              <w:right w:val="single" w:sz="12" w:space="0" w:color="auto"/>
            </w:tcBorders>
            <w:shd w:val="clear" w:color="auto" w:fill="E5DFEC" w:themeFill="accent4" w:themeFillTint="33"/>
            <w:vAlign w:val="center"/>
          </w:tcPr>
          <w:p w:rsidR="00C04CEE" w:rsidRPr="00D45F9B" w:rsidRDefault="00C04CEE" w:rsidP="00D45F9B">
            <w:pPr>
              <w:spacing w:before="120"/>
              <w:contextualSpacing/>
              <w:jc w:val="center"/>
              <w:rPr>
                <w:rFonts w:ascii="Times New Roman" w:hAnsi="Times New Roman"/>
                <w:sz w:val="20"/>
                <w:szCs w:val="20"/>
              </w:rPr>
            </w:pPr>
            <w:r w:rsidRPr="00D45F9B">
              <w:rPr>
                <w:rFonts w:ascii="Times New Roman" w:hAnsi="Times New Roman"/>
                <w:sz w:val="20"/>
                <w:szCs w:val="20"/>
              </w:rPr>
              <w:t>Vyžadující speciální klimatické podmínky</w:t>
            </w:r>
          </w:p>
        </w:tc>
        <w:tc>
          <w:tcPr>
            <w:tcW w:w="2268" w:type="dxa"/>
            <w:tcBorders>
              <w:top w:val="single" w:sz="12" w:space="0" w:color="auto"/>
              <w:left w:val="single" w:sz="12" w:space="0" w:color="auto"/>
              <w:bottom w:val="single" w:sz="12" w:space="0" w:color="auto"/>
              <w:right w:val="single" w:sz="12" w:space="0" w:color="auto"/>
            </w:tcBorders>
            <w:shd w:val="clear" w:color="auto" w:fill="E5DFEC" w:themeFill="accent4" w:themeFillTint="33"/>
            <w:vAlign w:val="center"/>
          </w:tcPr>
          <w:p w:rsidR="00C04CEE" w:rsidRPr="00D45F9B" w:rsidRDefault="00C04CEE" w:rsidP="00D45F9B">
            <w:pPr>
              <w:spacing w:before="120"/>
              <w:contextualSpacing/>
              <w:jc w:val="center"/>
              <w:rPr>
                <w:rFonts w:ascii="Times New Roman" w:hAnsi="Times New Roman"/>
                <w:sz w:val="20"/>
                <w:szCs w:val="20"/>
              </w:rPr>
            </w:pPr>
            <w:r w:rsidRPr="00D45F9B">
              <w:rPr>
                <w:rFonts w:ascii="Times New Roman" w:hAnsi="Times New Roman"/>
                <w:sz w:val="20"/>
                <w:szCs w:val="20"/>
              </w:rPr>
              <w:t>Vyžadující speciální bezpečnostní podmínky</w:t>
            </w:r>
          </w:p>
        </w:tc>
        <w:tc>
          <w:tcPr>
            <w:tcW w:w="2046" w:type="dxa"/>
            <w:tcBorders>
              <w:top w:val="single" w:sz="4" w:space="0" w:color="auto"/>
              <w:left w:val="single" w:sz="12" w:space="0" w:color="auto"/>
              <w:bottom w:val="single" w:sz="12" w:space="0" w:color="auto"/>
            </w:tcBorders>
            <w:shd w:val="clear" w:color="auto" w:fill="E5DFEC" w:themeFill="accent4" w:themeFillTint="33"/>
            <w:vAlign w:val="center"/>
          </w:tcPr>
          <w:p w:rsidR="00C04CEE" w:rsidRPr="00D45F9B" w:rsidRDefault="00D45F9B" w:rsidP="00D45F9B">
            <w:pPr>
              <w:spacing w:before="120"/>
              <w:contextualSpacing/>
              <w:jc w:val="center"/>
              <w:rPr>
                <w:rFonts w:ascii="Times New Roman" w:hAnsi="Times New Roman"/>
                <w:sz w:val="20"/>
                <w:szCs w:val="20"/>
              </w:rPr>
            </w:pPr>
            <w:r w:rsidRPr="00D45F9B">
              <w:rPr>
                <w:rFonts w:ascii="Times New Roman" w:hAnsi="Times New Roman"/>
                <w:sz w:val="20"/>
                <w:szCs w:val="20"/>
              </w:rPr>
              <w:t>Náročné na manipulaci, dopravu</w:t>
            </w:r>
          </w:p>
        </w:tc>
      </w:tr>
      <w:tr w:rsidR="00C04CEE" w:rsidRPr="00C04CEE" w:rsidTr="003B4209">
        <w:tc>
          <w:tcPr>
            <w:tcW w:w="2972" w:type="dxa"/>
            <w:tcBorders>
              <w:top w:val="single" w:sz="12" w:space="0" w:color="auto"/>
              <w:right w:val="single" w:sz="12" w:space="0" w:color="auto"/>
            </w:tcBorders>
            <w:shd w:val="clear" w:color="auto" w:fill="auto"/>
          </w:tcPr>
          <w:p w:rsidR="00C04CEE" w:rsidRPr="00C04CEE" w:rsidRDefault="00C04CEE" w:rsidP="005D46A0">
            <w:pPr>
              <w:spacing w:before="120"/>
              <w:contextualSpacing/>
              <w:jc w:val="both"/>
              <w:rPr>
                <w:b/>
              </w:rPr>
            </w:pPr>
            <w:r w:rsidRPr="00C04CEE">
              <w:t>Jablka</w:t>
            </w:r>
          </w:p>
        </w:tc>
        <w:tc>
          <w:tcPr>
            <w:tcW w:w="1172" w:type="dxa"/>
            <w:tcBorders>
              <w:top w:val="single" w:sz="12" w:space="0" w:color="auto"/>
              <w:left w:val="single" w:sz="12" w:space="0" w:color="auto"/>
            </w:tcBorders>
            <w:vAlign w:val="center"/>
          </w:tcPr>
          <w:p w:rsidR="00C04CEE" w:rsidRPr="00C04CEE" w:rsidRDefault="00D45F9B" w:rsidP="00D45F9B">
            <w:pPr>
              <w:spacing w:before="120"/>
              <w:contextualSpacing/>
              <w:jc w:val="center"/>
              <w:rPr>
                <w:rFonts w:ascii="Times New Roman" w:hAnsi="Times New Roman"/>
                <w:b/>
                <w:sz w:val="24"/>
                <w:szCs w:val="24"/>
              </w:rPr>
            </w:pPr>
            <w:r w:rsidRPr="00C04CEE">
              <w:rPr>
                <w:rFonts w:asciiTheme="minorHAnsi" w:hAnsiTheme="minorHAnsi"/>
                <w:b/>
              </w:rPr>
              <w:t>x</w:t>
            </w:r>
          </w:p>
        </w:tc>
        <w:tc>
          <w:tcPr>
            <w:tcW w:w="1410" w:type="dxa"/>
            <w:tcBorders>
              <w:top w:val="single" w:sz="12" w:space="0" w:color="auto"/>
            </w:tcBorders>
          </w:tcPr>
          <w:p w:rsidR="00C04CEE" w:rsidRPr="00C04CEE" w:rsidRDefault="00C04CEE" w:rsidP="005D46A0">
            <w:pPr>
              <w:spacing w:before="120"/>
              <w:contextualSpacing/>
              <w:jc w:val="center"/>
              <w:rPr>
                <w:rFonts w:ascii="Times New Roman" w:hAnsi="Times New Roman"/>
                <w:b/>
                <w:sz w:val="24"/>
                <w:szCs w:val="24"/>
              </w:rPr>
            </w:pPr>
          </w:p>
        </w:tc>
        <w:tc>
          <w:tcPr>
            <w:tcW w:w="1984" w:type="dxa"/>
            <w:tcBorders>
              <w:top w:val="single" w:sz="12" w:space="0" w:color="auto"/>
            </w:tcBorders>
          </w:tcPr>
          <w:p w:rsidR="00C04CEE" w:rsidRPr="00C04CEE" w:rsidRDefault="00C04CEE" w:rsidP="005D46A0">
            <w:pPr>
              <w:spacing w:before="120"/>
              <w:contextualSpacing/>
              <w:jc w:val="both"/>
              <w:rPr>
                <w:rFonts w:ascii="Times New Roman" w:hAnsi="Times New Roman"/>
                <w:b/>
                <w:sz w:val="24"/>
                <w:szCs w:val="24"/>
              </w:rPr>
            </w:pPr>
          </w:p>
        </w:tc>
        <w:tc>
          <w:tcPr>
            <w:tcW w:w="2268" w:type="dxa"/>
            <w:tcBorders>
              <w:top w:val="single" w:sz="12" w:space="0" w:color="auto"/>
            </w:tcBorders>
          </w:tcPr>
          <w:p w:rsidR="00C04CEE" w:rsidRPr="00C04CEE" w:rsidRDefault="00C04CEE" w:rsidP="005D46A0">
            <w:pPr>
              <w:spacing w:before="120"/>
              <w:contextualSpacing/>
              <w:jc w:val="both"/>
              <w:rPr>
                <w:rFonts w:ascii="Times New Roman" w:hAnsi="Times New Roman"/>
                <w:b/>
                <w:sz w:val="24"/>
                <w:szCs w:val="24"/>
              </w:rPr>
            </w:pPr>
          </w:p>
        </w:tc>
        <w:tc>
          <w:tcPr>
            <w:tcW w:w="2046" w:type="dxa"/>
            <w:tcBorders>
              <w:top w:val="single" w:sz="12" w:space="0" w:color="auto"/>
            </w:tcBorders>
          </w:tcPr>
          <w:p w:rsidR="00C04CEE" w:rsidRPr="00C04CEE" w:rsidRDefault="00C04CEE" w:rsidP="005D46A0">
            <w:pPr>
              <w:spacing w:before="120"/>
              <w:contextualSpacing/>
              <w:jc w:val="both"/>
              <w:rPr>
                <w:rFonts w:ascii="Times New Roman" w:hAnsi="Times New Roman"/>
                <w:b/>
                <w:sz w:val="24"/>
                <w:szCs w:val="24"/>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Mléčné nápoje pro děti</w:t>
            </w:r>
          </w:p>
        </w:tc>
        <w:tc>
          <w:tcPr>
            <w:tcW w:w="1172" w:type="dxa"/>
            <w:tcBorders>
              <w:left w:val="single" w:sz="12" w:space="0" w:color="auto"/>
            </w:tcBorders>
          </w:tcPr>
          <w:p w:rsidR="00C04CEE" w:rsidRPr="00C04CEE" w:rsidRDefault="00C04CEE" w:rsidP="005D46A0">
            <w:pPr>
              <w:spacing w:before="120"/>
              <w:contextualSpacing/>
              <w:jc w:val="both"/>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Králičí maso –pult. prodej</w:t>
            </w:r>
          </w:p>
        </w:tc>
        <w:tc>
          <w:tcPr>
            <w:tcW w:w="1172" w:type="dxa"/>
            <w:tcBorders>
              <w:left w:val="single" w:sz="12" w:space="0" w:color="auto"/>
            </w:tcBorders>
          </w:tcPr>
          <w:p w:rsidR="00C04CEE" w:rsidRPr="00C04CEE" w:rsidRDefault="00C04CEE" w:rsidP="005D46A0">
            <w:pPr>
              <w:spacing w:before="120"/>
              <w:contextualSpacing/>
              <w:jc w:val="both"/>
              <w:rPr>
                <w:rFonts w:asciiTheme="minorHAnsi" w:hAnsiTheme="minorHAnsi"/>
                <w:b/>
              </w:rPr>
            </w:pPr>
          </w:p>
        </w:tc>
        <w:tc>
          <w:tcPr>
            <w:tcW w:w="1410" w:type="dxa"/>
          </w:tcPr>
          <w:p w:rsidR="00C04CEE" w:rsidRPr="00C04CEE" w:rsidRDefault="00C04CEE" w:rsidP="005D46A0">
            <w:pPr>
              <w:spacing w:before="120"/>
              <w:contextualSpacing/>
              <w:jc w:val="both"/>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Sůl</w:t>
            </w:r>
          </w:p>
        </w:tc>
        <w:tc>
          <w:tcPr>
            <w:tcW w:w="1172" w:type="dxa"/>
            <w:tcBorders>
              <w:left w:val="single" w:sz="12" w:space="0" w:color="auto"/>
            </w:tcBorders>
          </w:tcPr>
          <w:p w:rsidR="00C04CEE" w:rsidRPr="00C04CEE" w:rsidRDefault="00C04CEE" w:rsidP="005D46A0">
            <w:pPr>
              <w:spacing w:before="120"/>
              <w:contextualSpacing/>
              <w:jc w:val="both"/>
              <w:rPr>
                <w:rFonts w:asciiTheme="minorHAnsi" w:hAnsiTheme="minorHAnsi"/>
                <w:b/>
              </w:rPr>
            </w:pPr>
          </w:p>
        </w:tc>
        <w:tc>
          <w:tcPr>
            <w:tcW w:w="1410" w:type="dxa"/>
            <w:vAlign w:val="center"/>
          </w:tcPr>
          <w:p w:rsidR="00C04CEE" w:rsidRPr="00C04CEE" w:rsidRDefault="00D45F9B" w:rsidP="00D45F9B">
            <w:pPr>
              <w:spacing w:before="120"/>
              <w:contextualSpacing/>
              <w:jc w:val="center"/>
              <w:rPr>
                <w:rFonts w:asciiTheme="minorHAnsi" w:hAnsiTheme="minorHAnsi"/>
                <w:b/>
              </w:rPr>
            </w:pPr>
            <w:r w:rsidRPr="00C04CEE">
              <w:rPr>
                <w:rFonts w:asciiTheme="minorHAnsi" w:hAnsiTheme="minorHAnsi"/>
                <w:b/>
              </w:rPr>
              <w:t>x</w:t>
            </w: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3B4209" w:rsidRPr="00C04CEE" w:rsidTr="00C05F84">
        <w:tc>
          <w:tcPr>
            <w:tcW w:w="2972" w:type="dxa"/>
            <w:tcBorders>
              <w:right w:val="single" w:sz="12" w:space="0" w:color="auto"/>
            </w:tcBorders>
            <w:shd w:val="clear" w:color="auto" w:fill="auto"/>
          </w:tcPr>
          <w:p w:rsidR="003B4209" w:rsidRPr="00C04CEE" w:rsidRDefault="003B4209" w:rsidP="005D46A0">
            <w:pPr>
              <w:spacing w:before="120"/>
              <w:contextualSpacing/>
              <w:jc w:val="both"/>
              <w:rPr>
                <w:b/>
              </w:rPr>
            </w:pPr>
            <w:r w:rsidRPr="00C04CEE">
              <w:t>Lněný olej</w:t>
            </w:r>
          </w:p>
        </w:tc>
        <w:tc>
          <w:tcPr>
            <w:tcW w:w="8880" w:type="dxa"/>
            <w:gridSpan w:val="5"/>
            <w:tcBorders>
              <w:left w:val="single" w:sz="12" w:space="0" w:color="auto"/>
            </w:tcBorders>
          </w:tcPr>
          <w:p w:rsidR="003B4209" w:rsidRPr="00C04CEE" w:rsidRDefault="003B4209" w:rsidP="005D46A0">
            <w:pPr>
              <w:spacing w:before="120"/>
              <w:contextualSpacing/>
              <w:jc w:val="both"/>
              <w:rPr>
                <w:rFonts w:asciiTheme="minorHAnsi" w:hAnsiTheme="minorHAnsi"/>
                <w:b/>
              </w:rPr>
            </w:pPr>
            <w:r>
              <w:rPr>
                <w:rFonts w:asciiTheme="minorHAnsi" w:hAnsiTheme="minorHAnsi"/>
                <w:b/>
              </w:rPr>
              <w:t>Nelze zařadit do žádné skupiny</w:t>
            </w: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Mražený hrášek</w:t>
            </w:r>
          </w:p>
        </w:tc>
        <w:tc>
          <w:tcPr>
            <w:tcW w:w="1172" w:type="dxa"/>
            <w:tcBorders>
              <w:left w:val="single" w:sz="12" w:space="0" w:color="auto"/>
            </w:tcBorders>
          </w:tcPr>
          <w:p w:rsidR="00C04CEE" w:rsidRPr="00C04CEE" w:rsidRDefault="00C04CEE" w:rsidP="005D46A0">
            <w:pPr>
              <w:spacing w:before="120"/>
              <w:contextualSpacing/>
              <w:jc w:val="both"/>
              <w:rPr>
                <w:rFonts w:asciiTheme="minorHAnsi" w:hAnsiTheme="minorHAnsi"/>
                <w:b/>
              </w:rPr>
            </w:pPr>
          </w:p>
        </w:tc>
        <w:tc>
          <w:tcPr>
            <w:tcW w:w="1410" w:type="dxa"/>
          </w:tcPr>
          <w:p w:rsidR="00C04CEE" w:rsidRPr="00C04CEE" w:rsidRDefault="00C04CEE" w:rsidP="005D46A0">
            <w:pPr>
              <w:spacing w:before="120"/>
              <w:contextualSpacing/>
              <w:jc w:val="both"/>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Granko</w:t>
            </w:r>
          </w:p>
        </w:tc>
        <w:tc>
          <w:tcPr>
            <w:tcW w:w="1172" w:type="dxa"/>
            <w:tcBorders>
              <w:left w:val="single" w:sz="12" w:space="0" w:color="auto"/>
            </w:tcBorders>
          </w:tcPr>
          <w:p w:rsidR="00C04CEE" w:rsidRPr="00C04CEE" w:rsidRDefault="00C04CEE" w:rsidP="005D46A0">
            <w:pPr>
              <w:spacing w:before="120"/>
              <w:contextualSpacing/>
              <w:jc w:val="both"/>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Prášek na praní</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Parfémy</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Krmivo pro kočky</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Čerstvé květiny – Růže</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Pračky</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Vysavače</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Exotické ovoce</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Čerstvé mléko</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rPr>
                <w:b/>
              </w:rPr>
            </w:pPr>
            <w:r w:rsidRPr="00C04CEE">
              <w:t>Drůbeží maso–pult. prodej</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Cukr</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p>
        </w:tc>
        <w:tc>
          <w:tcPr>
            <w:tcW w:w="1410" w:type="dxa"/>
          </w:tcPr>
          <w:p w:rsidR="00C04CEE" w:rsidRPr="00C04CEE" w:rsidRDefault="00D45F9B" w:rsidP="005D46A0">
            <w:pPr>
              <w:spacing w:before="120"/>
              <w:contextualSpacing/>
              <w:jc w:val="center"/>
              <w:rPr>
                <w:rFonts w:asciiTheme="minorHAnsi" w:hAnsiTheme="minorHAnsi"/>
                <w:b/>
              </w:rPr>
            </w:pPr>
            <w:r w:rsidRPr="00C04CEE">
              <w:rPr>
                <w:rFonts w:asciiTheme="minorHAnsi" w:hAnsiTheme="minorHAnsi"/>
                <w:b/>
              </w:rPr>
              <w:t>x</w:t>
            </w: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3B4209" w:rsidRPr="00C04CEE" w:rsidTr="003B4209">
        <w:tc>
          <w:tcPr>
            <w:tcW w:w="2972" w:type="dxa"/>
            <w:tcBorders>
              <w:right w:val="single" w:sz="12" w:space="0" w:color="auto"/>
            </w:tcBorders>
            <w:shd w:val="clear" w:color="auto" w:fill="auto"/>
          </w:tcPr>
          <w:p w:rsidR="003B4209" w:rsidRPr="00C04CEE" w:rsidRDefault="003B4209" w:rsidP="005D46A0">
            <w:pPr>
              <w:spacing w:before="120"/>
              <w:contextualSpacing/>
              <w:jc w:val="both"/>
              <w:rPr>
                <w:b/>
              </w:rPr>
            </w:pPr>
            <w:r w:rsidRPr="00C04CEE">
              <w:t>Olivový olej</w:t>
            </w:r>
          </w:p>
        </w:tc>
        <w:tc>
          <w:tcPr>
            <w:tcW w:w="8880" w:type="dxa"/>
            <w:gridSpan w:val="5"/>
            <w:tcBorders>
              <w:left w:val="single" w:sz="12" w:space="0" w:color="auto"/>
            </w:tcBorders>
            <w:vAlign w:val="center"/>
          </w:tcPr>
          <w:p w:rsidR="003B4209" w:rsidRPr="00C04CEE" w:rsidRDefault="003B4209" w:rsidP="003B4209">
            <w:pPr>
              <w:spacing w:before="120"/>
              <w:contextualSpacing/>
              <w:rPr>
                <w:rFonts w:asciiTheme="minorHAnsi" w:hAnsiTheme="minorHAnsi"/>
                <w:b/>
              </w:rPr>
            </w:pPr>
            <w:r>
              <w:rPr>
                <w:rFonts w:asciiTheme="minorHAnsi" w:hAnsiTheme="minorHAnsi"/>
                <w:b/>
              </w:rPr>
              <w:t>Nelez zařadit do žádné skupiny</w:t>
            </w: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Mražené jahody</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Kakao</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Gel na praní</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Deodoranty</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Krmivo pro psy</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Čerstvé květiny – Lilie</w:t>
            </w:r>
          </w:p>
        </w:tc>
        <w:tc>
          <w:tcPr>
            <w:tcW w:w="1172" w:type="dxa"/>
            <w:tcBorders>
              <w:left w:val="single" w:sz="12" w:space="0" w:color="auto"/>
            </w:tcBorders>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Lednice</w:t>
            </w:r>
          </w:p>
        </w:tc>
        <w:tc>
          <w:tcPr>
            <w:tcW w:w="1172" w:type="dxa"/>
            <w:tcBorders>
              <w:left w:val="single" w:sz="12" w:space="0" w:color="auto"/>
            </w:tcBorders>
          </w:tcPr>
          <w:p w:rsidR="00C04CEE" w:rsidRPr="00C04CEE" w:rsidRDefault="00C04CEE" w:rsidP="005D46A0">
            <w:pPr>
              <w:spacing w:before="120"/>
              <w:contextualSpacing/>
              <w:jc w:val="both"/>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Žehličky</w:t>
            </w:r>
          </w:p>
        </w:tc>
        <w:tc>
          <w:tcPr>
            <w:tcW w:w="1172" w:type="dxa"/>
            <w:tcBorders>
              <w:left w:val="single" w:sz="12" w:space="0" w:color="auto"/>
            </w:tcBorders>
          </w:tcPr>
          <w:p w:rsidR="00C04CEE" w:rsidRPr="00C04CEE" w:rsidRDefault="00C04CEE" w:rsidP="005D46A0">
            <w:pPr>
              <w:spacing w:before="120"/>
              <w:contextualSpacing/>
              <w:jc w:val="both"/>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Mouka</w:t>
            </w:r>
          </w:p>
        </w:tc>
        <w:tc>
          <w:tcPr>
            <w:tcW w:w="1172" w:type="dxa"/>
            <w:tcBorders>
              <w:left w:val="single" w:sz="12" w:space="0" w:color="auto"/>
            </w:tcBorders>
          </w:tcPr>
          <w:p w:rsidR="00C04CEE" w:rsidRPr="00C04CEE" w:rsidRDefault="00C04CEE" w:rsidP="005D46A0">
            <w:pPr>
              <w:spacing w:before="120"/>
              <w:contextualSpacing/>
              <w:jc w:val="both"/>
              <w:rPr>
                <w:rFonts w:asciiTheme="minorHAnsi" w:hAnsiTheme="minorHAnsi"/>
                <w:b/>
              </w:rPr>
            </w:pPr>
          </w:p>
        </w:tc>
        <w:tc>
          <w:tcPr>
            <w:tcW w:w="1410" w:type="dxa"/>
          </w:tcPr>
          <w:p w:rsidR="00C04CEE" w:rsidRPr="00C04CEE" w:rsidRDefault="00D45F9B" w:rsidP="005D46A0">
            <w:pPr>
              <w:spacing w:before="120"/>
              <w:contextualSpacing/>
              <w:jc w:val="center"/>
              <w:rPr>
                <w:rFonts w:asciiTheme="minorHAnsi" w:hAnsiTheme="minorHAnsi"/>
                <w:b/>
              </w:rPr>
            </w:pPr>
            <w:r w:rsidRPr="00C04CEE">
              <w:rPr>
                <w:rFonts w:asciiTheme="minorHAnsi" w:hAnsiTheme="minorHAnsi"/>
                <w:b/>
              </w:rPr>
              <w:t>x</w:t>
            </w:r>
          </w:p>
        </w:tc>
        <w:tc>
          <w:tcPr>
            <w:tcW w:w="1984" w:type="dxa"/>
          </w:tcPr>
          <w:p w:rsidR="00C04CEE" w:rsidRPr="00C04CEE" w:rsidRDefault="00C04CEE" w:rsidP="005D46A0">
            <w:pPr>
              <w:spacing w:before="120"/>
              <w:contextualSpacing/>
              <w:jc w:val="center"/>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center"/>
              <w:rPr>
                <w:rFonts w:asciiTheme="minorHAnsi" w:hAnsiTheme="minorHAnsi"/>
                <w:b/>
              </w:rPr>
            </w:pPr>
          </w:p>
        </w:tc>
      </w:tr>
      <w:tr w:rsidR="003B4209" w:rsidRPr="00C04CEE" w:rsidTr="006A7D40">
        <w:tc>
          <w:tcPr>
            <w:tcW w:w="2972" w:type="dxa"/>
            <w:tcBorders>
              <w:right w:val="single" w:sz="12" w:space="0" w:color="auto"/>
            </w:tcBorders>
            <w:shd w:val="clear" w:color="auto" w:fill="auto"/>
          </w:tcPr>
          <w:p w:rsidR="003B4209" w:rsidRPr="00C04CEE" w:rsidRDefault="003B4209" w:rsidP="005D46A0">
            <w:pPr>
              <w:spacing w:before="120"/>
              <w:contextualSpacing/>
              <w:jc w:val="both"/>
              <w:rPr>
                <w:b/>
              </w:rPr>
            </w:pPr>
            <w:r w:rsidRPr="00C04CEE">
              <w:t>Slunečnicový olej</w:t>
            </w:r>
          </w:p>
        </w:tc>
        <w:tc>
          <w:tcPr>
            <w:tcW w:w="8880" w:type="dxa"/>
            <w:gridSpan w:val="5"/>
            <w:tcBorders>
              <w:left w:val="single" w:sz="12" w:space="0" w:color="auto"/>
            </w:tcBorders>
            <w:vAlign w:val="center"/>
          </w:tcPr>
          <w:p w:rsidR="003B4209" w:rsidRPr="00C04CEE" w:rsidRDefault="003B4209" w:rsidP="003B4209">
            <w:pPr>
              <w:spacing w:before="120"/>
              <w:contextualSpacing/>
              <w:rPr>
                <w:rFonts w:asciiTheme="minorHAnsi" w:hAnsiTheme="minorHAnsi"/>
                <w:b/>
              </w:rPr>
            </w:pPr>
            <w:r>
              <w:rPr>
                <w:rFonts w:asciiTheme="minorHAnsi" w:hAnsiTheme="minorHAnsi"/>
                <w:b/>
              </w:rPr>
              <w:t>Nelze zařadit do žádné skupiny</w:t>
            </w:r>
          </w:p>
        </w:tc>
      </w:tr>
      <w:tr w:rsidR="00C04CEE" w:rsidRPr="00C04CEE" w:rsidTr="003B4209">
        <w:tc>
          <w:tcPr>
            <w:tcW w:w="2972" w:type="dxa"/>
            <w:tcBorders>
              <w:right w:val="single" w:sz="12" w:space="0" w:color="auto"/>
            </w:tcBorders>
            <w:shd w:val="clear" w:color="auto" w:fill="auto"/>
          </w:tcPr>
          <w:p w:rsidR="00C04CEE" w:rsidRPr="00C04CEE" w:rsidRDefault="00C04CEE" w:rsidP="005D46A0">
            <w:pPr>
              <w:spacing w:before="120"/>
              <w:contextualSpacing/>
              <w:jc w:val="both"/>
              <w:rPr>
                <w:b/>
              </w:rPr>
            </w:pPr>
            <w:r w:rsidRPr="00C04CEE">
              <w:t>Mražené kuřecí maso</w:t>
            </w:r>
          </w:p>
        </w:tc>
        <w:tc>
          <w:tcPr>
            <w:tcW w:w="1172" w:type="dxa"/>
            <w:tcBorders>
              <w:left w:val="single" w:sz="12" w:space="0" w:color="auto"/>
            </w:tcBorders>
          </w:tcPr>
          <w:p w:rsidR="00C04CEE" w:rsidRPr="00C04CEE" w:rsidRDefault="00C04CEE" w:rsidP="005D46A0">
            <w:pPr>
              <w:spacing w:before="120"/>
              <w:contextualSpacing/>
              <w:jc w:val="both"/>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p>
        </w:tc>
        <w:tc>
          <w:tcPr>
            <w:tcW w:w="1984"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C04CEE" w:rsidRPr="00C04CEE" w:rsidTr="003B4209">
        <w:tc>
          <w:tcPr>
            <w:tcW w:w="2972" w:type="dxa"/>
            <w:tcBorders>
              <w:bottom w:val="single" w:sz="12" w:space="0" w:color="auto"/>
              <w:right w:val="single" w:sz="12" w:space="0" w:color="auto"/>
            </w:tcBorders>
            <w:shd w:val="clear" w:color="auto" w:fill="auto"/>
          </w:tcPr>
          <w:p w:rsidR="00C04CEE" w:rsidRPr="00C04CEE" w:rsidRDefault="00C04CEE" w:rsidP="005D46A0">
            <w:pPr>
              <w:spacing w:before="120"/>
              <w:contextualSpacing/>
              <w:jc w:val="both"/>
              <w:rPr>
                <w:b/>
              </w:rPr>
            </w:pPr>
            <w:r w:rsidRPr="00C04CEE">
              <w:t>Hořká čokoláda</w:t>
            </w:r>
          </w:p>
        </w:tc>
        <w:tc>
          <w:tcPr>
            <w:tcW w:w="1172" w:type="dxa"/>
            <w:tcBorders>
              <w:left w:val="single" w:sz="12" w:space="0" w:color="auto"/>
            </w:tcBorders>
          </w:tcPr>
          <w:p w:rsidR="00C04CEE" w:rsidRPr="00C04CEE" w:rsidRDefault="00C04CEE" w:rsidP="005D46A0">
            <w:pPr>
              <w:spacing w:before="120"/>
              <w:contextualSpacing/>
              <w:jc w:val="both"/>
              <w:rPr>
                <w:rFonts w:asciiTheme="minorHAnsi" w:hAnsiTheme="minorHAnsi"/>
                <w:b/>
              </w:rPr>
            </w:pPr>
          </w:p>
        </w:tc>
        <w:tc>
          <w:tcPr>
            <w:tcW w:w="1410" w:type="dxa"/>
          </w:tcPr>
          <w:p w:rsidR="00C04CEE" w:rsidRPr="00C04CEE" w:rsidRDefault="00C04CEE" w:rsidP="005D46A0">
            <w:pPr>
              <w:spacing w:before="120"/>
              <w:contextualSpacing/>
              <w:jc w:val="center"/>
              <w:rPr>
                <w:rFonts w:asciiTheme="minorHAnsi" w:hAnsiTheme="minorHAnsi"/>
                <w:b/>
              </w:rPr>
            </w:pPr>
            <w:r w:rsidRPr="00C04CEE">
              <w:rPr>
                <w:rFonts w:asciiTheme="minorHAnsi" w:hAnsiTheme="minorHAnsi"/>
                <w:b/>
              </w:rPr>
              <w:t>x</w:t>
            </w:r>
          </w:p>
        </w:tc>
        <w:tc>
          <w:tcPr>
            <w:tcW w:w="1984" w:type="dxa"/>
          </w:tcPr>
          <w:p w:rsidR="00C04CEE" w:rsidRPr="00C04CEE" w:rsidRDefault="00C04CEE" w:rsidP="005D46A0">
            <w:pPr>
              <w:spacing w:before="120"/>
              <w:contextualSpacing/>
              <w:jc w:val="both"/>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r w:rsidR="00C04CEE" w:rsidRPr="00C04CEE" w:rsidTr="003B4209">
        <w:tc>
          <w:tcPr>
            <w:tcW w:w="2972" w:type="dxa"/>
            <w:tcBorders>
              <w:top w:val="single" w:sz="12" w:space="0" w:color="auto"/>
            </w:tcBorders>
            <w:shd w:val="clear" w:color="auto" w:fill="auto"/>
          </w:tcPr>
          <w:p w:rsidR="00C04CEE" w:rsidRPr="00C04CEE" w:rsidRDefault="00C04CEE" w:rsidP="005D46A0">
            <w:pPr>
              <w:spacing w:before="120"/>
              <w:contextualSpacing/>
              <w:jc w:val="both"/>
            </w:pPr>
            <w:r w:rsidRPr="00C04CEE">
              <w:lastRenderedPageBreak/>
              <w:t>Rýže</w:t>
            </w:r>
          </w:p>
        </w:tc>
        <w:tc>
          <w:tcPr>
            <w:tcW w:w="1172" w:type="dxa"/>
          </w:tcPr>
          <w:p w:rsidR="00C04CEE" w:rsidRPr="00C04CEE" w:rsidRDefault="00C04CEE" w:rsidP="005D46A0">
            <w:pPr>
              <w:spacing w:before="120"/>
              <w:contextualSpacing/>
              <w:jc w:val="both"/>
              <w:rPr>
                <w:rFonts w:asciiTheme="minorHAnsi" w:hAnsiTheme="minorHAnsi"/>
                <w:b/>
              </w:rPr>
            </w:pPr>
          </w:p>
        </w:tc>
        <w:tc>
          <w:tcPr>
            <w:tcW w:w="1410" w:type="dxa"/>
            <w:vAlign w:val="center"/>
          </w:tcPr>
          <w:p w:rsidR="00C04CEE" w:rsidRPr="00C04CEE" w:rsidRDefault="00D45F9B" w:rsidP="00D45F9B">
            <w:pPr>
              <w:spacing w:before="120"/>
              <w:contextualSpacing/>
              <w:jc w:val="center"/>
              <w:rPr>
                <w:rFonts w:asciiTheme="minorHAnsi" w:hAnsiTheme="minorHAnsi"/>
                <w:b/>
              </w:rPr>
            </w:pPr>
            <w:r w:rsidRPr="00C04CEE">
              <w:rPr>
                <w:rFonts w:asciiTheme="minorHAnsi" w:hAnsiTheme="minorHAnsi"/>
                <w:b/>
              </w:rPr>
              <w:t>x</w:t>
            </w:r>
          </w:p>
        </w:tc>
        <w:tc>
          <w:tcPr>
            <w:tcW w:w="1984" w:type="dxa"/>
          </w:tcPr>
          <w:p w:rsidR="00C04CEE" w:rsidRPr="00C04CEE" w:rsidRDefault="00C04CEE" w:rsidP="005D46A0">
            <w:pPr>
              <w:spacing w:before="120"/>
              <w:contextualSpacing/>
              <w:jc w:val="both"/>
              <w:rPr>
                <w:rFonts w:asciiTheme="minorHAnsi" w:hAnsiTheme="minorHAnsi"/>
                <w:b/>
              </w:rPr>
            </w:pPr>
          </w:p>
        </w:tc>
        <w:tc>
          <w:tcPr>
            <w:tcW w:w="2268" w:type="dxa"/>
          </w:tcPr>
          <w:p w:rsidR="00C04CEE" w:rsidRPr="00C04CEE" w:rsidRDefault="00C04CEE" w:rsidP="005D46A0">
            <w:pPr>
              <w:spacing w:before="120"/>
              <w:contextualSpacing/>
              <w:jc w:val="both"/>
              <w:rPr>
                <w:rFonts w:asciiTheme="minorHAnsi" w:hAnsiTheme="minorHAnsi"/>
                <w:b/>
              </w:rPr>
            </w:pPr>
          </w:p>
        </w:tc>
        <w:tc>
          <w:tcPr>
            <w:tcW w:w="2046" w:type="dxa"/>
          </w:tcPr>
          <w:p w:rsidR="00C04CEE" w:rsidRPr="00C04CEE" w:rsidRDefault="00C04CEE" w:rsidP="005D46A0">
            <w:pPr>
              <w:spacing w:before="120"/>
              <w:contextualSpacing/>
              <w:jc w:val="both"/>
              <w:rPr>
                <w:rFonts w:asciiTheme="minorHAnsi" w:hAnsiTheme="minorHAnsi"/>
                <w:b/>
              </w:rPr>
            </w:pPr>
          </w:p>
        </w:tc>
      </w:tr>
    </w:tbl>
    <w:p w:rsidR="00C04CEE" w:rsidRDefault="00C04CEE"/>
    <w:sectPr w:rsidR="00C04CEE" w:rsidSect="003B76F8">
      <w:pgSz w:w="16838" w:h="11906" w:orient="landscape"/>
      <w:pgMar w:top="794" w:right="567"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3100"/>
    <w:multiLevelType w:val="hybridMultilevel"/>
    <w:tmpl w:val="FDF41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0343F1"/>
    <w:multiLevelType w:val="hybridMultilevel"/>
    <w:tmpl w:val="4DEA6ED6"/>
    <w:lvl w:ilvl="0" w:tplc="A44EDAB4">
      <w:start w:val="1"/>
      <w:numFmt w:val="decimal"/>
      <w:lvlText w:val="%1)"/>
      <w:lvlJc w:val="left"/>
      <w:pPr>
        <w:tabs>
          <w:tab w:val="num" w:pos="720"/>
        </w:tabs>
        <w:ind w:left="720" w:hanging="360"/>
      </w:pPr>
    </w:lvl>
    <w:lvl w:ilvl="1" w:tplc="C2D05532" w:tentative="1">
      <w:start w:val="1"/>
      <w:numFmt w:val="decimal"/>
      <w:lvlText w:val="%2)"/>
      <w:lvlJc w:val="left"/>
      <w:pPr>
        <w:tabs>
          <w:tab w:val="num" w:pos="1440"/>
        </w:tabs>
        <w:ind w:left="1440" w:hanging="360"/>
      </w:pPr>
    </w:lvl>
    <w:lvl w:ilvl="2" w:tplc="EDE88930" w:tentative="1">
      <w:start w:val="1"/>
      <w:numFmt w:val="decimal"/>
      <w:lvlText w:val="%3)"/>
      <w:lvlJc w:val="left"/>
      <w:pPr>
        <w:tabs>
          <w:tab w:val="num" w:pos="2160"/>
        </w:tabs>
        <w:ind w:left="2160" w:hanging="360"/>
      </w:pPr>
    </w:lvl>
    <w:lvl w:ilvl="3" w:tplc="7506E618" w:tentative="1">
      <w:start w:val="1"/>
      <w:numFmt w:val="decimal"/>
      <w:lvlText w:val="%4)"/>
      <w:lvlJc w:val="left"/>
      <w:pPr>
        <w:tabs>
          <w:tab w:val="num" w:pos="2880"/>
        </w:tabs>
        <w:ind w:left="2880" w:hanging="360"/>
      </w:pPr>
    </w:lvl>
    <w:lvl w:ilvl="4" w:tplc="A4F4AE44" w:tentative="1">
      <w:start w:val="1"/>
      <w:numFmt w:val="decimal"/>
      <w:lvlText w:val="%5)"/>
      <w:lvlJc w:val="left"/>
      <w:pPr>
        <w:tabs>
          <w:tab w:val="num" w:pos="3600"/>
        </w:tabs>
        <w:ind w:left="3600" w:hanging="360"/>
      </w:pPr>
    </w:lvl>
    <w:lvl w:ilvl="5" w:tplc="F2AE8504" w:tentative="1">
      <w:start w:val="1"/>
      <w:numFmt w:val="decimal"/>
      <w:lvlText w:val="%6)"/>
      <w:lvlJc w:val="left"/>
      <w:pPr>
        <w:tabs>
          <w:tab w:val="num" w:pos="4320"/>
        </w:tabs>
        <w:ind w:left="4320" w:hanging="360"/>
      </w:pPr>
    </w:lvl>
    <w:lvl w:ilvl="6" w:tplc="812A966C" w:tentative="1">
      <w:start w:val="1"/>
      <w:numFmt w:val="decimal"/>
      <w:lvlText w:val="%7)"/>
      <w:lvlJc w:val="left"/>
      <w:pPr>
        <w:tabs>
          <w:tab w:val="num" w:pos="5040"/>
        </w:tabs>
        <w:ind w:left="5040" w:hanging="360"/>
      </w:pPr>
    </w:lvl>
    <w:lvl w:ilvl="7" w:tplc="2BB8BDA4" w:tentative="1">
      <w:start w:val="1"/>
      <w:numFmt w:val="decimal"/>
      <w:lvlText w:val="%8)"/>
      <w:lvlJc w:val="left"/>
      <w:pPr>
        <w:tabs>
          <w:tab w:val="num" w:pos="5760"/>
        </w:tabs>
        <w:ind w:left="5760" w:hanging="360"/>
      </w:pPr>
    </w:lvl>
    <w:lvl w:ilvl="8" w:tplc="D95AF9C0" w:tentative="1">
      <w:start w:val="1"/>
      <w:numFmt w:val="decimal"/>
      <w:lvlText w:val="%9)"/>
      <w:lvlJc w:val="left"/>
      <w:pPr>
        <w:tabs>
          <w:tab w:val="num" w:pos="6480"/>
        </w:tabs>
        <w:ind w:left="6480" w:hanging="360"/>
      </w:pPr>
    </w:lvl>
  </w:abstractNum>
  <w:abstractNum w:abstractNumId="2" w15:restartNumberingAfterBreak="0">
    <w:nsid w:val="1F8D1580"/>
    <w:multiLevelType w:val="hybridMultilevel"/>
    <w:tmpl w:val="F064D278"/>
    <w:lvl w:ilvl="0" w:tplc="FD66CD8E">
      <w:start w:val="1"/>
      <w:numFmt w:val="decimal"/>
      <w:lvlText w:val="%1)"/>
      <w:lvlJc w:val="left"/>
      <w:pPr>
        <w:tabs>
          <w:tab w:val="num" w:pos="720"/>
        </w:tabs>
        <w:ind w:left="720" w:hanging="360"/>
      </w:pPr>
    </w:lvl>
    <w:lvl w:ilvl="1" w:tplc="5ED47D5E" w:tentative="1">
      <w:start w:val="1"/>
      <w:numFmt w:val="decimal"/>
      <w:lvlText w:val="%2)"/>
      <w:lvlJc w:val="left"/>
      <w:pPr>
        <w:tabs>
          <w:tab w:val="num" w:pos="1440"/>
        </w:tabs>
        <w:ind w:left="1440" w:hanging="360"/>
      </w:pPr>
    </w:lvl>
    <w:lvl w:ilvl="2" w:tplc="DD2446F8" w:tentative="1">
      <w:start w:val="1"/>
      <w:numFmt w:val="decimal"/>
      <w:lvlText w:val="%3)"/>
      <w:lvlJc w:val="left"/>
      <w:pPr>
        <w:tabs>
          <w:tab w:val="num" w:pos="2160"/>
        </w:tabs>
        <w:ind w:left="2160" w:hanging="360"/>
      </w:pPr>
    </w:lvl>
    <w:lvl w:ilvl="3" w:tplc="048CA922" w:tentative="1">
      <w:start w:val="1"/>
      <w:numFmt w:val="decimal"/>
      <w:lvlText w:val="%4)"/>
      <w:lvlJc w:val="left"/>
      <w:pPr>
        <w:tabs>
          <w:tab w:val="num" w:pos="2880"/>
        </w:tabs>
        <w:ind w:left="2880" w:hanging="360"/>
      </w:pPr>
    </w:lvl>
    <w:lvl w:ilvl="4" w:tplc="EE7C9F62" w:tentative="1">
      <w:start w:val="1"/>
      <w:numFmt w:val="decimal"/>
      <w:lvlText w:val="%5)"/>
      <w:lvlJc w:val="left"/>
      <w:pPr>
        <w:tabs>
          <w:tab w:val="num" w:pos="3600"/>
        </w:tabs>
        <w:ind w:left="3600" w:hanging="360"/>
      </w:pPr>
    </w:lvl>
    <w:lvl w:ilvl="5" w:tplc="DF5689F0" w:tentative="1">
      <w:start w:val="1"/>
      <w:numFmt w:val="decimal"/>
      <w:lvlText w:val="%6)"/>
      <w:lvlJc w:val="left"/>
      <w:pPr>
        <w:tabs>
          <w:tab w:val="num" w:pos="4320"/>
        </w:tabs>
        <w:ind w:left="4320" w:hanging="360"/>
      </w:pPr>
    </w:lvl>
    <w:lvl w:ilvl="6" w:tplc="2CC29DA0" w:tentative="1">
      <w:start w:val="1"/>
      <w:numFmt w:val="decimal"/>
      <w:lvlText w:val="%7)"/>
      <w:lvlJc w:val="left"/>
      <w:pPr>
        <w:tabs>
          <w:tab w:val="num" w:pos="5040"/>
        </w:tabs>
        <w:ind w:left="5040" w:hanging="360"/>
      </w:pPr>
    </w:lvl>
    <w:lvl w:ilvl="7" w:tplc="99F01BDE" w:tentative="1">
      <w:start w:val="1"/>
      <w:numFmt w:val="decimal"/>
      <w:lvlText w:val="%8)"/>
      <w:lvlJc w:val="left"/>
      <w:pPr>
        <w:tabs>
          <w:tab w:val="num" w:pos="5760"/>
        </w:tabs>
        <w:ind w:left="5760" w:hanging="360"/>
      </w:pPr>
    </w:lvl>
    <w:lvl w:ilvl="8" w:tplc="5D0E7B3E" w:tentative="1">
      <w:start w:val="1"/>
      <w:numFmt w:val="decimal"/>
      <w:lvlText w:val="%9)"/>
      <w:lvlJc w:val="left"/>
      <w:pPr>
        <w:tabs>
          <w:tab w:val="num" w:pos="6480"/>
        </w:tabs>
        <w:ind w:left="6480" w:hanging="360"/>
      </w:pPr>
    </w:lvl>
  </w:abstractNum>
  <w:abstractNum w:abstractNumId="3" w15:restartNumberingAfterBreak="0">
    <w:nsid w:val="3DBF1367"/>
    <w:multiLevelType w:val="hybridMultilevel"/>
    <w:tmpl w:val="21E493AC"/>
    <w:lvl w:ilvl="0" w:tplc="315E5562">
      <w:start w:val="2"/>
      <w:numFmt w:val="bullet"/>
      <w:lvlText w:val="-"/>
      <w:lvlJc w:val="left"/>
      <w:pPr>
        <w:ind w:left="1069" w:hanging="360"/>
      </w:pPr>
      <w:rPr>
        <w:rFonts w:ascii="Times New Roman" w:eastAsiaTheme="minorHAnsi"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4" w15:restartNumberingAfterBreak="0">
    <w:nsid w:val="7145379C"/>
    <w:multiLevelType w:val="hybridMultilevel"/>
    <w:tmpl w:val="9B549698"/>
    <w:lvl w:ilvl="0" w:tplc="B6BA9E4E">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AA43949"/>
    <w:multiLevelType w:val="hybridMultilevel"/>
    <w:tmpl w:val="D0DADE96"/>
    <w:lvl w:ilvl="0" w:tplc="8FB0CE16">
      <w:numFmt w:val="bullet"/>
      <w:lvlText w:val=""/>
      <w:lvlJc w:val="left"/>
      <w:pPr>
        <w:ind w:left="1080" w:hanging="360"/>
      </w:pPr>
      <w:rPr>
        <w:rFonts w:ascii="Symbol" w:eastAsia="Calibri"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yNDQysDCzNDYxNTFR0lEKTi0uzszPAykwqgUAeFRPrSwAAAA="/>
  </w:docVars>
  <w:rsids>
    <w:rsidRoot w:val="00C04CEE"/>
    <w:rsid w:val="00083197"/>
    <w:rsid w:val="000A3E21"/>
    <w:rsid w:val="000B7366"/>
    <w:rsid w:val="00180490"/>
    <w:rsid w:val="002B4680"/>
    <w:rsid w:val="002D38FC"/>
    <w:rsid w:val="00341C2A"/>
    <w:rsid w:val="003B4209"/>
    <w:rsid w:val="003B76F8"/>
    <w:rsid w:val="00497D74"/>
    <w:rsid w:val="004D60FE"/>
    <w:rsid w:val="005568EC"/>
    <w:rsid w:val="005D46A0"/>
    <w:rsid w:val="006B61A6"/>
    <w:rsid w:val="006E121B"/>
    <w:rsid w:val="00832B3E"/>
    <w:rsid w:val="008D0A6B"/>
    <w:rsid w:val="009E0020"/>
    <w:rsid w:val="00A6642C"/>
    <w:rsid w:val="00B6027C"/>
    <w:rsid w:val="00C04CEE"/>
    <w:rsid w:val="00C95DB6"/>
    <w:rsid w:val="00CD626D"/>
    <w:rsid w:val="00CF59F2"/>
    <w:rsid w:val="00D45F9B"/>
    <w:rsid w:val="00DB41F9"/>
    <w:rsid w:val="00E12765"/>
    <w:rsid w:val="00F61C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1FF3"/>
  <w15:docId w15:val="{552CDC3C-338C-40B3-894B-1A0D81C7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link w:val="Nadpis1Char"/>
    <w:uiPriority w:val="9"/>
    <w:qFormat/>
    <w:rsid w:val="009E0020"/>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lang w:val="ru-RU"/>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E0020"/>
    <w:rPr>
      <w:rFonts w:asciiTheme="majorHAnsi" w:eastAsiaTheme="majorEastAsia" w:hAnsiTheme="majorHAnsi" w:cstheme="majorBidi"/>
      <w:b/>
      <w:bCs/>
      <w:color w:val="365F91" w:themeColor="accent1" w:themeShade="BF"/>
      <w:sz w:val="28"/>
      <w:szCs w:val="28"/>
      <w:lang w:val="ru-RU"/>
    </w:rPr>
  </w:style>
  <w:style w:type="table" w:styleId="Mkatabulky">
    <w:name w:val="Table Grid"/>
    <w:basedOn w:val="Normlntabulka"/>
    <w:uiPriority w:val="39"/>
    <w:rsid w:val="00C04CEE"/>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C04CEE"/>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F59F2"/>
    <w:pPr>
      <w:autoSpaceDN/>
      <w:spacing w:before="240" w:after="120" w:line="360" w:lineRule="auto"/>
      <w:ind w:left="720" w:firstLine="709"/>
      <w:contextualSpacing/>
      <w:jc w:val="both"/>
      <w:textAlignment w:val="auto"/>
    </w:pPr>
    <w:rPr>
      <w:rFonts w:ascii="Times New Roman" w:eastAsiaTheme="minorHAnsi" w:hAnsi="Times New Roman" w:cstheme="min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374</Words>
  <Characters>2207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Radka Bauerová</cp:lastModifiedBy>
  <cp:revision>11</cp:revision>
  <dcterms:created xsi:type="dcterms:W3CDTF">2021-03-25T19:19:00Z</dcterms:created>
  <dcterms:modified xsi:type="dcterms:W3CDTF">2021-03-25T20:42:00Z</dcterms:modified>
</cp:coreProperties>
</file>