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16EB" w14:textId="6E9CB632" w:rsidR="00112E8F" w:rsidRPr="007933DE" w:rsidRDefault="003B5281" w:rsidP="003B5281">
      <w:pPr>
        <w:jc w:val="center"/>
        <w:rPr>
          <w:i/>
          <w:iCs/>
          <w:sz w:val="32"/>
          <w:szCs w:val="32"/>
          <w:u w:val="single"/>
        </w:rPr>
      </w:pPr>
      <w:bookmarkStart w:id="0" w:name="_GoBack"/>
      <w:bookmarkEnd w:id="0"/>
      <w:r w:rsidRPr="008748C8">
        <w:rPr>
          <w:i/>
          <w:iCs/>
          <w:sz w:val="32"/>
          <w:szCs w:val="32"/>
          <w:highlight w:val="yellow"/>
          <w:u w:val="single"/>
        </w:rPr>
        <w:t>DPH – Daň z přidané hodnoty</w:t>
      </w:r>
    </w:p>
    <w:p w14:paraId="5078E19A" w14:textId="66C22C06" w:rsidR="003B5281" w:rsidRPr="00D4705C" w:rsidRDefault="007F5923" w:rsidP="003B5281">
      <w:pPr>
        <w:rPr>
          <w:sz w:val="20"/>
          <w:szCs w:val="20"/>
        </w:rPr>
      </w:pPr>
      <w:r w:rsidRPr="00D4705C">
        <w:rPr>
          <w:sz w:val="20"/>
          <w:szCs w:val="20"/>
        </w:rPr>
        <w:t xml:space="preserve">Daň z přidané hodnoty </w:t>
      </w:r>
      <w:r w:rsidR="00C65631" w:rsidRPr="00D4705C">
        <w:rPr>
          <w:sz w:val="20"/>
          <w:szCs w:val="20"/>
        </w:rPr>
        <w:t>známá také jako univerzální daň</w:t>
      </w:r>
      <w:r w:rsidR="00AC65BA">
        <w:rPr>
          <w:sz w:val="20"/>
          <w:szCs w:val="20"/>
        </w:rPr>
        <w:t>,</w:t>
      </w:r>
      <w:r w:rsidR="00C65631" w:rsidRPr="00D4705C">
        <w:rPr>
          <w:sz w:val="20"/>
          <w:szCs w:val="20"/>
        </w:rPr>
        <w:t xml:space="preserve"> </w:t>
      </w:r>
      <w:r w:rsidRPr="00D4705C">
        <w:rPr>
          <w:sz w:val="20"/>
          <w:szCs w:val="20"/>
        </w:rPr>
        <w:t xml:space="preserve">je druh </w:t>
      </w:r>
      <w:r w:rsidR="009647CD" w:rsidRPr="00D4705C">
        <w:rPr>
          <w:sz w:val="20"/>
          <w:szCs w:val="20"/>
        </w:rPr>
        <w:t>nepřímé daně, která je obsažena v téměř každém zboží a službách</w:t>
      </w:r>
      <w:r w:rsidR="00AB043D" w:rsidRPr="00D4705C">
        <w:rPr>
          <w:sz w:val="20"/>
          <w:szCs w:val="20"/>
        </w:rPr>
        <w:t xml:space="preserve">. DPH také tvoří nejdůležitější </w:t>
      </w:r>
      <w:r w:rsidR="001C7744" w:rsidRPr="00D4705C">
        <w:rPr>
          <w:sz w:val="20"/>
          <w:szCs w:val="20"/>
        </w:rPr>
        <w:t>příjem</w:t>
      </w:r>
      <w:r w:rsidR="00AB043D" w:rsidRPr="00D4705C">
        <w:rPr>
          <w:sz w:val="20"/>
          <w:szCs w:val="20"/>
        </w:rPr>
        <w:t xml:space="preserve"> státního rozpočtu a je</w:t>
      </w:r>
      <w:r w:rsidR="00062088" w:rsidRPr="00D4705C">
        <w:rPr>
          <w:sz w:val="20"/>
          <w:szCs w:val="20"/>
        </w:rPr>
        <w:t xml:space="preserve"> zakotven</w:t>
      </w:r>
      <w:r w:rsidR="0059404F" w:rsidRPr="00D4705C">
        <w:rPr>
          <w:sz w:val="20"/>
          <w:szCs w:val="20"/>
        </w:rPr>
        <w:t>a</w:t>
      </w:r>
      <w:r w:rsidR="00062088" w:rsidRPr="00D4705C">
        <w:rPr>
          <w:sz w:val="20"/>
          <w:szCs w:val="20"/>
        </w:rPr>
        <w:t xml:space="preserve"> v zákoně č. 235/2004 Sb., o dani z přidané hodnoty.</w:t>
      </w:r>
      <w:r w:rsidR="008C00EB">
        <w:rPr>
          <w:sz w:val="20"/>
          <w:szCs w:val="20"/>
        </w:rPr>
        <w:t xml:space="preserve"> DPH se </w:t>
      </w:r>
      <w:r w:rsidR="002E35B7">
        <w:rPr>
          <w:sz w:val="20"/>
          <w:szCs w:val="20"/>
        </w:rPr>
        <w:t xml:space="preserve">od </w:t>
      </w:r>
      <w:r w:rsidR="008C00EB">
        <w:rPr>
          <w:sz w:val="20"/>
          <w:szCs w:val="20"/>
        </w:rPr>
        <w:t>roku 2019 počítá pomocí matematického výpočtu.</w:t>
      </w:r>
    </w:p>
    <w:p w14:paraId="0EC0DAE0" w14:textId="77777777" w:rsidR="007023EF" w:rsidRPr="009F295C" w:rsidRDefault="007023EF" w:rsidP="003B5281">
      <w:pPr>
        <w:rPr>
          <w:sz w:val="12"/>
          <w:szCs w:val="12"/>
        </w:rPr>
      </w:pPr>
    </w:p>
    <w:p w14:paraId="39CDA4BC" w14:textId="7FFD2EB6" w:rsidR="00060177" w:rsidRPr="00F47068" w:rsidRDefault="00060177" w:rsidP="003B5281">
      <w:pPr>
        <w:rPr>
          <w:sz w:val="24"/>
          <w:szCs w:val="24"/>
          <w:u w:val="single"/>
        </w:rPr>
      </w:pPr>
      <w:r w:rsidRPr="008748C8">
        <w:rPr>
          <w:sz w:val="24"/>
          <w:szCs w:val="24"/>
          <w:highlight w:val="yellow"/>
          <w:u w:val="single"/>
        </w:rPr>
        <w:t>Sazby DPH</w:t>
      </w:r>
      <w:r w:rsidR="00F47068" w:rsidRPr="008748C8">
        <w:rPr>
          <w:sz w:val="24"/>
          <w:szCs w:val="24"/>
          <w:highlight w:val="yellow"/>
          <w:u w:val="single"/>
        </w:rPr>
        <w:t xml:space="preserve"> dělíme</w:t>
      </w:r>
      <w:r w:rsidR="009C627C" w:rsidRPr="008748C8">
        <w:rPr>
          <w:sz w:val="24"/>
          <w:szCs w:val="24"/>
          <w:highlight w:val="yellow"/>
          <w:u w:val="single"/>
        </w:rPr>
        <w:t>:</w:t>
      </w:r>
    </w:p>
    <w:p w14:paraId="5D157732" w14:textId="21F27059" w:rsidR="009C627C" w:rsidRPr="00D4705C" w:rsidRDefault="009C627C" w:rsidP="009C627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4705C">
        <w:rPr>
          <w:sz w:val="20"/>
          <w:szCs w:val="20"/>
        </w:rPr>
        <w:t>Základní sazba 21 %</w:t>
      </w:r>
      <w:r w:rsidR="002D3F85" w:rsidRPr="00D4705C">
        <w:rPr>
          <w:sz w:val="20"/>
          <w:szCs w:val="20"/>
        </w:rPr>
        <w:t xml:space="preserve"> </w:t>
      </w:r>
    </w:p>
    <w:p w14:paraId="1C93F679" w14:textId="17284C31" w:rsidR="009C627C" w:rsidRPr="00D4705C" w:rsidRDefault="009C627C" w:rsidP="009C627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4705C">
        <w:rPr>
          <w:sz w:val="20"/>
          <w:szCs w:val="20"/>
        </w:rPr>
        <w:t>Snížená sazba 15 %</w:t>
      </w:r>
    </w:p>
    <w:p w14:paraId="5F3D2B70" w14:textId="35DF1E09" w:rsidR="009C627C" w:rsidRPr="00D4705C" w:rsidRDefault="009C627C" w:rsidP="009C627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4705C">
        <w:rPr>
          <w:sz w:val="20"/>
          <w:szCs w:val="20"/>
        </w:rPr>
        <w:t xml:space="preserve">Druhá snížená sazba 10 % </w:t>
      </w:r>
    </w:p>
    <w:p w14:paraId="38CFF2D6" w14:textId="58342A5C" w:rsidR="0047523A" w:rsidRPr="00D4705C" w:rsidRDefault="003663EE" w:rsidP="0047523A">
      <w:pPr>
        <w:rPr>
          <w:sz w:val="20"/>
          <w:szCs w:val="20"/>
        </w:rPr>
      </w:pPr>
      <w:r w:rsidRPr="00D4705C">
        <w:rPr>
          <w:sz w:val="20"/>
          <w:szCs w:val="20"/>
        </w:rPr>
        <w:t>N</w:t>
      </w:r>
      <w:r w:rsidR="00FD38FD" w:rsidRPr="00D4705C">
        <w:rPr>
          <w:sz w:val="20"/>
          <w:szCs w:val="20"/>
        </w:rPr>
        <w:t>ěkteré služby jsou od DPH osvobozeny</w:t>
      </w:r>
      <w:r w:rsidRPr="00D4705C">
        <w:rPr>
          <w:sz w:val="20"/>
          <w:szCs w:val="20"/>
        </w:rPr>
        <w:t xml:space="preserve"> </w:t>
      </w:r>
      <w:r w:rsidR="0067213E">
        <w:rPr>
          <w:sz w:val="20"/>
          <w:szCs w:val="20"/>
        </w:rPr>
        <w:t>jako</w:t>
      </w:r>
      <w:r w:rsidRPr="00D4705C">
        <w:rPr>
          <w:sz w:val="20"/>
          <w:szCs w:val="20"/>
        </w:rPr>
        <w:t xml:space="preserve"> například některé poštovní služby </w:t>
      </w:r>
      <w:r w:rsidR="00966DFC" w:rsidRPr="00D4705C">
        <w:rPr>
          <w:sz w:val="20"/>
          <w:szCs w:val="20"/>
        </w:rPr>
        <w:t>(všechny druhy poštovní</w:t>
      </w:r>
      <w:r w:rsidR="009033B0">
        <w:rPr>
          <w:sz w:val="20"/>
          <w:szCs w:val="20"/>
        </w:rPr>
        <w:t>ch</w:t>
      </w:r>
      <w:r w:rsidR="00966DFC" w:rsidRPr="00D4705C">
        <w:rPr>
          <w:sz w:val="20"/>
          <w:szCs w:val="20"/>
        </w:rPr>
        <w:t xml:space="preserve"> </w:t>
      </w:r>
      <w:r w:rsidR="00C00CD8" w:rsidRPr="00D4705C">
        <w:rPr>
          <w:sz w:val="20"/>
          <w:szCs w:val="20"/>
        </w:rPr>
        <w:t>poukáze</w:t>
      </w:r>
      <w:r w:rsidR="00C00CD8">
        <w:rPr>
          <w:sz w:val="20"/>
          <w:szCs w:val="20"/>
        </w:rPr>
        <w:t>k</w:t>
      </w:r>
      <w:r w:rsidR="00095C33" w:rsidRPr="00D4705C">
        <w:rPr>
          <w:sz w:val="20"/>
          <w:szCs w:val="20"/>
        </w:rPr>
        <w:t xml:space="preserve">, obyčejná listovní </w:t>
      </w:r>
      <w:r w:rsidR="00685276" w:rsidRPr="00D4705C">
        <w:rPr>
          <w:sz w:val="20"/>
          <w:szCs w:val="20"/>
        </w:rPr>
        <w:t xml:space="preserve">zásilka, doporučený balík), vzdělání, stravovací </w:t>
      </w:r>
      <w:r w:rsidR="00194D8F" w:rsidRPr="00D4705C">
        <w:rPr>
          <w:sz w:val="20"/>
          <w:szCs w:val="20"/>
        </w:rPr>
        <w:t>služby</w:t>
      </w:r>
      <w:r w:rsidR="007E39F1">
        <w:rPr>
          <w:sz w:val="20"/>
          <w:szCs w:val="20"/>
        </w:rPr>
        <w:t xml:space="preserve"> a</w:t>
      </w:r>
      <w:r w:rsidR="005326EA">
        <w:rPr>
          <w:sz w:val="20"/>
          <w:szCs w:val="20"/>
        </w:rPr>
        <w:t xml:space="preserve"> </w:t>
      </w:r>
      <w:r w:rsidR="00194D8F" w:rsidRPr="00D4705C">
        <w:rPr>
          <w:sz w:val="20"/>
          <w:szCs w:val="20"/>
        </w:rPr>
        <w:t>zdravotnictví</w:t>
      </w:r>
      <w:r w:rsidR="005326EA">
        <w:rPr>
          <w:sz w:val="20"/>
          <w:szCs w:val="20"/>
        </w:rPr>
        <w:t>.</w:t>
      </w:r>
    </w:p>
    <w:p w14:paraId="1765A335" w14:textId="77777777" w:rsidR="00DA0D6E" w:rsidRPr="00CB79AF" w:rsidRDefault="00DA0D6E" w:rsidP="0047523A">
      <w:pPr>
        <w:rPr>
          <w:sz w:val="12"/>
          <w:szCs w:val="12"/>
        </w:rPr>
      </w:pPr>
    </w:p>
    <w:p w14:paraId="04D6BE0C" w14:textId="2C971229" w:rsidR="003B0390" w:rsidRDefault="00CC104C" w:rsidP="0047523A">
      <w:pPr>
        <w:rPr>
          <w:sz w:val="24"/>
          <w:szCs w:val="24"/>
        </w:rPr>
      </w:pPr>
      <w:r w:rsidRPr="008748C8">
        <w:rPr>
          <w:sz w:val="24"/>
          <w:szCs w:val="24"/>
          <w:highlight w:val="yellow"/>
          <w:u w:val="single"/>
        </w:rPr>
        <w:t>Vývoj DPH v</w:t>
      </w:r>
      <w:r w:rsidR="003B2860" w:rsidRPr="008748C8">
        <w:rPr>
          <w:sz w:val="24"/>
          <w:szCs w:val="24"/>
          <w:highlight w:val="yellow"/>
          <w:u w:val="single"/>
        </w:rPr>
        <w:t> </w:t>
      </w:r>
      <w:r w:rsidRPr="008748C8">
        <w:rPr>
          <w:sz w:val="24"/>
          <w:szCs w:val="24"/>
          <w:highlight w:val="yellow"/>
          <w:u w:val="single"/>
        </w:rPr>
        <w:t>Č</w:t>
      </w:r>
      <w:r w:rsidR="003B2860" w:rsidRPr="008748C8">
        <w:rPr>
          <w:sz w:val="24"/>
          <w:szCs w:val="24"/>
          <w:highlight w:val="yellow"/>
          <w:u w:val="single"/>
        </w:rPr>
        <w:t xml:space="preserve">R od roku 1993 </w:t>
      </w:r>
      <w:r w:rsidR="003B0390" w:rsidRPr="008748C8">
        <w:rPr>
          <w:sz w:val="24"/>
          <w:szCs w:val="24"/>
          <w:highlight w:val="yellow"/>
          <w:u w:val="single"/>
        </w:rPr>
        <w:t>–</w:t>
      </w:r>
      <w:r w:rsidR="003B2860" w:rsidRPr="008748C8">
        <w:rPr>
          <w:sz w:val="24"/>
          <w:szCs w:val="24"/>
          <w:highlight w:val="yellow"/>
          <w:u w:val="single"/>
        </w:rPr>
        <w:t xml:space="preserve"> dodnes</w:t>
      </w:r>
    </w:p>
    <w:p w14:paraId="54BDC03C" w14:textId="3E4E6C0F" w:rsidR="00BD5380" w:rsidRPr="007933DE" w:rsidRDefault="001D66F5" w:rsidP="0047523A">
      <w:pPr>
        <w:rPr>
          <w:sz w:val="20"/>
          <w:szCs w:val="20"/>
        </w:rPr>
      </w:pPr>
      <w:r w:rsidRPr="007933DE">
        <w:rPr>
          <w:sz w:val="20"/>
          <w:szCs w:val="20"/>
        </w:rPr>
        <w:t xml:space="preserve">Následující graf zachycuje vývoj </w:t>
      </w:r>
      <w:r w:rsidR="003973A4" w:rsidRPr="007933DE">
        <w:rPr>
          <w:sz w:val="20"/>
          <w:szCs w:val="20"/>
        </w:rPr>
        <w:t>všech sazeb DPH</w:t>
      </w:r>
      <w:r w:rsidR="008832DB" w:rsidRPr="007933DE">
        <w:rPr>
          <w:sz w:val="20"/>
          <w:szCs w:val="20"/>
        </w:rPr>
        <w:t xml:space="preserve"> v ČR. </w:t>
      </w:r>
      <w:r w:rsidR="00551ABE" w:rsidRPr="007933DE">
        <w:rPr>
          <w:sz w:val="20"/>
          <w:szCs w:val="20"/>
        </w:rPr>
        <w:t>Nejvyšší základní sazba byla v roce 1993</w:t>
      </w:r>
      <w:r w:rsidR="007311B1" w:rsidRPr="007933DE">
        <w:rPr>
          <w:sz w:val="20"/>
          <w:szCs w:val="20"/>
        </w:rPr>
        <w:t xml:space="preserve"> </w:t>
      </w:r>
      <w:r w:rsidR="00AF3DB1">
        <w:rPr>
          <w:sz w:val="20"/>
          <w:szCs w:val="20"/>
        </w:rPr>
        <w:t>(</w:t>
      </w:r>
      <w:r w:rsidR="007311B1" w:rsidRPr="007933DE">
        <w:rPr>
          <w:sz w:val="20"/>
          <w:szCs w:val="20"/>
        </w:rPr>
        <w:t>23 %</w:t>
      </w:r>
      <w:r w:rsidR="00AF3DB1">
        <w:rPr>
          <w:sz w:val="20"/>
          <w:szCs w:val="20"/>
        </w:rPr>
        <w:t>)</w:t>
      </w:r>
      <w:r w:rsidR="00551ABE" w:rsidRPr="007933DE">
        <w:rPr>
          <w:sz w:val="20"/>
          <w:szCs w:val="20"/>
        </w:rPr>
        <w:t xml:space="preserve"> a poté klesala až do roku </w:t>
      </w:r>
      <w:r w:rsidR="002D11CF" w:rsidRPr="007933DE">
        <w:rPr>
          <w:sz w:val="20"/>
          <w:szCs w:val="20"/>
        </w:rPr>
        <w:t>20</w:t>
      </w:r>
      <w:r w:rsidR="00BD15B9" w:rsidRPr="007933DE">
        <w:rPr>
          <w:sz w:val="20"/>
          <w:szCs w:val="20"/>
        </w:rPr>
        <w:t>09</w:t>
      </w:r>
      <w:r w:rsidR="00500733">
        <w:rPr>
          <w:sz w:val="20"/>
          <w:szCs w:val="20"/>
        </w:rPr>
        <w:t xml:space="preserve"> </w:t>
      </w:r>
      <w:r w:rsidR="00AF3DB1">
        <w:rPr>
          <w:sz w:val="20"/>
          <w:szCs w:val="20"/>
        </w:rPr>
        <w:t>(</w:t>
      </w:r>
      <w:r w:rsidR="00500733">
        <w:rPr>
          <w:sz w:val="20"/>
          <w:szCs w:val="20"/>
        </w:rPr>
        <w:t>19 %</w:t>
      </w:r>
      <w:r w:rsidR="00AF3DB1">
        <w:rPr>
          <w:sz w:val="20"/>
          <w:szCs w:val="20"/>
        </w:rPr>
        <w:t>)</w:t>
      </w:r>
      <w:r w:rsidR="00643227">
        <w:rPr>
          <w:sz w:val="20"/>
          <w:szCs w:val="20"/>
        </w:rPr>
        <w:t xml:space="preserve">. V </w:t>
      </w:r>
      <w:r w:rsidR="00BD15B9" w:rsidRPr="007933DE">
        <w:rPr>
          <w:sz w:val="20"/>
          <w:szCs w:val="20"/>
        </w:rPr>
        <w:t>ro</w:t>
      </w:r>
      <w:r w:rsidR="00643227">
        <w:rPr>
          <w:sz w:val="20"/>
          <w:szCs w:val="20"/>
        </w:rPr>
        <w:t>ce</w:t>
      </w:r>
      <w:r w:rsidR="00BD15B9" w:rsidRPr="007933DE">
        <w:rPr>
          <w:sz w:val="20"/>
          <w:szCs w:val="20"/>
        </w:rPr>
        <w:t xml:space="preserve"> 2010</w:t>
      </w:r>
      <w:r w:rsidR="002D11CF" w:rsidRPr="007933DE">
        <w:rPr>
          <w:sz w:val="20"/>
          <w:szCs w:val="20"/>
        </w:rPr>
        <w:t xml:space="preserve"> začala</w:t>
      </w:r>
      <w:r w:rsidR="00110F0A">
        <w:rPr>
          <w:sz w:val="20"/>
          <w:szCs w:val="20"/>
        </w:rPr>
        <w:t xml:space="preserve"> sazba DPH</w:t>
      </w:r>
      <w:r w:rsidR="002D11CF" w:rsidRPr="007933DE">
        <w:rPr>
          <w:sz w:val="20"/>
          <w:szCs w:val="20"/>
        </w:rPr>
        <w:t xml:space="preserve"> </w:t>
      </w:r>
      <w:r w:rsidR="008967B4" w:rsidRPr="007933DE">
        <w:rPr>
          <w:sz w:val="20"/>
          <w:szCs w:val="20"/>
        </w:rPr>
        <w:t xml:space="preserve">zase </w:t>
      </w:r>
      <w:r w:rsidR="002D11CF" w:rsidRPr="007933DE">
        <w:rPr>
          <w:sz w:val="20"/>
          <w:szCs w:val="20"/>
        </w:rPr>
        <w:t>stoupat</w:t>
      </w:r>
      <w:r w:rsidR="00110F0A">
        <w:rPr>
          <w:sz w:val="20"/>
          <w:szCs w:val="20"/>
        </w:rPr>
        <w:t xml:space="preserve"> </w:t>
      </w:r>
      <w:r w:rsidR="002D11CF" w:rsidRPr="007933DE">
        <w:rPr>
          <w:sz w:val="20"/>
          <w:szCs w:val="20"/>
        </w:rPr>
        <w:t>až do roku 2013</w:t>
      </w:r>
      <w:r w:rsidR="00110F0A">
        <w:rPr>
          <w:sz w:val="20"/>
          <w:szCs w:val="20"/>
        </w:rPr>
        <w:t>,</w:t>
      </w:r>
      <w:r w:rsidR="002D11CF" w:rsidRPr="007933DE">
        <w:rPr>
          <w:sz w:val="20"/>
          <w:szCs w:val="20"/>
        </w:rPr>
        <w:t xml:space="preserve"> kdy se ustálila na 21 %. </w:t>
      </w:r>
      <w:r w:rsidR="00CB79AF" w:rsidRPr="007933DE">
        <w:rPr>
          <w:sz w:val="20"/>
          <w:szCs w:val="20"/>
        </w:rPr>
        <w:t>Snížená sazba</w:t>
      </w:r>
      <w:r w:rsidR="003810BD" w:rsidRPr="007933DE">
        <w:rPr>
          <w:sz w:val="20"/>
          <w:szCs w:val="20"/>
        </w:rPr>
        <w:t xml:space="preserve"> DPH</w:t>
      </w:r>
      <w:r w:rsidR="00CB79AF" w:rsidRPr="007933DE">
        <w:rPr>
          <w:sz w:val="20"/>
          <w:szCs w:val="20"/>
        </w:rPr>
        <w:t xml:space="preserve"> </w:t>
      </w:r>
      <w:r w:rsidR="00A36506" w:rsidRPr="007933DE">
        <w:rPr>
          <w:sz w:val="20"/>
          <w:szCs w:val="20"/>
        </w:rPr>
        <w:t>byla naopak roku 1993 až do roku 2007 nejnižší</w:t>
      </w:r>
      <w:r w:rsidR="00B52B21" w:rsidRPr="007933DE">
        <w:rPr>
          <w:sz w:val="20"/>
          <w:szCs w:val="20"/>
        </w:rPr>
        <w:t xml:space="preserve"> a postupně se zvyšovala až do 15 %. Druhá snížená sazba </w:t>
      </w:r>
      <w:r w:rsidR="003810BD" w:rsidRPr="007933DE">
        <w:rPr>
          <w:sz w:val="20"/>
          <w:szCs w:val="20"/>
        </w:rPr>
        <w:t xml:space="preserve">DPH </w:t>
      </w:r>
      <w:r w:rsidR="00161F55" w:rsidRPr="007933DE">
        <w:rPr>
          <w:sz w:val="20"/>
          <w:szCs w:val="20"/>
        </w:rPr>
        <w:t xml:space="preserve">je 10 % a </w:t>
      </w:r>
      <w:r w:rsidR="003810BD" w:rsidRPr="007933DE">
        <w:rPr>
          <w:sz w:val="20"/>
          <w:szCs w:val="20"/>
        </w:rPr>
        <w:t>byla zavedena roku 2015</w:t>
      </w:r>
      <w:r w:rsidR="001F3421" w:rsidRPr="007933DE">
        <w:rPr>
          <w:sz w:val="20"/>
          <w:szCs w:val="20"/>
        </w:rPr>
        <w:t>.</w:t>
      </w:r>
    </w:p>
    <w:p w14:paraId="06DC89D8" w14:textId="1D4E56A0" w:rsidR="00DA0D6E" w:rsidRDefault="00BD5380" w:rsidP="0047523A">
      <w:pPr>
        <w:rPr>
          <w:sz w:val="24"/>
          <w:szCs w:val="24"/>
        </w:rPr>
      </w:pPr>
      <w:r w:rsidRPr="00BD5380">
        <w:rPr>
          <w:noProof/>
          <w:sz w:val="24"/>
          <w:szCs w:val="24"/>
          <w:lang w:eastAsia="cs-CZ"/>
        </w:rPr>
        <w:drawing>
          <wp:inline distT="0" distB="0" distL="0" distR="0" wp14:anchorId="615DE8AD" wp14:editId="21BC0172">
            <wp:extent cx="5022850" cy="1581150"/>
            <wp:effectExtent l="0" t="0" r="635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A919109-2F75-4E66-B8E6-5743456520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853C4C" w14:textId="7523E841" w:rsidR="009F295C" w:rsidRDefault="009F295C" w:rsidP="0047523A">
      <w:pPr>
        <w:rPr>
          <w:sz w:val="12"/>
          <w:szCs w:val="12"/>
        </w:rPr>
      </w:pPr>
      <w:r w:rsidRPr="009F295C">
        <w:rPr>
          <w:i/>
          <w:iCs/>
          <w:sz w:val="12"/>
          <w:szCs w:val="12"/>
        </w:rPr>
        <w:t>Zdroj:</w:t>
      </w:r>
      <w:r w:rsidRPr="009F295C">
        <w:rPr>
          <w:sz w:val="12"/>
          <w:szCs w:val="12"/>
        </w:rPr>
        <w:t xml:space="preserve"> Webový portál Kurzy [online] [vid. 9. dubna 2022]. Dostupné z: https://www.kurzy.cz/dph/sazby/?msclkid=924e046cb82011ec98aa5b0639bb69cd, vlastní úprava  </w:t>
      </w:r>
    </w:p>
    <w:p w14:paraId="14C3101A" w14:textId="77777777" w:rsidR="001F3421" w:rsidRDefault="001F3421" w:rsidP="0047523A">
      <w:pPr>
        <w:rPr>
          <w:sz w:val="12"/>
          <w:szCs w:val="12"/>
        </w:rPr>
      </w:pPr>
    </w:p>
    <w:p w14:paraId="2A9BCAEB" w14:textId="6AB57373" w:rsidR="001F3421" w:rsidRDefault="001F3421" w:rsidP="0047523A">
      <w:pPr>
        <w:rPr>
          <w:sz w:val="24"/>
          <w:szCs w:val="24"/>
          <w:u w:val="single"/>
        </w:rPr>
      </w:pPr>
      <w:r w:rsidRPr="008748C8">
        <w:rPr>
          <w:sz w:val="24"/>
          <w:szCs w:val="24"/>
          <w:highlight w:val="yellow"/>
          <w:u w:val="single"/>
        </w:rPr>
        <w:t>Sazby DPH v jednotlivých zemích EU v % (k 1. 1. 2021)</w:t>
      </w:r>
    </w:p>
    <w:p w14:paraId="019EE32D" w14:textId="6CDA8504" w:rsidR="001C019E" w:rsidRPr="003746A0" w:rsidRDefault="003746A0" w:rsidP="0047523A">
      <w:pPr>
        <w:rPr>
          <w:sz w:val="20"/>
          <w:szCs w:val="20"/>
        </w:rPr>
      </w:pPr>
      <w:r w:rsidRPr="003746A0">
        <w:rPr>
          <w:sz w:val="20"/>
          <w:szCs w:val="20"/>
        </w:rPr>
        <w:t>N</w:t>
      </w:r>
      <w:r w:rsidR="007503BC">
        <w:rPr>
          <w:sz w:val="20"/>
          <w:szCs w:val="20"/>
        </w:rPr>
        <w:t xml:space="preserve">a </w:t>
      </w:r>
      <w:r w:rsidR="005A195B">
        <w:rPr>
          <w:sz w:val="20"/>
          <w:szCs w:val="20"/>
        </w:rPr>
        <w:t>tomto</w:t>
      </w:r>
      <w:r w:rsidRPr="003746A0">
        <w:rPr>
          <w:sz w:val="20"/>
          <w:szCs w:val="20"/>
        </w:rPr>
        <w:t xml:space="preserve"> graf</w:t>
      </w:r>
      <w:r w:rsidR="007503BC">
        <w:rPr>
          <w:sz w:val="20"/>
          <w:szCs w:val="20"/>
        </w:rPr>
        <w:t xml:space="preserve">u </w:t>
      </w:r>
      <w:r w:rsidR="009406FF">
        <w:rPr>
          <w:sz w:val="20"/>
          <w:szCs w:val="20"/>
        </w:rPr>
        <w:t>lze vidět všechny sazby DPH v zemích E</w:t>
      </w:r>
      <w:r w:rsidR="0009154A">
        <w:rPr>
          <w:sz w:val="20"/>
          <w:szCs w:val="20"/>
        </w:rPr>
        <w:t>U</w:t>
      </w:r>
      <w:r w:rsidR="009406FF">
        <w:rPr>
          <w:sz w:val="20"/>
          <w:szCs w:val="20"/>
        </w:rPr>
        <w:t xml:space="preserve">. </w:t>
      </w:r>
      <w:r w:rsidR="007B6513">
        <w:rPr>
          <w:sz w:val="20"/>
          <w:szCs w:val="20"/>
        </w:rPr>
        <w:t xml:space="preserve">Kupříkladu v Dánsku je pouze základní sazba DPH </w:t>
      </w:r>
      <w:r w:rsidR="00765D04">
        <w:rPr>
          <w:sz w:val="20"/>
          <w:szCs w:val="20"/>
        </w:rPr>
        <w:t>oproti třeba</w:t>
      </w:r>
      <w:r w:rsidR="007B6513">
        <w:rPr>
          <w:sz w:val="20"/>
          <w:szCs w:val="20"/>
        </w:rPr>
        <w:t> Německ</w:t>
      </w:r>
      <w:r w:rsidR="00765D04">
        <w:rPr>
          <w:sz w:val="20"/>
          <w:szCs w:val="20"/>
        </w:rPr>
        <w:t>a</w:t>
      </w:r>
      <w:r w:rsidR="007B6513">
        <w:rPr>
          <w:sz w:val="20"/>
          <w:szCs w:val="20"/>
        </w:rPr>
        <w:t>,</w:t>
      </w:r>
      <w:r w:rsidR="002E4D2A">
        <w:rPr>
          <w:sz w:val="20"/>
          <w:szCs w:val="20"/>
        </w:rPr>
        <w:t xml:space="preserve"> </w:t>
      </w:r>
      <w:r w:rsidR="00765D04">
        <w:rPr>
          <w:sz w:val="20"/>
          <w:szCs w:val="20"/>
        </w:rPr>
        <w:t>kde mají ještě první sníženou sazbu DPH.</w:t>
      </w:r>
      <w:r w:rsidR="000946A3">
        <w:rPr>
          <w:sz w:val="20"/>
          <w:szCs w:val="20"/>
        </w:rPr>
        <w:t xml:space="preserve"> </w:t>
      </w:r>
      <w:r w:rsidR="002F2216">
        <w:rPr>
          <w:sz w:val="20"/>
          <w:szCs w:val="20"/>
        </w:rPr>
        <w:t>Zajímavostí je</w:t>
      </w:r>
      <w:r w:rsidR="00FF2AD6">
        <w:rPr>
          <w:sz w:val="20"/>
          <w:szCs w:val="20"/>
        </w:rPr>
        <w:t>,</w:t>
      </w:r>
      <w:r w:rsidR="002F2216">
        <w:rPr>
          <w:sz w:val="20"/>
          <w:szCs w:val="20"/>
        </w:rPr>
        <w:t xml:space="preserve"> že d</w:t>
      </w:r>
      <w:r w:rsidR="00717534">
        <w:rPr>
          <w:sz w:val="20"/>
          <w:szCs w:val="20"/>
        </w:rPr>
        <w:t xml:space="preserve">ruhá snížená sazba </w:t>
      </w:r>
      <w:r w:rsidR="002F2216">
        <w:rPr>
          <w:sz w:val="20"/>
          <w:szCs w:val="20"/>
        </w:rPr>
        <w:t xml:space="preserve">DPH </w:t>
      </w:r>
      <w:r w:rsidR="00FF2AD6">
        <w:rPr>
          <w:sz w:val="20"/>
          <w:szCs w:val="20"/>
        </w:rPr>
        <w:t>nesmí být nižší než 5 %.</w:t>
      </w:r>
      <w:r w:rsidR="00D776C5">
        <w:rPr>
          <w:sz w:val="20"/>
          <w:szCs w:val="20"/>
        </w:rPr>
        <w:t xml:space="preserve"> </w:t>
      </w:r>
      <w:r w:rsidR="00F81B2F">
        <w:rPr>
          <w:sz w:val="20"/>
          <w:szCs w:val="20"/>
        </w:rPr>
        <w:t xml:space="preserve">Důležité zmínit je </w:t>
      </w:r>
      <w:r w:rsidR="00301407">
        <w:rPr>
          <w:sz w:val="20"/>
          <w:szCs w:val="20"/>
        </w:rPr>
        <w:t>že každá země má s</w:t>
      </w:r>
      <w:r w:rsidR="0051707D">
        <w:rPr>
          <w:sz w:val="20"/>
          <w:szCs w:val="20"/>
        </w:rPr>
        <w:t>voj</w:t>
      </w:r>
      <w:r w:rsidR="00301407">
        <w:rPr>
          <w:sz w:val="20"/>
          <w:szCs w:val="20"/>
        </w:rPr>
        <w:t xml:space="preserve">í DPH v jiné podobě např. VAT, </w:t>
      </w:r>
      <w:r w:rsidR="0035178B">
        <w:rPr>
          <w:sz w:val="20"/>
          <w:szCs w:val="20"/>
        </w:rPr>
        <w:t>PVM</w:t>
      </w:r>
      <w:r w:rsidR="00880CEA">
        <w:rPr>
          <w:sz w:val="20"/>
          <w:szCs w:val="20"/>
        </w:rPr>
        <w:t>, IVA...</w:t>
      </w:r>
    </w:p>
    <w:p w14:paraId="430F940A" w14:textId="69196EA6" w:rsidR="00E00206" w:rsidRDefault="00D4705C" w:rsidP="0047523A">
      <w:pPr>
        <w:rPr>
          <w:sz w:val="24"/>
          <w:szCs w:val="24"/>
          <w:u w:val="single"/>
        </w:rPr>
      </w:pPr>
      <w:r w:rsidRPr="00D4705C">
        <w:rPr>
          <w:noProof/>
          <w:sz w:val="24"/>
          <w:szCs w:val="24"/>
          <w:u w:val="single"/>
          <w:lang w:eastAsia="cs-CZ"/>
        </w:rPr>
        <w:drawing>
          <wp:inline distT="0" distB="0" distL="0" distR="0" wp14:anchorId="4B14F204" wp14:editId="57ACE5BC">
            <wp:extent cx="5471795" cy="1699895"/>
            <wp:effectExtent l="0" t="0" r="14605" b="1460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C109B016-62BF-4F4C-BA45-F3BF43961A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EC7B33" w14:textId="2B128A46" w:rsidR="001C019E" w:rsidRPr="004C3262" w:rsidRDefault="002353D2" w:rsidP="0047523A">
      <w:pPr>
        <w:rPr>
          <w:sz w:val="12"/>
          <w:szCs w:val="12"/>
        </w:rPr>
      </w:pPr>
      <w:r w:rsidRPr="002353D2">
        <w:rPr>
          <w:i/>
          <w:iCs/>
          <w:sz w:val="12"/>
          <w:szCs w:val="12"/>
        </w:rPr>
        <w:t>Zdroj</w:t>
      </w:r>
      <w:r w:rsidRPr="002353D2">
        <w:rPr>
          <w:sz w:val="12"/>
          <w:szCs w:val="12"/>
        </w:rPr>
        <w:t>: Webový portál Europa [online] [vid. 9. dubna 2022]. Dostupné z: https://europa.eu/youreurope/business/taxation/vat/vat-rules-rates/index_cs.htm#shortcut-9, vlastní úprava</w:t>
      </w:r>
    </w:p>
    <w:p w14:paraId="25D9687A" w14:textId="594158FE" w:rsidR="00E81B7E" w:rsidRDefault="00E81B7E" w:rsidP="0047523A">
      <w:pPr>
        <w:rPr>
          <w:sz w:val="24"/>
          <w:szCs w:val="24"/>
          <w:u w:val="single"/>
        </w:rPr>
      </w:pPr>
      <w:r w:rsidRPr="008748C8">
        <w:rPr>
          <w:sz w:val="24"/>
          <w:szCs w:val="24"/>
          <w:highlight w:val="yellow"/>
          <w:u w:val="single"/>
        </w:rPr>
        <w:lastRenderedPageBreak/>
        <w:t>Vývoj inkasa DPH v ČR (v mil. Kč)</w:t>
      </w:r>
    </w:p>
    <w:p w14:paraId="08341FB7" w14:textId="241F284E" w:rsidR="000B49D2" w:rsidRPr="000B49D2" w:rsidRDefault="00FD5F76" w:rsidP="0047523A">
      <w:pPr>
        <w:rPr>
          <w:sz w:val="20"/>
          <w:szCs w:val="20"/>
        </w:rPr>
      </w:pPr>
      <w:r w:rsidRPr="00FD5F76">
        <w:rPr>
          <w:sz w:val="20"/>
          <w:szCs w:val="20"/>
        </w:rPr>
        <w:t>Zde na grafu můžeme vidět vývoj inkasa sazby DPH v České republice, a to v</w:t>
      </w:r>
      <w:r w:rsidR="00BA6074">
        <w:rPr>
          <w:sz w:val="20"/>
          <w:szCs w:val="20"/>
        </w:rPr>
        <w:t> </w:t>
      </w:r>
      <w:r w:rsidRPr="00FD5F76">
        <w:rPr>
          <w:sz w:val="20"/>
          <w:szCs w:val="20"/>
        </w:rPr>
        <w:t>mil</w:t>
      </w:r>
      <w:r w:rsidR="00BA6074">
        <w:rPr>
          <w:sz w:val="20"/>
          <w:szCs w:val="20"/>
        </w:rPr>
        <w:t>.</w:t>
      </w:r>
      <w:r w:rsidR="0081343D">
        <w:rPr>
          <w:sz w:val="20"/>
          <w:szCs w:val="20"/>
        </w:rPr>
        <w:t xml:space="preserve"> Kč</w:t>
      </w:r>
      <w:r w:rsidRPr="00FD5F76">
        <w:rPr>
          <w:sz w:val="20"/>
          <w:szCs w:val="20"/>
        </w:rPr>
        <w:t xml:space="preserve">. </w:t>
      </w:r>
      <w:r w:rsidR="00FE4C62">
        <w:rPr>
          <w:sz w:val="20"/>
          <w:szCs w:val="20"/>
        </w:rPr>
        <w:t>Jeden z</w:t>
      </w:r>
      <w:r w:rsidR="00AF577D">
        <w:rPr>
          <w:sz w:val="20"/>
          <w:szCs w:val="20"/>
        </w:rPr>
        <w:t xml:space="preserve"> nejvýraznějších </w:t>
      </w:r>
      <w:r w:rsidR="00FE4C62">
        <w:rPr>
          <w:sz w:val="20"/>
          <w:szCs w:val="20"/>
        </w:rPr>
        <w:t xml:space="preserve">poklesů inkasa byl v roce </w:t>
      </w:r>
      <w:r w:rsidRPr="00FD5F76">
        <w:rPr>
          <w:sz w:val="20"/>
          <w:szCs w:val="20"/>
        </w:rPr>
        <w:t xml:space="preserve">2020 </w:t>
      </w:r>
      <w:r w:rsidR="00FE4C62">
        <w:rPr>
          <w:sz w:val="20"/>
          <w:szCs w:val="20"/>
        </w:rPr>
        <w:t xml:space="preserve">a to </w:t>
      </w:r>
      <w:r w:rsidRPr="00FD5F76">
        <w:rPr>
          <w:sz w:val="20"/>
          <w:szCs w:val="20"/>
        </w:rPr>
        <w:t>nejspíš z důvodu pandemie covid 19</w:t>
      </w:r>
      <w:r w:rsidR="00BA6074">
        <w:rPr>
          <w:sz w:val="20"/>
          <w:szCs w:val="20"/>
        </w:rPr>
        <w:t>,</w:t>
      </w:r>
      <w:r w:rsidR="00287AB3">
        <w:rPr>
          <w:sz w:val="20"/>
          <w:szCs w:val="20"/>
        </w:rPr>
        <w:t xml:space="preserve"> kdy došlo k poklesu na 426 198 mil. Kč.</w:t>
      </w:r>
    </w:p>
    <w:p w14:paraId="684932A0" w14:textId="61015C34" w:rsidR="00E81B7E" w:rsidRDefault="001C019E" w:rsidP="0047523A">
      <w:pPr>
        <w:rPr>
          <w:sz w:val="24"/>
          <w:szCs w:val="24"/>
          <w:u w:val="single"/>
        </w:rPr>
      </w:pPr>
      <w:r w:rsidRPr="001C019E">
        <w:rPr>
          <w:noProof/>
          <w:sz w:val="24"/>
          <w:szCs w:val="24"/>
          <w:u w:val="single"/>
          <w:lang w:eastAsia="cs-CZ"/>
        </w:rPr>
        <w:drawing>
          <wp:inline distT="0" distB="0" distL="0" distR="0" wp14:anchorId="0C3B1D05" wp14:editId="757D3D84">
            <wp:extent cx="5702300" cy="2076450"/>
            <wp:effectExtent l="0" t="0" r="1270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5E5538D7-6A16-4BB4-828B-B7050E79C9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060DCE" w14:textId="470A52E6" w:rsidR="004903EE" w:rsidRDefault="004903EE" w:rsidP="0047523A">
      <w:pPr>
        <w:rPr>
          <w:sz w:val="12"/>
          <w:szCs w:val="12"/>
        </w:rPr>
      </w:pPr>
      <w:r w:rsidRPr="004903EE">
        <w:rPr>
          <w:i/>
          <w:iCs/>
          <w:sz w:val="12"/>
          <w:szCs w:val="12"/>
        </w:rPr>
        <w:t>Zdroj</w:t>
      </w:r>
      <w:r w:rsidRPr="004903EE">
        <w:rPr>
          <w:sz w:val="12"/>
          <w:szCs w:val="12"/>
        </w:rPr>
        <w:t xml:space="preserve">: Webový portál Finanční správa [online] [vid. 9. dubna 2022]. Dostupné z: https://www.financnisprava.cz/cs/dane/analyzy-a-statistiky/udaje-z-vyberu-dani, vlastní úprava  </w:t>
      </w:r>
    </w:p>
    <w:p w14:paraId="2779A022" w14:textId="77777777" w:rsidR="00153333" w:rsidRDefault="00153333" w:rsidP="0047523A">
      <w:pPr>
        <w:rPr>
          <w:sz w:val="12"/>
          <w:szCs w:val="12"/>
        </w:rPr>
      </w:pPr>
    </w:p>
    <w:p w14:paraId="3BF794EC" w14:textId="1E4D64FD" w:rsidR="00395822" w:rsidRDefault="00395822" w:rsidP="0047523A">
      <w:pPr>
        <w:rPr>
          <w:sz w:val="24"/>
          <w:szCs w:val="24"/>
          <w:u w:val="single"/>
        </w:rPr>
      </w:pPr>
      <w:r w:rsidRPr="008748C8">
        <w:rPr>
          <w:sz w:val="24"/>
          <w:szCs w:val="24"/>
          <w:highlight w:val="yellow"/>
          <w:u w:val="single"/>
        </w:rPr>
        <w:t>Hodnota DPH u pohonných hmot v ČR (k 14. 3. 2022)</w:t>
      </w:r>
    </w:p>
    <w:p w14:paraId="7D8D4F8D" w14:textId="16B0FF5B" w:rsidR="00A45FFA" w:rsidRPr="00A45FFA" w:rsidRDefault="00A306E1" w:rsidP="0047523A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7830A0">
        <w:rPr>
          <w:sz w:val="20"/>
          <w:szCs w:val="20"/>
        </w:rPr>
        <w:t> ČR pohonné hmoty spadají pod 21 %</w:t>
      </w:r>
      <w:r w:rsidR="00495E89">
        <w:rPr>
          <w:sz w:val="20"/>
          <w:szCs w:val="20"/>
        </w:rPr>
        <w:t xml:space="preserve"> sazbu DPH a v následující tabulce </w:t>
      </w:r>
      <w:r w:rsidR="0090483E">
        <w:rPr>
          <w:sz w:val="20"/>
          <w:szCs w:val="20"/>
        </w:rPr>
        <w:t>je</w:t>
      </w:r>
      <w:r w:rsidR="00495E89">
        <w:rPr>
          <w:sz w:val="20"/>
          <w:szCs w:val="20"/>
        </w:rPr>
        <w:t xml:space="preserve"> </w:t>
      </w:r>
      <w:r w:rsidR="00875705">
        <w:rPr>
          <w:sz w:val="20"/>
          <w:szCs w:val="20"/>
        </w:rPr>
        <w:t>průměrná cena pohonných hmot</w:t>
      </w:r>
      <w:r w:rsidR="005E6CA6">
        <w:rPr>
          <w:sz w:val="20"/>
          <w:szCs w:val="20"/>
        </w:rPr>
        <w:t>. Lze vidět kolik je tedy cena po odečtení obou nepří</w:t>
      </w:r>
      <w:r w:rsidR="0055744D">
        <w:rPr>
          <w:sz w:val="20"/>
          <w:szCs w:val="20"/>
        </w:rPr>
        <w:t>m</w:t>
      </w:r>
      <w:r w:rsidR="005E6CA6">
        <w:rPr>
          <w:sz w:val="20"/>
          <w:szCs w:val="20"/>
        </w:rPr>
        <w:t>ých daní a jak</w:t>
      </w:r>
      <w:r w:rsidR="00564E70">
        <w:rPr>
          <w:sz w:val="20"/>
          <w:szCs w:val="20"/>
        </w:rPr>
        <w:t>á částka z ceny se odvádí státu</w:t>
      </w:r>
      <w:r w:rsidR="00982EF9">
        <w:rPr>
          <w:sz w:val="20"/>
          <w:szCs w:val="20"/>
        </w:rPr>
        <w:t>. Odvod státu je tedy tvořen spotřební daní</w:t>
      </w:r>
      <w:r w:rsidR="000A3EF5">
        <w:rPr>
          <w:sz w:val="20"/>
          <w:szCs w:val="20"/>
        </w:rPr>
        <w:t>, která je pevně stanovena</w:t>
      </w:r>
      <w:r w:rsidR="00145844">
        <w:rPr>
          <w:sz w:val="20"/>
          <w:szCs w:val="20"/>
        </w:rPr>
        <w:t>,</w:t>
      </w:r>
      <w:r w:rsidR="000A3EF5">
        <w:rPr>
          <w:sz w:val="20"/>
          <w:szCs w:val="20"/>
        </w:rPr>
        <w:t xml:space="preserve"> a DPH</w:t>
      </w:r>
      <w:r w:rsidR="00F94BB0">
        <w:rPr>
          <w:sz w:val="20"/>
          <w:szCs w:val="20"/>
        </w:rPr>
        <w:t>.</w:t>
      </w:r>
    </w:p>
    <w:p w14:paraId="30673806" w14:textId="0756436D" w:rsidR="00395822" w:rsidRDefault="00A45FFA" w:rsidP="0047523A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 wp14:anchorId="4C1FF2A0" wp14:editId="58B67AAE">
            <wp:extent cx="4539719" cy="13779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919" cy="13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B3ED" w14:textId="3299C44E" w:rsidR="00A45FFA" w:rsidRPr="00E5430A" w:rsidRDefault="00110B0E" w:rsidP="0047523A">
      <w:pPr>
        <w:rPr>
          <w:sz w:val="12"/>
          <w:szCs w:val="12"/>
        </w:rPr>
      </w:pPr>
      <w:r w:rsidRPr="00E5430A">
        <w:rPr>
          <w:i/>
          <w:iCs/>
          <w:sz w:val="12"/>
          <w:szCs w:val="12"/>
        </w:rPr>
        <w:t>Zdroj</w:t>
      </w:r>
      <w:r w:rsidRPr="00E5430A">
        <w:rPr>
          <w:sz w:val="12"/>
          <w:szCs w:val="12"/>
        </w:rPr>
        <w:t>: Webový portál Měšec [online] [vid. 9. dubna 2022]. Dostupné z: https://www.mesec.cz/clanky/benzinova-a-naftova-drahota-z-ceho-se-skladaji-ceny-pohonnych-hmot/?msclkid=0fb114e5b81611ec8e40a1eeb663ab3a, vlastní úprava</w:t>
      </w:r>
    </w:p>
    <w:p w14:paraId="5478B103" w14:textId="77777777" w:rsidR="00110B0E" w:rsidRPr="00A45FFA" w:rsidRDefault="00110B0E" w:rsidP="0047523A">
      <w:pPr>
        <w:rPr>
          <w:sz w:val="12"/>
          <w:szCs w:val="12"/>
        </w:rPr>
      </w:pPr>
    </w:p>
    <w:p w14:paraId="43E47651" w14:textId="75FA52CF" w:rsidR="00153333" w:rsidRDefault="00153333" w:rsidP="0047523A">
      <w:pPr>
        <w:rPr>
          <w:sz w:val="24"/>
          <w:szCs w:val="24"/>
          <w:u w:val="single"/>
        </w:rPr>
      </w:pPr>
      <w:r w:rsidRPr="008748C8">
        <w:rPr>
          <w:sz w:val="24"/>
          <w:szCs w:val="24"/>
          <w:highlight w:val="yellow"/>
          <w:u w:val="single"/>
        </w:rPr>
        <w:t>Snížení sazby DPH v Polsku (od 1. 2. 2022)</w:t>
      </w:r>
    </w:p>
    <w:p w14:paraId="6D518717" w14:textId="08B42E9D" w:rsidR="00CD5597" w:rsidRDefault="00BF765F" w:rsidP="0047523A">
      <w:pPr>
        <w:rPr>
          <w:sz w:val="20"/>
          <w:szCs w:val="20"/>
        </w:rPr>
      </w:pPr>
      <w:r w:rsidRPr="00BF765F">
        <w:rPr>
          <w:sz w:val="20"/>
          <w:szCs w:val="20"/>
        </w:rPr>
        <w:t>Hlavní důvo</w:t>
      </w:r>
      <w:r w:rsidR="00334085">
        <w:rPr>
          <w:sz w:val="20"/>
          <w:szCs w:val="20"/>
        </w:rPr>
        <w:t>dem snížení sazeb DPH v Polsku bylo,</w:t>
      </w:r>
      <w:r w:rsidRPr="00BF765F">
        <w:rPr>
          <w:sz w:val="20"/>
          <w:szCs w:val="20"/>
        </w:rPr>
        <w:t xml:space="preserve"> aby zmírnili rostoucí inflaci</w:t>
      </w:r>
      <w:r w:rsidR="00475864">
        <w:rPr>
          <w:sz w:val="20"/>
          <w:szCs w:val="20"/>
        </w:rPr>
        <w:t>,</w:t>
      </w:r>
      <w:r w:rsidR="001C5D42">
        <w:rPr>
          <w:sz w:val="20"/>
          <w:szCs w:val="20"/>
        </w:rPr>
        <w:t xml:space="preserve"> jelikož v</w:t>
      </w:r>
      <w:r w:rsidR="00F20DA5">
        <w:rPr>
          <w:sz w:val="20"/>
          <w:szCs w:val="20"/>
        </w:rPr>
        <w:t> </w:t>
      </w:r>
      <w:r w:rsidR="001C5D42">
        <w:rPr>
          <w:sz w:val="20"/>
          <w:szCs w:val="20"/>
        </w:rPr>
        <w:t>říjnu</w:t>
      </w:r>
      <w:r w:rsidR="00F20DA5">
        <w:rPr>
          <w:sz w:val="20"/>
          <w:szCs w:val="20"/>
        </w:rPr>
        <w:t xml:space="preserve"> (2</w:t>
      </w:r>
      <w:r w:rsidR="006E1FDE">
        <w:rPr>
          <w:sz w:val="20"/>
          <w:szCs w:val="20"/>
        </w:rPr>
        <w:t>021)</w:t>
      </w:r>
      <w:r w:rsidR="001C5D42">
        <w:rPr>
          <w:sz w:val="20"/>
          <w:szCs w:val="20"/>
        </w:rPr>
        <w:t xml:space="preserve"> inflace dosahoval</w:t>
      </w:r>
      <w:r w:rsidR="00865BC1">
        <w:rPr>
          <w:sz w:val="20"/>
          <w:szCs w:val="20"/>
        </w:rPr>
        <w:t>a</w:t>
      </w:r>
      <w:r w:rsidR="001C5D42">
        <w:rPr>
          <w:sz w:val="20"/>
          <w:szCs w:val="20"/>
        </w:rPr>
        <w:t xml:space="preserve"> hodnot 6,</w:t>
      </w:r>
      <w:r w:rsidR="00824A5D">
        <w:rPr>
          <w:sz w:val="20"/>
          <w:szCs w:val="20"/>
        </w:rPr>
        <w:t xml:space="preserve">8 </w:t>
      </w:r>
      <w:r w:rsidR="00D03891">
        <w:rPr>
          <w:sz w:val="20"/>
          <w:szCs w:val="20"/>
        </w:rPr>
        <w:t>%</w:t>
      </w:r>
      <w:r w:rsidR="00CE61F0">
        <w:rPr>
          <w:sz w:val="20"/>
          <w:szCs w:val="20"/>
        </w:rPr>
        <w:t xml:space="preserve"> a v</w:t>
      </w:r>
      <w:r w:rsidR="006E1FDE">
        <w:rPr>
          <w:sz w:val="20"/>
          <w:szCs w:val="20"/>
        </w:rPr>
        <w:t> </w:t>
      </w:r>
      <w:r w:rsidR="00CE61F0">
        <w:rPr>
          <w:sz w:val="20"/>
          <w:szCs w:val="20"/>
        </w:rPr>
        <w:t>listopadu</w:t>
      </w:r>
      <w:r w:rsidR="006E1FDE">
        <w:rPr>
          <w:sz w:val="20"/>
          <w:szCs w:val="20"/>
        </w:rPr>
        <w:t xml:space="preserve"> (2021)</w:t>
      </w:r>
      <w:r w:rsidR="00CE61F0">
        <w:rPr>
          <w:sz w:val="20"/>
          <w:szCs w:val="20"/>
        </w:rPr>
        <w:t xml:space="preserve"> dosáhla </w:t>
      </w:r>
      <w:r w:rsidR="005758CE">
        <w:rPr>
          <w:sz w:val="20"/>
          <w:szCs w:val="20"/>
        </w:rPr>
        <w:t>úrovně 7,</w:t>
      </w:r>
      <w:r w:rsidR="008E18E7">
        <w:rPr>
          <w:sz w:val="20"/>
          <w:szCs w:val="20"/>
        </w:rPr>
        <w:t xml:space="preserve">8 </w:t>
      </w:r>
      <w:r w:rsidR="00D03891">
        <w:rPr>
          <w:sz w:val="20"/>
          <w:szCs w:val="20"/>
        </w:rPr>
        <w:t>%</w:t>
      </w:r>
      <w:r w:rsidR="00674DEF">
        <w:rPr>
          <w:sz w:val="20"/>
          <w:szCs w:val="20"/>
        </w:rPr>
        <w:t xml:space="preserve">. </w:t>
      </w:r>
      <w:r w:rsidR="003D46B9">
        <w:rPr>
          <w:sz w:val="20"/>
          <w:szCs w:val="20"/>
        </w:rPr>
        <w:t>V minulém roce</w:t>
      </w:r>
      <w:r w:rsidR="005F6926">
        <w:rPr>
          <w:sz w:val="20"/>
          <w:szCs w:val="20"/>
        </w:rPr>
        <w:t xml:space="preserve"> (2021)</w:t>
      </w:r>
      <w:r w:rsidR="003D46B9">
        <w:rPr>
          <w:sz w:val="20"/>
          <w:szCs w:val="20"/>
        </w:rPr>
        <w:t xml:space="preserve"> p</w:t>
      </w:r>
      <w:r w:rsidR="00674DEF">
        <w:rPr>
          <w:sz w:val="20"/>
          <w:szCs w:val="20"/>
        </w:rPr>
        <w:t>olská vláda předpoklá</w:t>
      </w:r>
      <w:r w:rsidR="003D46B9">
        <w:rPr>
          <w:sz w:val="20"/>
          <w:szCs w:val="20"/>
        </w:rPr>
        <w:t>dala</w:t>
      </w:r>
      <w:r w:rsidR="00674DEF">
        <w:rPr>
          <w:sz w:val="20"/>
          <w:szCs w:val="20"/>
        </w:rPr>
        <w:t xml:space="preserve"> </w:t>
      </w:r>
      <w:r w:rsidR="008E5ACC">
        <w:rPr>
          <w:sz w:val="20"/>
          <w:szCs w:val="20"/>
        </w:rPr>
        <w:t xml:space="preserve">že by </w:t>
      </w:r>
      <w:r w:rsidR="003D46B9">
        <w:rPr>
          <w:sz w:val="20"/>
          <w:szCs w:val="20"/>
        </w:rPr>
        <w:t xml:space="preserve">se </w:t>
      </w:r>
      <w:r w:rsidR="008E5ACC">
        <w:rPr>
          <w:sz w:val="20"/>
          <w:szCs w:val="20"/>
        </w:rPr>
        <w:t xml:space="preserve">inflace </w:t>
      </w:r>
      <w:r w:rsidR="005F6926">
        <w:rPr>
          <w:sz w:val="20"/>
          <w:szCs w:val="20"/>
        </w:rPr>
        <w:t xml:space="preserve">v letošním roce (2022) </w:t>
      </w:r>
      <w:r w:rsidR="003D2C6F">
        <w:rPr>
          <w:sz w:val="20"/>
          <w:szCs w:val="20"/>
        </w:rPr>
        <w:t xml:space="preserve">mohla dostat </w:t>
      </w:r>
      <w:r w:rsidR="00743E92">
        <w:rPr>
          <w:sz w:val="20"/>
          <w:szCs w:val="20"/>
        </w:rPr>
        <w:t xml:space="preserve">až na 8,3 </w:t>
      </w:r>
      <w:r w:rsidR="00D03891">
        <w:rPr>
          <w:sz w:val="20"/>
          <w:szCs w:val="20"/>
        </w:rPr>
        <w:t>%</w:t>
      </w:r>
      <w:r w:rsidR="00475864">
        <w:rPr>
          <w:sz w:val="20"/>
          <w:szCs w:val="20"/>
        </w:rPr>
        <w:t xml:space="preserve"> čemuž chtěli zabránit</w:t>
      </w:r>
      <w:r w:rsidR="00122792">
        <w:rPr>
          <w:sz w:val="20"/>
          <w:szCs w:val="20"/>
        </w:rPr>
        <w:t xml:space="preserve"> právě formou snížení DPH </w:t>
      </w:r>
      <w:r w:rsidR="00B3523D">
        <w:rPr>
          <w:sz w:val="20"/>
          <w:szCs w:val="20"/>
        </w:rPr>
        <w:t>u určitých produktů</w:t>
      </w:r>
      <w:r w:rsidR="004D5331">
        <w:rPr>
          <w:sz w:val="20"/>
          <w:szCs w:val="20"/>
        </w:rPr>
        <w:t xml:space="preserve"> </w:t>
      </w:r>
      <w:r w:rsidR="00605ED6">
        <w:rPr>
          <w:sz w:val="20"/>
          <w:szCs w:val="20"/>
        </w:rPr>
        <w:t>na 0</w:t>
      </w:r>
      <w:r w:rsidR="00D03891">
        <w:rPr>
          <w:sz w:val="20"/>
          <w:szCs w:val="20"/>
        </w:rPr>
        <w:t xml:space="preserve"> %</w:t>
      </w:r>
      <w:r w:rsidR="00605ED6">
        <w:rPr>
          <w:sz w:val="20"/>
          <w:szCs w:val="20"/>
        </w:rPr>
        <w:t>.</w:t>
      </w:r>
      <w:r w:rsidR="00BE2921">
        <w:rPr>
          <w:sz w:val="20"/>
          <w:szCs w:val="20"/>
        </w:rPr>
        <w:t xml:space="preserve"> </w:t>
      </w:r>
      <w:r w:rsidR="00FA6EC2">
        <w:rPr>
          <w:sz w:val="20"/>
          <w:szCs w:val="20"/>
        </w:rPr>
        <w:t xml:space="preserve">Toto opatření </w:t>
      </w:r>
      <w:r w:rsidR="0002429F">
        <w:rPr>
          <w:sz w:val="20"/>
          <w:szCs w:val="20"/>
        </w:rPr>
        <w:t xml:space="preserve">dle ekonomů </w:t>
      </w:r>
      <w:r w:rsidR="007472F2">
        <w:rPr>
          <w:sz w:val="20"/>
          <w:szCs w:val="20"/>
        </w:rPr>
        <w:t>může působit i proinflačně</w:t>
      </w:r>
      <w:r w:rsidR="002D6C41">
        <w:rPr>
          <w:sz w:val="20"/>
          <w:szCs w:val="20"/>
        </w:rPr>
        <w:t>,</w:t>
      </w:r>
      <w:r w:rsidR="00C47057">
        <w:rPr>
          <w:sz w:val="20"/>
          <w:szCs w:val="20"/>
        </w:rPr>
        <w:t xml:space="preserve"> </w:t>
      </w:r>
      <w:r w:rsidR="005F1E3F">
        <w:rPr>
          <w:sz w:val="20"/>
          <w:szCs w:val="20"/>
        </w:rPr>
        <w:t>navíc</w:t>
      </w:r>
      <w:r w:rsidR="00C47057">
        <w:rPr>
          <w:sz w:val="20"/>
          <w:szCs w:val="20"/>
        </w:rPr>
        <w:t xml:space="preserve"> to způsobí zatížení jejich rozpočtu.  </w:t>
      </w:r>
    </w:p>
    <w:p w14:paraId="62B8D5F5" w14:textId="6EA6EDEF" w:rsidR="0061161D" w:rsidRPr="00CD5597" w:rsidRDefault="0061161D" w:rsidP="0061161D">
      <w:pPr>
        <w:jc w:val="right"/>
        <w:rPr>
          <w:sz w:val="20"/>
          <w:szCs w:val="20"/>
        </w:rPr>
      </w:pPr>
    </w:p>
    <w:sectPr w:rsidR="0061161D" w:rsidRPr="00CD55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CDA2" w14:textId="77777777" w:rsidR="0097594B" w:rsidRDefault="0097594B" w:rsidP="00A3360D">
      <w:pPr>
        <w:spacing w:after="0" w:line="240" w:lineRule="auto"/>
      </w:pPr>
      <w:r>
        <w:separator/>
      </w:r>
    </w:p>
  </w:endnote>
  <w:endnote w:type="continuationSeparator" w:id="0">
    <w:p w14:paraId="52A09F18" w14:textId="77777777" w:rsidR="0097594B" w:rsidRDefault="0097594B" w:rsidP="00A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513" w14:textId="150442A5" w:rsidR="00AD5178" w:rsidRPr="00002753" w:rsidRDefault="00AD5178">
    <w:pPr>
      <w:pStyle w:val="Zpat"/>
      <w:rPr>
        <w:sz w:val="20"/>
        <w:szCs w:val="20"/>
      </w:rPr>
    </w:pPr>
    <w:r w:rsidRPr="00002753">
      <w:rPr>
        <w:sz w:val="20"/>
        <w:szCs w:val="20"/>
      </w:rPr>
      <w:t xml:space="preserve">Zdroje: </w:t>
    </w:r>
    <w:r w:rsidR="00E951F7" w:rsidRPr="00002753">
      <w:rPr>
        <w:sz w:val="16"/>
        <w:szCs w:val="16"/>
      </w:rPr>
      <w:t>https://www.zakonyprolidi.cz/cs/2004-235?msclkid=a2d5012bb82011ec91b4202e932dc407</w:t>
    </w:r>
  </w:p>
  <w:p w14:paraId="146F26FA" w14:textId="409E74A3" w:rsidR="00AD5178" w:rsidRPr="00002753" w:rsidRDefault="0044725B">
    <w:pPr>
      <w:pStyle w:val="Zpat"/>
      <w:rPr>
        <w:sz w:val="18"/>
        <w:szCs w:val="18"/>
      </w:rPr>
    </w:pPr>
    <w:r w:rsidRPr="00002753">
      <w:rPr>
        <w:sz w:val="16"/>
        <w:szCs w:val="16"/>
      </w:rPr>
      <w:t xml:space="preserve">               </w:t>
    </w:r>
    <w:r w:rsidR="00002753">
      <w:rPr>
        <w:sz w:val="16"/>
        <w:szCs w:val="16"/>
      </w:rPr>
      <w:t xml:space="preserve"> </w:t>
    </w:r>
    <w:r w:rsidRPr="00002753">
      <w:rPr>
        <w:sz w:val="16"/>
        <w:szCs w:val="16"/>
      </w:rPr>
      <w:t xml:space="preserve"> </w:t>
    </w:r>
    <w:r w:rsidR="001C7E9C" w:rsidRPr="00002753">
      <w:rPr>
        <w:sz w:val="16"/>
        <w:szCs w:val="16"/>
      </w:rPr>
      <w:t>https://www.moneta.cz/kalkulacky/kalkulacka-dph?msclkid=9a0af892b82011ec8411a7464393b021</w:t>
    </w:r>
  </w:p>
  <w:p w14:paraId="62C8EC20" w14:textId="458F79FB" w:rsidR="0044725B" w:rsidRDefault="0044725B" w:rsidP="0044725B">
    <w:pPr>
      <w:pStyle w:val="Zpat"/>
      <w:rPr>
        <w:sz w:val="16"/>
        <w:szCs w:val="16"/>
      </w:rPr>
    </w:pPr>
    <w:r w:rsidRPr="00002753">
      <w:rPr>
        <w:sz w:val="16"/>
        <w:szCs w:val="16"/>
      </w:rPr>
      <w:t xml:space="preserve">  </w:t>
    </w:r>
    <w:r w:rsidR="00002753">
      <w:rPr>
        <w:sz w:val="16"/>
        <w:szCs w:val="16"/>
      </w:rPr>
      <w:t xml:space="preserve">             </w:t>
    </w:r>
    <w:r w:rsidRPr="00002753">
      <w:rPr>
        <w:sz w:val="16"/>
        <w:szCs w:val="16"/>
      </w:rPr>
      <w:t xml:space="preserve"> </w:t>
    </w:r>
    <w:r w:rsidR="00002753">
      <w:rPr>
        <w:sz w:val="16"/>
        <w:szCs w:val="16"/>
      </w:rPr>
      <w:t xml:space="preserve"> </w:t>
    </w:r>
    <w:r w:rsidRPr="0044725B">
      <w:rPr>
        <w:sz w:val="16"/>
        <w:szCs w:val="16"/>
      </w:rPr>
      <w:t>https://www.uctujemeprovas.cz/dane-a-mzdy/11-princip-avypocetdph?msclkid=d1d636e1b96211ecbb7541e9b17d8104</w:t>
    </w:r>
  </w:p>
  <w:p w14:paraId="4B81D49A" w14:textId="77777777" w:rsidR="00126E2D" w:rsidRPr="00002753" w:rsidRDefault="00126E2D" w:rsidP="0044725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0063" w14:textId="77777777" w:rsidR="0097594B" w:rsidRDefault="0097594B" w:rsidP="00A3360D">
      <w:pPr>
        <w:spacing w:after="0" w:line="240" w:lineRule="auto"/>
      </w:pPr>
      <w:r>
        <w:separator/>
      </w:r>
    </w:p>
  </w:footnote>
  <w:footnote w:type="continuationSeparator" w:id="0">
    <w:p w14:paraId="2CCC3601" w14:textId="77777777" w:rsidR="0097594B" w:rsidRDefault="0097594B" w:rsidP="00A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C17B" w14:textId="2772615D" w:rsidR="00A3360D" w:rsidRDefault="0012717E">
    <w:pPr>
      <w:pStyle w:val="Zhlav"/>
    </w:pPr>
    <w:r>
      <w:t>Hospodářská politika</w:t>
    </w:r>
    <w:r w:rsidR="00A3360D">
      <w:t xml:space="preserve">                                                                                                                  </w:t>
    </w:r>
    <w:proofErr w:type="spellStart"/>
    <w:r w:rsidR="00A3360D">
      <w:t>Radvanová</w:t>
    </w:r>
    <w:proofErr w:type="spellEnd"/>
    <w:r w:rsidR="00A3360D">
      <w:t xml:space="preserve"> Lucie</w:t>
    </w:r>
  </w:p>
  <w:p w14:paraId="50ADCE9A" w14:textId="77777777" w:rsidR="00A3360D" w:rsidRDefault="00A33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0C6"/>
    <w:multiLevelType w:val="hybridMultilevel"/>
    <w:tmpl w:val="E7A68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DF"/>
    <w:rsid w:val="00002753"/>
    <w:rsid w:val="0002429F"/>
    <w:rsid w:val="000327A1"/>
    <w:rsid w:val="00060177"/>
    <w:rsid w:val="0006046D"/>
    <w:rsid w:val="00062088"/>
    <w:rsid w:val="00077DE9"/>
    <w:rsid w:val="0009154A"/>
    <w:rsid w:val="000946A3"/>
    <w:rsid w:val="00095C33"/>
    <w:rsid w:val="000966C3"/>
    <w:rsid w:val="000A3EF5"/>
    <w:rsid w:val="000B49D2"/>
    <w:rsid w:val="00110B0E"/>
    <w:rsid w:val="00110F0A"/>
    <w:rsid w:val="00112E8F"/>
    <w:rsid w:val="00122792"/>
    <w:rsid w:val="00126E2D"/>
    <w:rsid w:val="0012717E"/>
    <w:rsid w:val="00132B7F"/>
    <w:rsid w:val="0013574A"/>
    <w:rsid w:val="00145844"/>
    <w:rsid w:val="00153333"/>
    <w:rsid w:val="00156D43"/>
    <w:rsid w:val="00161F55"/>
    <w:rsid w:val="001665DF"/>
    <w:rsid w:val="00177A65"/>
    <w:rsid w:val="00182008"/>
    <w:rsid w:val="00194D8F"/>
    <w:rsid w:val="001C019E"/>
    <w:rsid w:val="001C32A2"/>
    <w:rsid w:val="001C5D42"/>
    <w:rsid w:val="001C7744"/>
    <w:rsid w:val="001C7E9C"/>
    <w:rsid w:val="001D66F5"/>
    <w:rsid w:val="001F3421"/>
    <w:rsid w:val="00207818"/>
    <w:rsid w:val="00207A2C"/>
    <w:rsid w:val="002353D2"/>
    <w:rsid w:val="00270FDF"/>
    <w:rsid w:val="00287AB3"/>
    <w:rsid w:val="002945A1"/>
    <w:rsid w:val="002D11CF"/>
    <w:rsid w:val="002D3F85"/>
    <w:rsid w:val="002D6C41"/>
    <w:rsid w:val="002E35B7"/>
    <w:rsid w:val="002E4D2A"/>
    <w:rsid w:val="002F2216"/>
    <w:rsid w:val="00301407"/>
    <w:rsid w:val="00334085"/>
    <w:rsid w:val="0035178B"/>
    <w:rsid w:val="003663EE"/>
    <w:rsid w:val="003746A0"/>
    <w:rsid w:val="003810BD"/>
    <w:rsid w:val="00395822"/>
    <w:rsid w:val="003973A4"/>
    <w:rsid w:val="003B0390"/>
    <w:rsid w:val="003B2860"/>
    <w:rsid w:val="003B5281"/>
    <w:rsid w:val="003D2C6F"/>
    <w:rsid w:val="003D3716"/>
    <w:rsid w:val="003D46B9"/>
    <w:rsid w:val="003F51E5"/>
    <w:rsid w:val="0040105B"/>
    <w:rsid w:val="00434C71"/>
    <w:rsid w:val="0044725B"/>
    <w:rsid w:val="0047523A"/>
    <w:rsid w:val="00475864"/>
    <w:rsid w:val="004903EE"/>
    <w:rsid w:val="00495E89"/>
    <w:rsid w:val="004C3262"/>
    <w:rsid w:val="004D5331"/>
    <w:rsid w:val="004D6A5E"/>
    <w:rsid w:val="00500733"/>
    <w:rsid w:val="00504621"/>
    <w:rsid w:val="0051707D"/>
    <w:rsid w:val="005326EA"/>
    <w:rsid w:val="00551ABE"/>
    <w:rsid w:val="0055744D"/>
    <w:rsid w:val="00564E70"/>
    <w:rsid w:val="005758CE"/>
    <w:rsid w:val="00581E9A"/>
    <w:rsid w:val="0059404F"/>
    <w:rsid w:val="005A195B"/>
    <w:rsid w:val="005D1322"/>
    <w:rsid w:val="005E6CA6"/>
    <w:rsid w:val="005F1E3F"/>
    <w:rsid w:val="005F6926"/>
    <w:rsid w:val="00605ED6"/>
    <w:rsid w:val="0061161D"/>
    <w:rsid w:val="0061469D"/>
    <w:rsid w:val="00643227"/>
    <w:rsid w:val="0067213E"/>
    <w:rsid w:val="00674DEF"/>
    <w:rsid w:val="006779C2"/>
    <w:rsid w:val="00685276"/>
    <w:rsid w:val="006A4C90"/>
    <w:rsid w:val="006E1FDE"/>
    <w:rsid w:val="007023EF"/>
    <w:rsid w:val="00717534"/>
    <w:rsid w:val="007311B1"/>
    <w:rsid w:val="00743E92"/>
    <w:rsid w:val="007472F2"/>
    <w:rsid w:val="007503BC"/>
    <w:rsid w:val="00751798"/>
    <w:rsid w:val="00765D04"/>
    <w:rsid w:val="00770C5D"/>
    <w:rsid w:val="007830A0"/>
    <w:rsid w:val="007918BB"/>
    <w:rsid w:val="007933DE"/>
    <w:rsid w:val="007B0207"/>
    <w:rsid w:val="007B6513"/>
    <w:rsid w:val="007E39F1"/>
    <w:rsid w:val="007F5923"/>
    <w:rsid w:val="007F5B2B"/>
    <w:rsid w:val="0081343D"/>
    <w:rsid w:val="00824A5D"/>
    <w:rsid w:val="008455DA"/>
    <w:rsid w:val="00865BC1"/>
    <w:rsid w:val="008748C8"/>
    <w:rsid w:val="00875705"/>
    <w:rsid w:val="00880CEA"/>
    <w:rsid w:val="008832DB"/>
    <w:rsid w:val="00885029"/>
    <w:rsid w:val="008850BF"/>
    <w:rsid w:val="008967B4"/>
    <w:rsid w:val="008C00EB"/>
    <w:rsid w:val="008E18E7"/>
    <w:rsid w:val="008E5ACC"/>
    <w:rsid w:val="009033B0"/>
    <w:rsid w:val="0090483E"/>
    <w:rsid w:val="009406FF"/>
    <w:rsid w:val="009531F0"/>
    <w:rsid w:val="009647CD"/>
    <w:rsid w:val="00966DFC"/>
    <w:rsid w:val="0097594B"/>
    <w:rsid w:val="00982EF9"/>
    <w:rsid w:val="009C627C"/>
    <w:rsid w:val="009E11DD"/>
    <w:rsid w:val="009E7111"/>
    <w:rsid w:val="009E797D"/>
    <w:rsid w:val="009F295C"/>
    <w:rsid w:val="00A306E1"/>
    <w:rsid w:val="00A3360D"/>
    <w:rsid w:val="00A36506"/>
    <w:rsid w:val="00A45FFA"/>
    <w:rsid w:val="00A85544"/>
    <w:rsid w:val="00AA2BF1"/>
    <w:rsid w:val="00AB043D"/>
    <w:rsid w:val="00AC65BA"/>
    <w:rsid w:val="00AD1CD4"/>
    <w:rsid w:val="00AD5178"/>
    <w:rsid w:val="00AF3DB1"/>
    <w:rsid w:val="00AF577D"/>
    <w:rsid w:val="00B3523D"/>
    <w:rsid w:val="00B52B21"/>
    <w:rsid w:val="00B5304B"/>
    <w:rsid w:val="00B62245"/>
    <w:rsid w:val="00BA6074"/>
    <w:rsid w:val="00BD15B9"/>
    <w:rsid w:val="00BD5380"/>
    <w:rsid w:val="00BE2921"/>
    <w:rsid w:val="00BF765F"/>
    <w:rsid w:val="00C00CD8"/>
    <w:rsid w:val="00C27E4F"/>
    <w:rsid w:val="00C47057"/>
    <w:rsid w:val="00C51900"/>
    <w:rsid w:val="00C65631"/>
    <w:rsid w:val="00CA218E"/>
    <w:rsid w:val="00CB79AF"/>
    <w:rsid w:val="00CC104C"/>
    <w:rsid w:val="00CD5597"/>
    <w:rsid w:val="00CE61F0"/>
    <w:rsid w:val="00CF2C13"/>
    <w:rsid w:val="00D03891"/>
    <w:rsid w:val="00D4705C"/>
    <w:rsid w:val="00D512A6"/>
    <w:rsid w:val="00D776C5"/>
    <w:rsid w:val="00D85171"/>
    <w:rsid w:val="00DA0D6E"/>
    <w:rsid w:val="00E00206"/>
    <w:rsid w:val="00E1276E"/>
    <w:rsid w:val="00E51691"/>
    <w:rsid w:val="00E5430A"/>
    <w:rsid w:val="00E81B7E"/>
    <w:rsid w:val="00E951F7"/>
    <w:rsid w:val="00ED215B"/>
    <w:rsid w:val="00F20DA5"/>
    <w:rsid w:val="00F27D3C"/>
    <w:rsid w:val="00F47068"/>
    <w:rsid w:val="00F52565"/>
    <w:rsid w:val="00F64B5B"/>
    <w:rsid w:val="00F67D75"/>
    <w:rsid w:val="00F81B2F"/>
    <w:rsid w:val="00F94BB0"/>
    <w:rsid w:val="00FA6EC2"/>
    <w:rsid w:val="00FD38FD"/>
    <w:rsid w:val="00FD5F76"/>
    <w:rsid w:val="00FE4C62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ABA1"/>
  <w15:chartTrackingRefBased/>
  <w15:docId w15:val="{D4E5FDEA-E801-47EA-9F82-C53933E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60D"/>
  </w:style>
  <w:style w:type="paragraph" w:styleId="Zpat">
    <w:name w:val="footer"/>
    <w:basedOn w:val="Normln"/>
    <w:link w:val="ZpatChar"/>
    <w:uiPriority w:val="99"/>
    <w:unhideWhenUsed/>
    <w:rsid w:val="00A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60D"/>
  </w:style>
  <w:style w:type="paragraph" w:styleId="Odstavecseseznamem">
    <w:name w:val="List Paragraph"/>
    <w:basedOn w:val="Normln"/>
    <w:uiPriority w:val="34"/>
    <w:qFormat/>
    <w:rsid w:val="009C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c79768e3b0007f77/Plocha/Zm&#283;ny%20sazeb%20DPH%20v%20letech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d.docs.live.net/c79768e3b0007f77/Plocha/Graf%20DPH%20Eu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d.docs.live.net/c79768e3b0007f77/Plocha/DPH%20inkas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Základní sazba DPH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strRef>
              <c:f>List1!$A$2:$A$9</c:f>
              <c:strCache>
                <c:ptCount val="8"/>
                <c:pt idx="0">
                  <c:v>1. 1. 1993 - 31. 12. 1994</c:v>
                </c:pt>
                <c:pt idx="1">
                  <c:v>1. 1. 1995 - 30. 4. 2004</c:v>
                </c:pt>
                <c:pt idx="2">
                  <c:v>1. 5. 2004 - 31. 12. 2007</c:v>
                </c:pt>
                <c:pt idx="3">
                  <c:v>1. 1. 2008 - 31. 12. 2009</c:v>
                </c:pt>
                <c:pt idx="4">
                  <c:v>1. 1. 2010 - 31. 12. 2011</c:v>
                </c:pt>
                <c:pt idx="5">
                  <c:v>1. 1. 2012 - 31. 12. 2012</c:v>
                </c:pt>
                <c:pt idx="6">
                  <c:v>1. 1. 2013 - 31. 12. 2014</c:v>
                </c:pt>
                <c:pt idx="7">
                  <c:v>1. 1. 2015 - dodnes</c:v>
                </c:pt>
              </c:strCache>
            </c:strRef>
          </c:cat>
          <c:val>
            <c:numRef>
              <c:f>List1!$B$2:$B$9</c:f>
              <c:numCache>
                <c:formatCode>0%</c:formatCode>
                <c:ptCount val="8"/>
                <c:pt idx="0">
                  <c:v>0.23</c:v>
                </c:pt>
                <c:pt idx="1">
                  <c:v>0.22</c:v>
                </c:pt>
                <c:pt idx="2">
                  <c:v>0.19</c:v>
                </c:pt>
                <c:pt idx="3">
                  <c:v>0.19</c:v>
                </c:pt>
                <c:pt idx="4">
                  <c:v>0.2</c:v>
                </c:pt>
                <c:pt idx="5">
                  <c:v>0.2</c:v>
                </c:pt>
                <c:pt idx="6">
                  <c:v>0.21</c:v>
                </c:pt>
                <c:pt idx="7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7-4117-9A9A-BA4C33443F7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Snížená sazba DPH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cat>
            <c:strRef>
              <c:f>List1!$A$2:$A$9</c:f>
              <c:strCache>
                <c:ptCount val="8"/>
                <c:pt idx="0">
                  <c:v>1. 1. 1993 - 31. 12. 1994</c:v>
                </c:pt>
                <c:pt idx="1">
                  <c:v>1. 1. 1995 - 30. 4. 2004</c:v>
                </c:pt>
                <c:pt idx="2">
                  <c:v>1. 5. 2004 - 31. 12. 2007</c:v>
                </c:pt>
                <c:pt idx="3">
                  <c:v>1. 1. 2008 - 31. 12. 2009</c:v>
                </c:pt>
                <c:pt idx="4">
                  <c:v>1. 1. 2010 - 31. 12. 2011</c:v>
                </c:pt>
                <c:pt idx="5">
                  <c:v>1. 1. 2012 - 31. 12. 2012</c:v>
                </c:pt>
                <c:pt idx="6">
                  <c:v>1. 1. 2013 - 31. 12. 2014</c:v>
                </c:pt>
                <c:pt idx="7">
                  <c:v>1. 1. 2015 - dodnes</c:v>
                </c:pt>
              </c:strCache>
            </c:strRef>
          </c:cat>
          <c:val>
            <c:numRef>
              <c:f>List1!$C$2:$C$9</c:f>
              <c:numCache>
                <c:formatCode>0%</c:formatCode>
                <c:ptCount val="8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0.09</c:v>
                </c:pt>
                <c:pt idx="4">
                  <c:v>0.1</c:v>
                </c:pt>
                <c:pt idx="5">
                  <c:v>0.14000000000000001</c:v>
                </c:pt>
                <c:pt idx="6">
                  <c:v>0.15</c:v>
                </c:pt>
                <c:pt idx="7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E7-4117-9A9A-BA4C33443F7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Druhá snížená sazba DPH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List1!$A$2:$A$9</c:f>
              <c:strCache>
                <c:ptCount val="8"/>
                <c:pt idx="0">
                  <c:v>1. 1. 1993 - 31. 12. 1994</c:v>
                </c:pt>
                <c:pt idx="1">
                  <c:v>1. 1. 1995 - 30. 4. 2004</c:v>
                </c:pt>
                <c:pt idx="2">
                  <c:v>1. 5. 2004 - 31. 12. 2007</c:v>
                </c:pt>
                <c:pt idx="3">
                  <c:v>1. 1. 2008 - 31. 12. 2009</c:v>
                </c:pt>
                <c:pt idx="4">
                  <c:v>1. 1. 2010 - 31. 12. 2011</c:v>
                </c:pt>
                <c:pt idx="5">
                  <c:v>1. 1. 2012 - 31. 12. 2012</c:v>
                </c:pt>
                <c:pt idx="6">
                  <c:v>1. 1. 2013 - 31. 12. 2014</c:v>
                </c:pt>
                <c:pt idx="7">
                  <c:v>1. 1. 2015 - dodnes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7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E7-4117-9A9A-BA4C33443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36416336"/>
        <c:axId val="1336417584"/>
      </c:barChart>
      <c:catAx>
        <c:axId val="133641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1336417584"/>
        <c:crosses val="autoZero"/>
        <c:auto val="1"/>
        <c:lblAlgn val="ctr"/>
        <c:lblOffset val="100"/>
        <c:noMultiLvlLbl val="0"/>
      </c:catAx>
      <c:valAx>
        <c:axId val="133641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133641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502203107105043"/>
          <c:y val="0.91526917233889926"/>
          <c:w val="0.68859142189265987"/>
          <c:h val="6.52148742508383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alibri" panose="020F0502020204030204" pitchFamily="34" charset="0"/>
          <a:cs typeface="Calibri" panose="020F0502020204030204" pitchFamily="34" charset="0"/>
        </a:defRPr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 DPH Eu.xlsx]List1'!$B$1</c:f>
              <c:strCache>
                <c:ptCount val="1"/>
                <c:pt idx="0">
                  <c:v>Základní sazba DPH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strRef>
              <c:f>'[Graf DPH Eu.xlsx]List1'!$A$2:$A$28</c:f>
              <c:strCache>
                <c:ptCount val="27"/>
                <c:pt idx="0">
                  <c:v>Rakousko</c:v>
                </c:pt>
                <c:pt idx="1">
                  <c:v>Belgie</c:v>
                </c:pt>
                <c:pt idx="2">
                  <c:v>Bulharsko</c:v>
                </c:pt>
                <c:pt idx="3">
                  <c:v>Kypr</c:v>
                </c:pt>
                <c:pt idx="4">
                  <c:v>Česko</c:v>
                </c:pt>
                <c:pt idx="5">
                  <c:v>Německo</c:v>
                </c:pt>
                <c:pt idx="6">
                  <c:v>Dánsko</c:v>
                </c:pt>
                <c:pt idx="7">
                  <c:v>Estonsko</c:v>
                </c:pt>
                <c:pt idx="8">
                  <c:v>Řecko</c:v>
                </c:pt>
                <c:pt idx="9">
                  <c:v>Španělsko</c:v>
                </c:pt>
                <c:pt idx="10">
                  <c:v>Finsko</c:v>
                </c:pt>
                <c:pt idx="11">
                  <c:v>Francie</c:v>
                </c:pt>
                <c:pt idx="12">
                  <c:v>Chorvatsko</c:v>
                </c:pt>
                <c:pt idx="13">
                  <c:v>Maďarsko</c:v>
                </c:pt>
                <c:pt idx="14">
                  <c:v>Irsko</c:v>
                </c:pt>
                <c:pt idx="15">
                  <c:v>Itálie</c:v>
                </c:pt>
                <c:pt idx="16">
                  <c:v>Litva</c:v>
                </c:pt>
                <c:pt idx="17">
                  <c:v>Lucembursko</c:v>
                </c:pt>
                <c:pt idx="18">
                  <c:v>Lotyšsko</c:v>
                </c:pt>
                <c:pt idx="19">
                  <c:v>Malta</c:v>
                </c:pt>
                <c:pt idx="20">
                  <c:v>Nizozemsko</c:v>
                </c:pt>
                <c:pt idx="21">
                  <c:v>Polsko</c:v>
                </c:pt>
                <c:pt idx="22">
                  <c:v>Portugalsko</c:v>
                </c:pt>
                <c:pt idx="23">
                  <c:v>Rumunsko</c:v>
                </c:pt>
                <c:pt idx="24">
                  <c:v>Švédsko</c:v>
                </c:pt>
                <c:pt idx="25">
                  <c:v>Slovinsko</c:v>
                </c:pt>
                <c:pt idx="26">
                  <c:v>Slovensko</c:v>
                </c:pt>
              </c:strCache>
            </c:strRef>
          </c:cat>
          <c:val>
            <c:numRef>
              <c:f>'[Graf DPH Eu.xlsx]List1'!$B$2:$B$28</c:f>
              <c:numCache>
                <c:formatCode>General</c:formatCode>
                <c:ptCount val="27"/>
                <c:pt idx="0">
                  <c:v>20</c:v>
                </c:pt>
                <c:pt idx="1">
                  <c:v>21</c:v>
                </c:pt>
                <c:pt idx="2">
                  <c:v>20</c:v>
                </c:pt>
                <c:pt idx="3">
                  <c:v>19</c:v>
                </c:pt>
                <c:pt idx="4">
                  <c:v>21</c:v>
                </c:pt>
                <c:pt idx="5">
                  <c:v>19</c:v>
                </c:pt>
                <c:pt idx="6">
                  <c:v>25</c:v>
                </c:pt>
                <c:pt idx="7">
                  <c:v>20</c:v>
                </c:pt>
                <c:pt idx="8">
                  <c:v>24</c:v>
                </c:pt>
                <c:pt idx="9">
                  <c:v>21</c:v>
                </c:pt>
                <c:pt idx="10">
                  <c:v>24</c:v>
                </c:pt>
                <c:pt idx="11">
                  <c:v>20</c:v>
                </c:pt>
                <c:pt idx="12">
                  <c:v>25</c:v>
                </c:pt>
                <c:pt idx="13">
                  <c:v>27</c:v>
                </c:pt>
                <c:pt idx="14">
                  <c:v>23</c:v>
                </c:pt>
                <c:pt idx="15">
                  <c:v>22</c:v>
                </c:pt>
                <c:pt idx="16">
                  <c:v>21</c:v>
                </c:pt>
                <c:pt idx="17">
                  <c:v>17</c:v>
                </c:pt>
                <c:pt idx="18">
                  <c:v>21</c:v>
                </c:pt>
                <c:pt idx="19">
                  <c:v>18</c:v>
                </c:pt>
                <c:pt idx="20">
                  <c:v>21</c:v>
                </c:pt>
                <c:pt idx="21">
                  <c:v>23</c:v>
                </c:pt>
                <c:pt idx="22">
                  <c:v>23</c:v>
                </c:pt>
                <c:pt idx="23">
                  <c:v>19</c:v>
                </c:pt>
                <c:pt idx="24">
                  <c:v>25</c:v>
                </c:pt>
                <c:pt idx="25">
                  <c:v>22</c:v>
                </c:pt>
                <c:pt idx="2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9B-4D33-8376-97E6453520E3}"/>
            </c:ext>
          </c:extLst>
        </c:ser>
        <c:ser>
          <c:idx val="1"/>
          <c:order val="1"/>
          <c:tx>
            <c:strRef>
              <c:f>'[Graf DPH Eu.xlsx]List1'!$C$1</c:f>
              <c:strCache>
                <c:ptCount val="1"/>
                <c:pt idx="0">
                  <c:v>První snížená sazba DPH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cat>
            <c:strRef>
              <c:f>'[Graf DPH Eu.xlsx]List1'!$A$2:$A$28</c:f>
              <c:strCache>
                <c:ptCount val="27"/>
                <c:pt idx="0">
                  <c:v>Rakousko</c:v>
                </c:pt>
                <c:pt idx="1">
                  <c:v>Belgie</c:v>
                </c:pt>
                <c:pt idx="2">
                  <c:v>Bulharsko</c:v>
                </c:pt>
                <c:pt idx="3">
                  <c:v>Kypr</c:v>
                </c:pt>
                <c:pt idx="4">
                  <c:v>Česko</c:v>
                </c:pt>
                <c:pt idx="5">
                  <c:v>Německo</c:v>
                </c:pt>
                <c:pt idx="6">
                  <c:v>Dánsko</c:v>
                </c:pt>
                <c:pt idx="7">
                  <c:v>Estonsko</c:v>
                </c:pt>
                <c:pt idx="8">
                  <c:v>Řecko</c:v>
                </c:pt>
                <c:pt idx="9">
                  <c:v>Španělsko</c:v>
                </c:pt>
                <c:pt idx="10">
                  <c:v>Finsko</c:v>
                </c:pt>
                <c:pt idx="11">
                  <c:v>Francie</c:v>
                </c:pt>
                <c:pt idx="12">
                  <c:v>Chorvatsko</c:v>
                </c:pt>
                <c:pt idx="13">
                  <c:v>Maďarsko</c:v>
                </c:pt>
                <c:pt idx="14">
                  <c:v>Irsko</c:v>
                </c:pt>
                <c:pt idx="15">
                  <c:v>Itálie</c:v>
                </c:pt>
                <c:pt idx="16">
                  <c:v>Litva</c:v>
                </c:pt>
                <c:pt idx="17">
                  <c:v>Lucembursko</c:v>
                </c:pt>
                <c:pt idx="18">
                  <c:v>Lotyšsko</c:v>
                </c:pt>
                <c:pt idx="19">
                  <c:v>Malta</c:v>
                </c:pt>
                <c:pt idx="20">
                  <c:v>Nizozemsko</c:v>
                </c:pt>
                <c:pt idx="21">
                  <c:v>Polsko</c:v>
                </c:pt>
                <c:pt idx="22">
                  <c:v>Portugalsko</c:v>
                </c:pt>
                <c:pt idx="23">
                  <c:v>Rumunsko</c:v>
                </c:pt>
                <c:pt idx="24">
                  <c:v>Švédsko</c:v>
                </c:pt>
                <c:pt idx="25">
                  <c:v>Slovinsko</c:v>
                </c:pt>
                <c:pt idx="26">
                  <c:v>Slovensko</c:v>
                </c:pt>
              </c:strCache>
            </c:strRef>
          </c:cat>
          <c:val>
            <c:numRef>
              <c:f>'[Graf DPH Eu.xlsx]List1'!$C$2:$C$28</c:f>
              <c:numCache>
                <c:formatCode>General</c:formatCode>
                <c:ptCount val="27"/>
                <c:pt idx="0" formatCode="mmm\-yy">
                  <c:v>13</c:v>
                </c:pt>
                <c:pt idx="1">
                  <c:v>12</c:v>
                </c:pt>
                <c:pt idx="2">
                  <c:v>9</c:v>
                </c:pt>
                <c:pt idx="3">
                  <c:v>9</c:v>
                </c:pt>
                <c:pt idx="4">
                  <c:v>15</c:v>
                </c:pt>
                <c:pt idx="5">
                  <c:v>7</c:v>
                </c:pt>
                <c:pt idx="7">
                  <c:v>9</c:v>
                </c:pt>
                <c:pt idx="8">
                  <c:v>13</c:v>
                </c:pt>
                <c:pt idx="9">
                  <c:v>10</c:v>
                </c:pt>
                <c:pt idx="10">
                  <c:v>14</c:v>
                </c:pt>
                <c:pt idx="11">
                  <c:v>10</c:v>
                </c:pt>
                <c:pt idx="12">
                  <c:v>13</c:v>
                </c:pt>
                <c:pt idx="13">
                  <c:v>18</c:v>
                </c:pt>
                <c:pt idx="14">
                  <c:v>13.5</c:v>
                </c:pt>
                <c:pt idx="15">
                  <c:v>10</c:v>
                </c:pt>
                <c:pt idx="16">
                  <c:v>9</c:v>
                </c:pt>
                <c:pt idx="17">
                  <c:v>8</c:v>
                </c:pt>
                <c:pt idx="18">
                  <c:v>12</c:v>
                </c:pt>
                <c:pt idx="19">
                  <c:v>7</c:v>
                </c:pt>
                <c:pt idx="20">
                  <c:v>9</c:v>
                </c:pt>
                <c:pt idx="21">
                  <c:v>8</c:v>
                </c:pt>
                <c:pt idx="22">
                  <c:v>13</c:v>
                </c:pt>
                <c:pt idx="23">
                  <c:v>9</c:v>
                </c:pt>
                <c:pt idx="24">
                  <c:v>12</c:v>
                </c:pt>
                <c:pt idx="25">
                  <c:v>9.5</c:v>
                </c:pt>
                <c:pt idx="2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9B-4D33-8376-97E6453520E3}"/>
            </c:ext>
          </c:extLst>
        </c:ser>
        <c:ser>
          <c:idx val="2"/>
          <c:order val="2"/>
          <c:tx>
            <c:strRef>
              <c:f>'[Graf DPH Eu.xlsx]List1'!$D$1</c:f>
              <c:strCache>
                <c:ptCount val="1"/>
                <c:pt idx="0">
                  <c:v>Druhá snížená sazba DPH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'[Graf DPH Eu.xlsx]List1'!$A$2:$A$28</c:f>
              <c:strCache>
                <c:ptCount val="27"/>
                <c:pt idx="0">
                  <c:v>Rakousko</c:v>
                </c:pt>
                <c:pt idx="1">
                  <c:v>Belgie</c:v>
                </c:pt>
                <c:pt idx="2">
                  <c:v>Bulharsko</c:v>
                </c:pt>
                <c:pt idx="3">
                  <c:v>Kypr</c:v>
                </c:pt>
                <c:pt idx="4">
                  <c:v>Česko</c:v>
                </c:pt>
                <c:pt idx="5">
                  <c:v>Německo</c:v>
                </c:pt>
                <c:pt idx="6">
                  <c:v>Dánsko</c:v>
                </c:pt>
                <c:pt idx="7">
                  <c:v>Estonsko</c:v>
                </c:pt>
                <c:pt idx="8">
                  <c:v>Řecko</c:v>
                </c:pt>
                <c:pt idx="9">
                  <c:v>Španělsko</c:v>
                </c:pt>
                <c:pt idx="10">
                  <c:v>Finsko</c:v>
                </c:pt>
                <c:pt idx="11">
                  <c:v>Francie</c:v>
                </c:pt>
                <c:pt idx="12">
                  <c:v>Chorvatsko</c:v>
                </c:pt>
                <c:pt idx="13">
                  <c:v>Maďarsko</c:v>
                </c:pt>
                <c:pt idx="14">
                  <c:v>Irsko</c:v>
                </c:pt>
                <c:pt idx="15">
                  <c:v>Itálie</c:v>
                </c:pt>
                <c:pt idx="16">
                  <c:v>Litva</c:v>
                </c:pt>
                <c:pt idx="17">
                  <c:v>Lucembursko</c:v>
                </c:pt>
                <c:pt idx="18">
                  <c:v>Lotyšsko</c:v>
                </c:pt>
                <c:pt idx="19">
                  <c:v>Malta</c:v>
                </c:pt>
                <c:pt idx="20">
                  <c:v>Nizozemsko</c:v>
                </c:pt>
                <c:pt idx="21">
                  <c:v>Polsko</c:v>
                </c:pt>
                <c:pt idx="22">
                  <c:v>Portugalsko</c:v>
                </c:pt>
                <c:pt idx="23">
                  <c:v>Rumunsko</c:v>
                </c:pt>
                <c:pt idx="24">
                  <c:v>Švédsko</c:v>
                </c:pt>
                <c:pt idx="25">
                  <c:v>Slovinsko</c:v>
                </c:pt>
                <c:pt idx="26">
                  <c:v>Slovensko</c:v>
                </c:pt>
              </c:strCache>
            </c:strRef>
          </c:cat>
          <c:val>
            <c:numRef>
              <c:f>'[Graf DPH Eu.xlsx]List1'!$D$2:$D$28</c:f>
              <c:numCache>
                <c:formatCode>General</c:formatCode>
                <c:ptCount val="27"/>
                <c:pt idx="0">
                  <c:v>10</c:v>
                </c:pt>
                <c:pt idx="1">
                  <c:v>6</c:v>
                </c:pt>
                <c:pt idx="3">
                  <c:v>5</c:v>
                </c:pt>
                <c:pt idx="4">
                  <c:v>10</c:v>
                </c:pt>
                <c:pt idx="8">
                  <c:v>6</c:v>
                </c:pt>
                <c:pt idx="10">
                  <c:v>10</c:v>
                </c:pt>
                <c:pt idx="11">
                  <c:v>5.5</c:v>
                </c:pt>
                <c:pt idx="12">
                  <c:v>5</c:v>
                </c:pt>
                <c:pt idx="13">
                  <c:v>5</c:v>
                </c:pt>
                <c:pt idx="14">
                  <c:v>9</c:v>
                </c:pt>
                <c:pt idx="15">
                  <c:v>5</c:v>
                </c:pt>
                <c:pt idx="16">
                  <c:v>5</c:v>
                </c:pt>
                <c:pt idx="18">
                  <c:v>5</c:v>
                </c:pt>
                <c:pt idx="19">
                  <c:v>5</c:v>
                </c:pt>
                <c:pt idx="21">
                  <c:v>5</c:v>
                </c:pt>
                <c:pt idx="22">
                  <c:v>6</c:v>
                </c:pt>
                <c:pt idx="23">
                  <c:v>5</c:v>
                </c:pt>
                <c:pt idx="2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9B-4D33-8376-97E645352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1412720"/>
        <c:axId val="2001413552"/>
      </c:barChart>
      <c:catAx>
        <c:axId val="200141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2001413552"/>
        <c:crosses val="autoZero"/>
        <c:auto val="1"/>
        <c:lblAlgn val="ctr"/>
        <c:lblOffset val="100"/>
        <c:noMultiLvlLbl val="0"/>
      </c:catAx>
      <c:valAx>
        <c:axId val="200141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200141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007576356975136E-2"/>
          <c:y val="3.8545184628322904E-2"/>
          <c:w val="0.9003511677728665"/>
          <c:h val="0.832697371293622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'[DPH inkaso.xlsx]List1'!$A$1:$AC$1</c:f>
              <c:numCache>
                <c:formatCode>General</c:formatCode>
                <c:ptCount val="29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  <c:pt idx="28">
                  <c:v>2021</c:v>
                </c:pt>
              </c:numCache>
            </c:numRef>
          </c:cat>
          <c:val>
            <c:numRef>
              <c:f>'[DPH inkaso.xlsx]List1'!$A$2:$AC$2</c:f>
              <c:numCache>
                <c:formatCode>#,##0</c:formatCode>
                <c:ptCount val="29"/>
                <c:pt idx="0">
                  <c:v>77104</c:v>
                </c:pt>
                <c:pt idx="1">
                  <c:v>85849</c:v>
                </c:pt>
                <c:pt idx="2">
                  <c:v>94801</c:v>
                </c:pt>
                <c:pt idx="3">
                  <c:v>109313</c:v>
                </c:pt>
                <c:pt idx="4">
                  <c:v>117573</c:v>
                </c:pt>
                <c:pt idx="5">
                  <c:v>119358</c:v>
                </c:pt>
                <c:pt idx="6">
                  <c:v>138282</c:v>
                </c:pt>
                <c:pt idx="7">
                  <c:v>145908</c:v>
                </c:pt>
                <c:pt idx="8">
                  <c:v>151886</c:v>
                </c:pt>
                <c:pt idx="9">
                  <c:v>155209</c:v>
                </c:pt>
                <c:pt idx="10">
                  <c:v>164856</c:v>
                </c:pt>
                <c:pt idx="11">
                  <c:v>184320</c:v>
                </c:pt>
                <c:pt idx="12">
                  <c:v>204941</c:v>
                </c:pt>
                <c:pt idx="13">
                  <c:v>217394</c:v>
                </c:pt>
                <c:pt idx="14">
                  <c:v>235844</c:v>
                </c:pt>
                <c:pt idx="15">
                  <c:v>254939</c:v>
                </c:pt>
                <c:pt idx="16">
                  <c:v>253464</c:v>
                </c:pt>
                <c:pt idx="17">
                  <c:v>269582</c:v>
                </c:pt>
                <c:pt idx="18">
                  <c:v>275188</c:v>
                </c:pt>
                <c:pt idx="19">
                  <c:v>278052</c:v>
                </c:pt>
                <c:pt idx="20">
                  <c:v>308300</c:v>
                </c:pt>
                <c:pt idx="21">
                  <c:v>322662</c:v>
                </c:pt>
                <c:pt idx="22">
                  <c:v>331604</c:v>
                </c:pt>
                <c:pt idx="23">
                  <c:v>349460</c:v>
                </c:pt>
                <c:pt idx="24">
                  <c:v>381435</c:v>
                </c:pt>
                <c:pt idx="25">
                  <c:v>413013</c:v>
                </c:pt>
                <c:pt idx="26">
                  <c:v>431311</c:v>
                </c:pt>
                <c:pt idx="27">
                  <c:v>426198</c:v>
                </c:pt>
                <c:pt idx="28">
                  <c:v>463265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4-4462-878D-2B37DED71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52431"/>
        <c:axId val="305852015"/>
      </c:barChart>
      <c:catAx>
        <c:axId val="30585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305852015"/>
        <c:crosses val="autoZero"/>
        <c:auto val="1"/>
        <c:lblAlgn val="ctr"/>
        <c:lblOffset val="100"/>
        <c:noMultiLvlLbl val="0"/>
      </c:catAx>
      <c:valAx>
        <c:axId val="305852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305852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Radvanova</dc:creator>
  <cp:keywords/>
  <dc:description/>
  <cp:lastModifiedBy>IK</cp:lastModifiedBy>
  <cp:revision>2</cp:revision>
  <dcterms:created xsi:type="dcterms:W3CDTF">2022-04-12T09:21:00Z</dcterms:created>
  <dcterms:modified xsi:type="dcterms:W3CDTF">2022-04-12T09:21:00Z</dcterms:modified>
</cp:coreProperties>
</file>