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3A" w:rsidRDefault="00A65243" w:rsidP="00A65243">
      <w:pPr>
        <w:jc w:val="center"/>
        <w:rPr>
          <w:b/>
          <w:sz w:val="36"/>
        </w:rPr>
      </w:pPr>
      <w:r w:rsidRPr="00A65243">
        <w:rPr>
          <w:b/>
          <w:sz w:val="36"/>
        </w:rPr>
        <w:t>Státní dluh</w:t>
      </w:r>
    </w:p>
    <w:p w:rsidR="00A65243" w:rsidRPr="004E7CAA" w:rsidRDefault="00A65243" w:rsidP="00A65243">
      <w:pPr>
        <w:rPr>
          <w:b/>
          <w:sz w:val="24"/>
          <w:szCs w:val="28"/>
        </w:rPr>
      </w:pPr>
      <w:r w:rsidRPr="004E7CAA">
        <w:rPr>
          <w:b/>
          <w:sz w:val="24"/>
          <w:szCs w:val="28"/>
        </w:rPr>
        <w:t>Co je státní dluh?</w:t>
      </w:r>
    </w:p>
    <w:p w:rsidR="00A65243" w:rsidRDefault="00A65243" w:rsidP="00A65243">
      <w:pPr>
        <w:rPr>
          <w:sz w:val="24"/>
          <w:szCs w:val="28"/>
        </w:rPr>
      </w:pPr>
      <w:r>
        <w:rPr>
          <w:sz w:val="24"/>
          <w:szCs w:val="28"/>
        </w:rPr>
        <w:t>Státní dluh vzniká deficitním (schodkovým) hospodařením dané země a představuje souhrn finančních závazků vůči domácím i zahraničním věřitelům. Jedná se o dlouhodobější stav, kdy státní výdaje jsou vyšší než státní příjmy a stát si tak musí na svůj provoz půjčovat.</w:t>
      </w:r>
    </w:p>
    <w:p w:rsidR="00A65243" w:rsidRDefault="00A65243" w:rsidP="00A65243">
      <w:pPr>
        <w:rPr>
          <w:sz w:val="24"/>
          <w:szCs w:val="28"/>
        </w:rPr>
      </w:pPr>
      <w:r>
        <w:rPr>
          <w:sz w:val="24"/>
          <w:szCs w:val="28"/>
        </w:rPr>
        <w:t>V rámci státního dluhu ČR jsou dlužníky</w:t>
      </w:r>
      <w:r w:rsidR="00CC4C64">
        <w:rPr>
          <w:sz w:val="24"/>
          <w:szCs w:val="28"/>
        </w:rPr>
        <w:t xml:space="preserve"> především vláda, kraje a obce, příspěvkové organizace, státní fondy a zdravotní pojišťovny. Mezi nejvýznamnější příjmy státního rozpočtu patří daně, různá zákonná pojištění a poplatky.</w:t>
      </w:r>
    </w:p>
    <w:p w:rsidR="00CC4C64" w:rsidRPr="004E7CAA" w:rsidRDefault="00CC4C64" w:rsidP="00A65243">
      <w:pPr>
        <w:rPr>
          <w:b/>
          <w:sz w:val="24"/>
          <w:szCs w:val="28"/>
        </w:rPr>
      </w:pPr>
      <w:r w:rsidRPr="004E7CAA">
        <w:rPr>
          <w:b/>
          <w:sz w:val="24"/>
          <w:szCs w:val="28"/>
        </w:rPr>
        <w:t>Existuje několik možností, jak český stát svůj dluh financuje:</w:t>
      </w:r>
    </w:p>
    <w:p w:rsidR="00CC4C64" w:rsidRDefault="00CC4C64" w:rsidP="00CC4C64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vydává: státní peněžní poukázky, (spořící) státní dluhopisy</w:t>
      </w:r>
    </w:p>
    <w:p w:rsidR="00CC4C64" w:rsidRDefault="00CC4C64" w:rsidP="00CC4C64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půjčuje si od Evropské investiční banky</w:t>
      </w:r>
    </w:p>
    <w:p w:rsidR="00D22526" w:rsidRDefault="00D22526" w:rsidP="005F75C8">
      <w:pPr>
        <w:rPr>
          <w:sz w:val="24"/>
          <w:szCs w:val="28"/>
        </w:rPr>
      </w:pPr>
      <w:r>
        <w:rPr>
          <w:sz w:val="24"/>
          <w:szCs w:val="28"/>
        </w:rPr>
        <w:t>Česko má v porovnání s dalšími členy Evropské unie jed</w:t>
      </w:r>
      <w:r w:rsidR="000A6C14">
        <w:rPr>
          <w:sz w:val="24"/>
          <w:szCs w:val="28"/>
        </w:rPr>
        <w:t>en z nejnižších státních dluhů.</w:t>
      </w:r>
    </w:p>
    <w:p w:rsidR="00E91049" w:rsidRDefault="008B17A9" w:rsidP="00E91049">
      <w:pPr>
        <w:keepNext/>
      </w:pPr>
      <w:r w:rsidRPr="008B17A9">
        <w:rPr>
          <w:noProof/>
          <w:sz w:val="24"/>
          <w:szCs w:val="28"/>
          <w:lang w:eastAsia="cs-CZ"/>
        </w:rPr>
        <w:drawing>
          <wp:inline distT="0" distB="0" distL="0" distR="0">
            <wp:extent cx="5760720" cy="3238032"/>
            <wp:effectExtent l="19050" t="0" r="11430" b="468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17A9" w:rsidRPr="004E7CAA" w:rsidRDefault="00DA1A87" w:rsidP="00E91049">
      <w:pPr>
        <w:pStyle w:val="Titulek"/>
        <w:rPr>
          <w:color w:val="auto"/>
          <w:sz w:val="22"/>
          <w:szCs w:val="22"/>
        </w:rPr>
      </w:pPr>
      <w:r w:rsidRPr="004E7CAA">
        <w:rPr>
          <w:color w:val="auto"/>
          <w:sz w:val="22"/>
          <w:szCs w:val="22"/>
        </w:rPr>
        <w:t>Graf</w:t>
      </w:r>
      <w:r w:rsidR="00E91049" w:rsidRPr="004E7CAA">
        <w:rPr>
          <w:color w:val="auto"/>
          <w:sz w:val="22"/>
          <w:szCs w:val="22"/>
        </w:rPr>
        <w:t xml:space="preserve"> </w:t>
      </w:r>
      <w:r w:rsidR="009C683D" w:rsidRPr="004E7CAA">
        <w:rPr>
          <w:color w:val="auto"/>
          <w:sz w:val="22"/>
          <w:szCs w:val="22"/>
        </w:rPr>
        <w:fldChar w:fldCharType="begin"/>
      </w:r>
      <w:r w:rsidR="00E91049" w:rsidRPr="004E7CAA">
        <w:rPr>
          <w:color w:val="auto"/>
          <w:sz w:val="22"/>
          <w:szCs w:val="22"/>
        </w:rPr>
        <w:instrText xml:space="preserve"> SEQ Obrázek \* ARABIC </w:instrText>
      </w:r>
      <w:r w:rsidR="009C683D" w:rsidRPr="004E7CAA">
        <w:rPr>
          <w:color w:val="auto"/>
          <w:sz w:val="22"/>
          <w:szCs w:val="22"/>
        </w:rPr>
        <w:fldChar w:fldCharType="separate"/>
      </w:r>
      <w:r w:rsidR="00E91049" w:rsidRPr="004E7CAA">
        <w:rPr>
          <w:noProof/>
          <w:color w:val="auto"/>
          <w:sz w:val="22"/>
          <w:szCs w:val="22"/>
        </w:rPr>
        <w:t>1</w:t>
      </w:r>
      <w:r w:rsidR="009C683D" w:rsidRPr="004E7CAA">
        <w:rPr>
          <w:color w:val="auto"/>
          <w:sz w:val="22"/>
          <w:szCs w:val="22"/>
        </w:rPr>
        <w:fldChar w:fldCharType="end"/>
      </w:r>
      <w:r w:rsidR="00E91049" w:rsidRPr="004E7CAA">
        <w:rPr>
          <w:color w:val="auto"/>
          <w:sz w:val="22"/>
          <w:szCs w:val="22"/>
        </w:rPr>
        <w:t>: Vývoj státního dluhu, zdroj: vlastní zpracování</w:t>
      </w:r>
      <w:r w:rsidR="003A648C" w:rsidRPr="004E7CAA">
        <w:rPr>
          <w:color w:val="auto"/>
          <w:sz w:val="22"/>
          <w:szCs w:val="22"/>
        </w:rPr>
        <w:t xml:space="preserve"> dat </w:t>
      </w:r>
    </w:p>
    <w:p w:rsidR="00A4678C" w:rsidRDefault="00A4678C" w:rsidP="005F75C8">
      <w:pPr>
        <w:rPr>
          <w:sz w:val="24"/>
          <w:szCs w:val="28"/>
        </w:rPr>
      </w:pPr>
      <w:r w:rsidRPr="00A4678C">
        <w:rPr>
          <w:sz w:val="24"/>
          <w:szCs w:val="28"/>
        </w:rPr>
        <w:t>Absolutní výše</w:t>
      </w:r>
      <w:r>
        <w:rPr>
          <w:sz w:val="24"/>
          <w:szCs w:val="28"/>
        </w:rPr>
        <w:t xml:space="preserve"> státního dluhu ke konci roku 2021 dosáhla v důsledku schodkového hospodaření státního rozpočtu úrovně 2 465,7 mld. Kč.</w:t>
      </w:r>
      <w:r w:rsidR="00EF32C6">
        <w:rPr>
          <w:sz w:val="24"/>
          <w:szCs w:val="28"/>
        </w:rPr>
        <w:t xml:space="preserve"> V relativním vyjádření vůči HDP došlo k nárůstu z 36,0 % na 40,4 %, tedy o 4,4 procentního bodu.</w:t>
      </w:r>
    </w:p>
    <w:p w:rsidR="00816A51" w:rsidRPr="00A4678C" w:rsidRDefault="00816A51" w:rsidP="005F75C8">
      <w:pPr>
        <w:rPr>
          <w:sz w:val="24"/>
          <w:szCs w:val="28"/>
        </w:rPr>
      </w:pPr>
      <w:r>
        <w:rPr>
          <w:sz w:val="24"/>
          <w:szCs w:val="28"/>
        </w:rPr>
        <w:t>Státní dluh loni stoupl na rekordních 2,47 bilionu korun. Na konci roku 2020</w:t>
      </w:r>
      <w:r w:rsidR="006A5A00">
        <w:rPr>
          <w:sz w:val="24"/>
          <w:szCs w:val="28"/>
        </w:rPr>
        <w:t xml:space="preserve"> byl státní dluh 2,05 bi</w:t>
      </w:r>
      <w:r w:rsidR="00FA7866">
        <w:rPr>
          <w:sz w:val="24"/>
          <w:szCs w:val="28"/>
        </w:rPr>
        <w:t>l</w:t>
      </w:r>
      <w:r w:rsidR="006A5A00">
        <w:rPr>
          <w:sz w:val="24"/>
          <w:szCs w:val="28"/>
        </w:rPr>
        <w:t>ionu korun. Na každého Čecha tak hypoteticky připadl dluh zhruba 231 000 Kč.</w:t>
      </w:r>
    </w:p>
    <w:p w:rsidR="0033112A" w:rsidRPr="004E7CAA" w:rsidRDefault="0033112A" w:rsidP="0033112A">
      <w:pPr>
        <w:rPr>
          <w:b/>
          <w:sz w:val="24"/>
          <w:szCs w:val="28"/>
        </w:rPr>
      </w:pPr>
      <w:r w:rsidRPr="004E7CAA">
        <w:rPr>
          <w:b/>
          <w:sz w:val="24"/>
          <w:szCs w:val="28"/>
        </w:rPr>
        <w:t>Důvody nárůstu státního dluhu</w:t>
      </w:r>
    </w:p>
    <w:p w:rsidR="0033112A" w:rsidRDefault="0033112A" w:rsidP="005F75C8">
      <w:pPr>
        <w:rPr>
          <w:sz w:val="24"/>
          <w:szCs w:val="28"/>
        </w:rPr>
      </w:pPr>
      <w:r>
        <w:rPr>
          <w:sz w:val="24"/>
          <w:szCs w:val="28"/>
        </w:rPr>
        <w:lastRenderedPageBreak/>
        <w:t>Za nárůstem státního dluhu je zejména emise státních dluhopisů kvůli pokrytí rekordních schodků loňského státního rozpočtu a snaze využít příznivých podmínek na finančních trzích na předfinancování plánovaných splátek dluhu</w:t>
      </w:r>
      <w:r w:rsidR="000A6C14">
        <w:rPr>
          <w:sz w:val="24"/>
          <w:szCs w:val="28"/>
        </w:rPr>
        <w:t>.</w:t>
      </w:r>
      <w:r w:rsidR="004E7CAA">
        <w:rPr>
          <w:sz w:val="24"/>
          <w:szCs w:val="28"/>
        </w:rPr>
        <w:t xml:space="preserve"> Rozpočet loni (prosinec 2021) skončil se schodkem 419,7 </w:t>
      </w:r>
      <w:proofErr w:type="spellStart"/>
      <w:r w:rsidR="004E7CAA">
        <w:rPr>
          <w:sz w:val="24"/>
          <w:szCs w:val="28"/>
        </w:rPr>
        <w:t>miiardy</w:t>
      </w:r>
      <w:proofErr w:type="spellEnd"/>
      <w:r w:rsidR="004E7CAA">
        <w:rPr>
          <w:sz w:val="24"/>
          <w:szCs w:val="28"/>
        </w:rPr>
        <w:t xml:space="preserve"> korun. V poměru k HDP se loni státní dluh podle ministerstva financí zvýšil z 36 na 40,4 procenta hrubého domácího produktu (HDP).</w:t>
      </w:r>
    </w:p>
    <w:p w:rsidR="0033112A" w:rsidRDefault="0033112A" w:rsidP="005F75C8">
      <w:pPr>
        <w:rPr>
          <w:sz w:val="24"/>
          <w:szCs w:val="28"/>
        </w:rPr>
      </w:pPr>
      <w:r>
        <w:rPr>
          <w:sz w:val="24"/>
          <w:szCs w:val="28"/>
        </w:rPr>
        <w:t>Výdaje na obsluhu státního dluhu loni stouply o pět procent na 42,2 miliardy korun. Do nárůstu se promítla nejen rostoucí hodnota státního dluhu, ale také růst základních úrokových sazeb České národní banky.</w:t>
      </w:r>
    </w:p>
    <w:p w:rsidR="0092337B" w:rsidRPr="004E7CAA" w:rsidRDefault="0092337B" w:rsidP="005F75C8">
      <w:pPr>
        <w:rPr>
          <w:b/>
          <w:sz w:val="24"/>
          <w:szCs w:val="28"/>
        </w:rPr>
      </w:pPr>
      <w:r w:rsidRPr="004E7CAA">
        <w:rPr>
          <w:b/>
          <w:sz w:val="24"/>
          <w:szCs w:val="28"/>
        </w:rPr>
        <w:t>Dluh sektoru vládních institucí ve vybraných zemích Evropské unie</w:t>
      </w:r>
    </w:p>
    <w:p w:rsidR="0057022E" w:rsidRDefault="0092337B" w:rsidP="0057022E">
      <w:pPr>
        <w:keepNext/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2643679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7B" w:rsidRPr="0057022E" w:rsidRDefault="0057022E" w:rsidP="0057022E">
      <w:pPr>
        <w:pStyle w:val="Titulek"/>
        <w:rPr>
          <w:b w:val="0"/>
          <w:color w:val="auto"/>
          <w:sz w:val="36"/>
          <w:szCs w:val="28"/>
        </w:rPr>
      </w:pPr>
      <w:r w:rsidRPr="0057022E">
        <w:rPr>
          <w:color w:val="auto"/>
          <w:sz w:val="22"/>
        </w:rPr>
        <w:t>Graf 2: Dluh sektoru vládních institucí ve vybraných zemích EU, zdroj: Státní dluh 2021 Zpráva o řízení státního dluhu ČR</w:t>
      </w:r>
    </w:p>
    <w:p w:rsidR="0092337B" w:rsidRPr="0092337B" w:rsidRDefault="0092337B" w:rsidP="00821420">
      <w:pPr>
        <w:rPr>
          <w:sz w:val="24"/>
          <w:szCs w:val="28"/>
        </w:rPr>
      </w:pPr>
      <w:r>
        <w:rPr>
          <w:sz w:val="24"/>
          <w:szCs w:val="28"/>
        </w:rPr>
        <w:t xml:space="preserve">V případě české republiky je pro rok 2021 predikováno šesté nejnižší relativní zadlužení v EU. Nižší zadlužení dosáhne Estonsko, Lucembursko, Bulharsko, Švédsko a Dánsko. </w:t>
      </w:r>
    </w:p>
    <w:p w:rsidR="00140276" w:rsidRPr="004E7CAA" w:rsidRDefault="00140276" w:rsidP="005F75C8">
      <w:pPr>
        <w:rPr>
          <w:b/>
          <w:sz w:val="24"/>
          <w:szCs w:val="28"/>
        </w:rPr>
      </w:pPr>
      <w:r w:rsidRPr="004E7CAA">
        <w:rPr>
          <w:b/>
          <w:sz w:val="24"/>
          <w:szCs w:val="28"/>
        </w:rPr>
        <w:t>Zdroje:</w:t>
      </w:r>
    </w:p>
    <w:p w:rsidR="00140276" w:rsidRDefault="00140276" w:rsidP="00140276">
      <w:r w:rsidRPr="004E7CAA">
        <w:t>https://www.moneta.cz/slovnik-pojmu/detail/statni-dluh</w:t>
      </w:r>
    </w:p>
    <w:p w:rsidR="0026452D" w:rsidRPr="00D74C23" w:rsidRDefault="002D2F83" w:rsidP="00D74C23">
      <w:r w:rsidRPr="004E7CAA">
        <w:t>https://www.irozhlas.cz/ekonomika/statni-dluh-ministerstvo-financi-schodek-statniho-rozpoctu_2202281744_jgr</w:t>
      </w:r>
    </w:p>
    <w:p w:rsidR="0026452D" w:rsidRPr="00D74C23" w:rsidRDefault="002D2F83" w:rsidP="00D74C23">
      <w:r w:rsidRPr="004E7CAA">
        <w:t>https://www.mfcr.cz/cs/aktualne/tiskove-zpravy/2022/statni-dluh-dosahl-ke-konci-lonskeho-rok-46685/</w:t>
      </w:r>
    </w:p>
    <w:p w:rsidR="00D74C23" w:rsidRDefault="006073C1" w:rsidP="00140276">
      <w:r w:rsidRPr="006073C1">
        <w:t>https://www.mfcr.cz/cs/verejny-sektor/statni-rozpocet/plneni-statniho-rozpoctu/2021/mesicni-pokladni-plneni-statniho-rozpoct-40776</w:t>
      </w:r>
    </w:p>
    <w:p w:rsidR="00140276" w:rsidRPr="005F75C8" w:rsidRDefault="00140276" w:rsidP="005F75C8">
      <w:pPr>
        <w:rPr>
          <w:sz w:val="24"/>
          <w:szCs w:val="28"/>
        </w:rPr>
      </w:pPr>
    </w:p>
    <w:sectPr w:rsidR="00140276" w:rsidRPr="005F75C8" w:rsidSect="00375B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CD" w:rsidRDefault="00AC0DCD" w:rsidP="00A65243">
      <w:pPr>
        <w:spacing w:after="0" w:line="240" w:lineRule="auto"/>
      </w:pPr>
      <w:r>
        <w:separator/>
      </w:r>
    </w:p>
  </w:endnote>
  <w:endnote w:type="continuationSeparator" w:id="0">
    <w:p w:rsidR="00AC0DCD" w:rsidRDefault="00AC0DCD" w:rsidP="00A6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CD" w:rsidRDefault="00AC0DCD" w:rsidP="00A65243">
      <w:pPr>
        <w:spacing w:after="0" w:line="240" w:lineRule="auto"/>
      </w:pPr>
      <w:r>
        <w:separator/>
      </w:r>
    </w:p>
  </w:footnote>
  <w:footnote w:type="continuationSeparator" w:id="0">
    <w:p w:rsidR="00AC0DCD" w:rsidRDefault="00AC0DCD" w:rsidP="00A6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43" w:rsidRDefault="00A65243">
    <w:pPr>
      <w:pStyle w:val="Zhlav"/>
    </w:pPr>
    <w:r>
      <w:t>Hospodářská politika</w:t>
    </w:r>
    <w:r>
      <w:tab/>
    </w:r>
    <w:r>
      <w:tab/>
      <w:t>Kožusznik Michal</w:t>
    </w:r>
  </w:p>
  <w:p w:rsidR="00A65243" w:rsidRDefault="00A65243">
    <w:pPr>
      <w:pStyle w:val="Zhlav"/>
    </w:pPr>
    <w:r>
      <w:tab/>
    </w:r>
    <w:r>
      <w:tab/>
      <w:t>Bankovnictví, peněžnictví, pojišťovnictví</w:t>
    </w:r>
  </w:p>
  <w:p w:rsidR="00A65243" w:rsidRDefault="00A65243">
    <w:pPr>
      <w:pStyle w:val="Zhlav"/>
    </w:pPr>
    <w:r>
      <w:tab/>
    </w:r>
    <w:r>
      <w:tab/>
      <w:t>2.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07D"/>
    <w:multiLevelType w:val="hybridMultilevel"/>
    <w:tmpl w:val="6504E2E2"/>
    <w:lvl w:ilvl="0" w:tplc="BE624B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3E95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222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9AD6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F417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F6CD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74E7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A864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1202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D471B15"/>
    <w:multiLevelType w:val="hybridMultilevel"/>
    <w:tmpl w:val="AF24A358"/>
    <w:lvl w:ilvl="0" w:tplc="ACAA6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43"/>
    <w:rsid w:val="000A6C14"/>
    <w:rsid w:val="001357E1"/>
    <w:rsid w:val="00140276"/>
    <w:rsid w:val="00203311"/>
    <w:rsid w:val="00206923"/>
    <w:rsid w:val="00240C60"/>
    <w:rsid w:val="0026452D"/>
    <w:rsid w:val="002D2F83"/>
    <w:rsid w:val="0033112A"/>
    <w:rsid w:val="00375B3A"/>
    <w:rsid w:val="003A15F8"/>
    <w:rsid w:val="003A648C"/>
    <w:rsid w:val="004569FE"/>
    <w:rsid w:val="004E7CAA"/>
    <w:rsid w:val="00521D84"/>
    <w:rsid w:val="0057022E"/>
    <w:rsid w:val="005D6626"/>
    <w:rsid w:val="005F75C8"/>
    <w:rsid w:val="006073C1"/>
    <w:rsid w:val="00692AD5"/>
    <w:rsid w:val="006A0366"/>
    <w:rsid w:val="006A5A00"/>
    <w:rsid w:val="006E11F3"/>
    <w:rsid w:val="007E4DDF"/>
    <w:rsid w:val="00816A51"/>
    <w:rsid w:val="00821420"/>
    <w:rsid w:val="00867D50"/>
    <w:rsid w:val="008B17A9"/>
    <w:rsid w:val="008C4B1A"/>
    <w:rsid w:val="008E1F65"/>
    <w:rsid w:val="0092337B"/>
    <w:rsid w:val="00942752"/>
    <w:rsid w:val="00974913"/>
    <w:rsid w:val="009928B1"/>
    <w:rsid w:val="009C683D"/>
    <w:rsid w:val="00A4678C"/>
    <w:rsid w:val="00A65243"/>
    <w:rsid w:val="00AA6908"/>
    <w:rsid w:val="00AB2EA0"/>
    <w:rsid w:val="00AC0DCD"/>
    <w:rsid w:val="00AC3872"/>
    <w:rsid w:val="00C52F50"/>
    <w:rsid w:val="00CC4C64"/>
    <w:rsid w:val="00D22526"/>
    <w:rsid w:val="00D74C23"/>
    <w:rsid w:val="00DA1A87"/>
    <w:rsid w:val="00E91049"/>
    <w:rsid w:val="00E96A62"/>
    <w:rsid w:val="00EF32C6"/>
    <w:rsid w:val="00F35ADF"/>
    <w:rsid w:val="00FA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6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5243"/>
  </w:style>
  <w:style w:type="paragraph" w:styleId="Zpat">
    <w:name w:val="footer"/>
    <w:basedOn w:val="Normln"/>
    <w:link w:val="ZpatChar"/>
    <w:uiPriority w:val="99"/>
    <w:semiHidden/>
    <w:unhideWhenUsed/>
    <w:rsid w:val="00A6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243"/>
  </w:style>
  <w:style w:type="paragraph" w:styleId="Odstavecseseznamem">
    <w:name w:val="List Paragraph"/>
    <w:basedOn w:val="Normln"/>
    <w:uiPriority w:val="34"/>
    <w:qFormat/>
    <w:rsid w:val="00CC4C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02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7A9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E910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Michal\SLU\2.%20ro&#269;n&#237;k%20LS\Hospod&#225;&#345;sk&#225;%20politika\Semin&#225;&#345;e\Semin&#225;rn&#237;%20pr&#225;ce%20do%20%20HP\St&#225;tn&#237;%20dluh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8"/>
  <c:chart>
    <c:title>
      <c:tx>
        <c:rich>
          <a:bodyPr/>
          <a:lstStyle/>
          <a:p>
            <a:pPr>
              <a:defRPr/>
            </a:pPr>
            <a:r>
              <a:rPr lang="en-US"/>
              <a:t>Vývoj státního dluhu</a:t>
            </a:r>
            <a:r>
              <a:rPr lang="cs-CZ"/>
              <a:t> v letech 1993-2021</a:t>
            </a:r>
            <a:r>
              <a:rPr lang="cs-CZ" baseline="0"/>
              <a:t> (v mld. Kč)</a:t>
            </a: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List1!$F$3</c:f>
              <c:strCache>
                <c:ptCount val="1"/>
                <c:pt idx="0">
                  <c:v>Státní dluh (v mld. Kč)</c:v>
                </c:pt>
              </c:strCache>
            </c:strRef>
          </c:tx>
          <c:dLbls>
            <c:dLbl>
              <c:idx val="27"/>
              <c:dLblPos val="l"/>
              <c:showVal val="1"/>
            </c:dLbl>
            <c:dLbl>
              <c:idx val="28"/>
              <c:dLblPos val="l"/>
              <c:showVal val="1"/>
            </c:dLbl>
            <c:delete val="1"/>
            <c:dLblPos val="l"/>
          </c:dLbls>
          <c:cat>
            <c:numRef>
              <c:f>List1!$G$2:$AI$2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List1!$G$3:$AI$3</c:f>
              <c:numCache>
                <c:formatCode>General</c:formatCode>
                <c:ptCount val="29"/>
                <c:pt idx="0">
                  <c:v>158.80000000000001</c:v>
                </c:pt>
                <c:pt idx="1">
                  <c:v>157.30000000000001</c:v>
                </c:pt>
                <c:pt idx="2">
                  <c:v>154.4</c:v>
                </c:pt>
                <c:pt idx="3">
                  <c:v>155.19999999999999</c:v>
                </c:pt>
                <c:pt idx="4">
                  <c:v>173.1</c:v>
                </c:pt>
                <c:pt idx="5">
                  <c:v>194.7</c:v>
                </c:pt>
                <c:pt idx="6">
                  <c:v>228.4</c:v>
                </c:pt>
                <c:pt idx="7">
                  <c:v>289.3</c:v>
                </c:pt>
                <c:pt idx="8">
                  <c:v>345</c:v>
                </c:pt>
                <c:pt idx="9">
                  <c:v>395.9</c:v>
                </c:pt>
                <c:pt idx="10">
                  <c:v>493.2</c:v>
                </c:pt>
                <c:pt idx="11">
                  <c:v>592.9</c:v>
                </c:pt>
                <c:pt idx="12">
                  <c:v>691.2</c:v>
                </c:pt>
                <c:pt idx="13">
                  <c:v>802.5</c:v>
                </c:pt>
                <c:pt idx="14">
                  <c:v>892.3</c:v>
                </c:pt>
                <c:pt idx="15">
                  <c:v>999.5</c:v>
                </c:pt>
                <c:pt idx="16">
                  <c:v>1178.2</c:v>
                </c:pt>
                <c:pt idx="17">
                  <c:v>1344.1</c:v>
                </c:pt>
                <c:pt idx="18">
                  <c:v>1499.4</c:v>
                </c:pt>
                <c:pt idx="19">
                  <c:v>1667.6</c:v>
                </c:pt>
                <c:pt idx="20">
                  <c:v>1683.3</c:v>
                </c:pt>
                <c:pt idx="21">
                  <c:v>1663.7</c:v>
                </c:pt>
                <c:pt idx="22">
                  <c:v>1673</c:v>
                </c:pt>
                <c:pt idx="23">
                  <c:v>1613.4</c:v>
                </c:pt>
                <c:pt idx="24">
                  <c:v>1624.7</c:v>
                </c:pt>
                <c:pt idx="25">
                  <c:v>1622</c:v>
                </c:pt>
                <c:pt idx="26">
                  <c:v>1640.2</c:v>
                </c:pt>
                <c:pt idx="27">
                  <c:v>2049.6999999999998</c:v>
                </c:pt>
                <c:pt idx="28">
                  <c:v>2465.6999999999998</c:v>
                </c:pt>
              </c:numCache>
            </c:numRef>
          </c:val>
        </c:ser>
        <c:marker val="1"/>
        <c:axId val="173661568"/>
        <c:axId val="85918848"/>
      </c:lineChart>
      <c:catAx>
        <c:axId val="173661568"/>
        <c:scaling>
          <c:orientation val="minMax"/>
        </c:scaling>
        <c:axPos val="b"/>
        <c:numFmt formatCode="General" sourceLinked="1"/>
        <c:tickLblPos val="nextTo"/>
        <c:crossAx val="85918848"/>
        <c:crosses val="autoZero"/>
        <c:auto val="1"/>
        <c:lblAlgn val="ctr"/>
        <c:lblOffset val="100"/>
      </c:catAx>
      <c:valAx>
        <c:axId val="85918848"/>
        <c:scaling>
          <c:orientation val="minMax"/>
          <c:max val="25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Státní dluh v mld. Kč</a:t>
                </a:r>
              </a:p>
            </c:rich>
          </c:tx>
        </c:title>
        <c:numFmt formatCode="General" sourceLinked="1"/>
        <c:tickLblPos val="nextTo"/>
        <c:crossAx val="17366156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Kožusznik</dc:creator>
  <cp:lastModifiedBy>Michal Kožusznik</cp:lastModifiedBy>
  <cp:revision>9</cp:revision>
  <dcterms:created xsi:type="dcterms:W3CDTF">2022-04-25T14:11:00Z</dcterms:created>
  <dcterms:modified xsi:type="dcterms:W3CDTF">2022-04-25T14:39:00Z</dcterms:modified>
</cp:coreProperties>
</file>