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6308" w:rsidRDefault="008A6308"/>
    <w:p w:rsidR="00457BFA" w:rsidRPr="00993018" w:rsidRDefault="00EA3CDF">
      <w:pPr>
        <w:rPr>
          <w:i/>
          <w:sz w:val="28"/>
          <w:szCs w:val="28"/>
        </w:rPr>
      </w:pPr>
      <w:r w:rsidRPr="00993018">
        <w:rPr>
          <w:b/>
          <w:u w:val="single"/>
        </w:rPr>
        <w:t>Příklad č. 1:</w:t>
      </w:r>
      <w:r>
        <w:t xml:space="preserve"> </w:t>
      </w:r>
      <w:r w:rsidRPr="00993018">
        <w:rPr>
          <w:i/>
          <w:sz w:val="28"/>
          <w:szCs w:val="28"/>
        </w:rPr>
        <w:t>(</w:t>
      </w:r>
      <w:r w:rsidR="00993018" w:rsidRPr="00993018">
        <w:rPr>
          <w:i/>
          <w:sz w:val="28"/>
          <w:szCs w:val="28"/>
        </w:rPr>
        <w:t>uplatnění tří metod sestavování nákladových funkcí)</w:t>
      </w:r>
    </w:p>
    <w:p w:rsidR="004F1036" w:rsidRDefault="004F1036" w:rsidP="00042DFD">
      <w:pPr>
        <w:tabs>
          <w:tab w:val="left" w:pos="900"/>
        </w:tabs>
        <w:spacing w:before="120" w:after="120"/>
        <w:jc w:val="both"/>
      </w:pPr>
      <w:r>
        <w:t>Firma „Prefabrikát, s. r. o.“ je výrobcem betonových dílců pro stavebnictví. Přehled o výrobách a celkových nákladech v jednotlivých měsících roku 20</w:t>
      </w:r>
      <w:r w:rsidR="00CD7E18">
        <w:t>20</w:t>
      </w:r>
      <w:r>
        <w:t xml:space="preserve"> je v následující tabulce. </w:t>
      </w:r>
    </w:p>
    <w:p w:rsidR="004F1036" w:rsidRDefault="00042DFD" w:rsidP="00042DFD">
      <w:pPr>
        <w:tabs>
          <w:tab w:val="left" w:pos="900"/>
        </w:tabs>
        <w:spacing w:before="120" w:after="120"/>
        <w:jc w:val="both"/>
      </w:pPr>
      <w:r>
        <w:t>Na základě údajů dle níže uvedené tabulky, sestavte nákladovou funkci s využitím:</w:t>
      </w:r>
    </w:p>
    <w:p w:rsidR="00042DFD" w:rsidRDefault="005778BB" w:rsidP="00042DFD">
      <w:pPr>
        <w:pStyle w:val="odrkaa-"/>
        <w:tabs>
          <w:tab w:val="clear" w:pos="785"/>
        </w:tabs>
        <w:spacing w:before="120" w:after="120"/>
        <w:ind w:left="540"/>
      </w:pPr>
      <w:r>
        <w:t>Metody dvou období</w:t>
      </w:r>
    </w:p>
    <w:p w:rsidR="005778BB" w:rsidRDefault="005778BB" w:rsidP="00042DFD">
      <w:pPr>
        <w:pStyle w:val="odrkaa-"/>
        <w:tabs>
          <w:tab w:val="clear" w:pos="785"/>
        </w:tabs>
        <w:spacing w:before="120" w:after="120"/>
        <w:ind w:left="540"/>
      </w:pPr>
      <w:r>
        <w:t>Metody dvou bodů</w:t>
      </w:r>
    </w:p>
    <w:p w:rsidR="005778BB" w:rsidRDefault="00253F10" w:rsidP="00042DFD">
      <w:pPr>
        <w:pStyle w:val="odrkaa-"/>
        <w:tabs>
          <w:tab w:val="clear" w:pos="785"/>
        </w:tabs>
        <w:spacing w:before="120" w:after="120"/>
        <w:ind w:left="540"/>
      </w:pPr>
      <w:r>
        <w:t>Regresní a korelační analýzy</w:t>
      </w:r>
    </w:p>
    <w:p w:rsidR="005778BB" w:rsidRDefault="005778BB" w:rsidP="007C2534">
      <w:pPr>
        <w:tabs>
          <w:tab w:val="left" w:pos="900"/>
        </w:tabs>
      </w:pPr>
    </w:p>
    <w:p w:rsidR="007C2534" w:rsidRPr="007C2534" w:rsidRDefault="00457BFA" w:rsidP="007C2534">
      <w:pPr>
        <w:tabs>
          <w:tab w:val="left" w:pos="900"/>
        </w:tabs>
        <w:rPr>
          <w:i/>
        </w:rPr>
      </w:pPr>
      <w:r>
        <w:t xml:space="preserve">Tabulka: </w:t>
      </w:r>
      <w:r w:rsidRPr="007C2534">
        <w:rPr>
          <w:i/>
        </w:rPr>
        <w:t xml:space="preserve">Přehled měsíčních výrob a </w:t>
      </w:r>
      <w:r w:rsidR="007C2534" w:rsidRPr="007C2534">
        <w:rPr>
          <w:i/>
        </w:rPr>
        <w:t>celkových</w:t>
      </w:r>
    </w:p>
    <w:p w:rsidR="00457BFA" w:rsidRPr="007C2534" w:rsidRDefault="007C2534" w:rsidP="007C2534">
      <w:pPr>
        <w:tabs>
          <w:tab w:val="left" w:pos="900"/>
        </w:tabs>
        <w:rPr>
          <w:i/>
        </w:rPr>
      </w:pPr>
      <w:r w:rsidRPr="007C2534">
        <w:rPr>
          <w:i/>
        </w:rPr>
        <w:tab/>
      </w:r>
      <w:r w:rsidR="00457BFA" w:rsidRPr="007C2534">
        <w:rPr>
          <w:i/>
        </w:rPr>
        <w:t xml:space="preserve">nákladů </w:t>
      </w:r>
      <w:r w:rsidRPr="007C2534">
        <w:rPr>
          <w:i/>
        </w:rPr>
        <w:t>ve firmě „Prefabrikát s. r. o.“</w:t>
      </w:r>
    </w:p>
    <w:tbl>
      <w:tblPr>
        <w:tblpPr w:leftFromText="141" w:rightFromText="141" w:vertAnchor="page" w:horzAnchor="margin" w:tblpY="5738"/>
        <w:tblW w:w="4832" w:type="dxa"/>
        <w:tblCellMar>
          <w:left w:w="70" w:type="dxa"/>
          <w:right w:w="70" w:type="dxa"/>
        </w:tblCellMar>
        <w:tblLook w:val="0000" w:firstRow="0" w:lastRow="0" w:firstColumn="0" w:lastColumn="0" w:noHBand="0" w:noVBand="0"/>
      </w:tblPr>
      <w:tblGrid>
        <w:gridCol w:w="968"/>
        <w:gridCol w:w="1936"/>
        <w:gridCol w:w="1928"/>
      </w:tblGrid>
      <w:tr w:rsidR="005778BB">
        <w:trPr>
          <w:trHeight w:val="255"/>
        </w:trPr>
        <w:tc>
          <w:tcPr>
            <w:tcW w:w="968" w:type="dxa"/>
            <w:vMerge w:val="restart"/>
            <w:tcBorders>
              <w:top w:val="single" w:sz="12" w:space="0" w:color="auto"/>
              <w:left w:val="single" w:sz="12" w:space="0" w:color="auto"/>
              <w:bottom w:val="single" w:sz="8" w:space="0" w:color="000000"/>
              <w:right w:val="nil"/>
            </w:tcBorders>
            <w:shd w:val="clear" w:color="auto" w:fill="auto"/>
            <w:noWrap/>
            <w:vAlign w:val="center"/>
          </w:tcPr>
          <w:p w:rsidR="005778BB" w:rsidRDefault="005778BB" w:rsidP="005778BB">
            <w:pPr>
              <w:jc w:val="center"/>
              <w:rPr>
                <w:rFonts w:ascii="Arial" w:hAnsi="Arial" w:cs="Arial"/>
                <w:i/>
                <w:iCs/>
                <w:sz w:val="20"/>
                <w:szCs w:val="20"/>
              </w:rPr>
            </w:pPr>
            <w:r>
              <w:rPr>
                <w:rFonts w:ascii="Arial" w:hAnsi="Arial" w:cs="Arial"/>
                <w:i/>
                <w:iCs/>
                <w:sz w:val="20"/>
                <w:szCs w:val="20"/>
              </w:rPr>
              <w:t>období</w:t>
            </w:r>
          </w:p>
        </w:tc>
        <w:tc>
          <w:tcPr>
            <w:tcW w:w="1936" w:type="dxa"/>
            <w:tcBorders>
              <w:top w:val="single" w:sz="12" w:space="0" w:color="auto"/>
              <w:left w:val="nil"/>
              <w:bottom w:val="nil"/>
              <w:right w:val="nil"/>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Objem výroby</w:t>
            </w:r>
          </w:p>
        </w:tc>
        <w:tc>
          <w:tcPr>
            <w:tcW w:w="1928" w:type="dxa"/>
            <w:tcBorders>
              <w:top w:val="single" w:sz="12" w:space="0" w:color="auto"/>
              <w:left w:val="nil"/>
              <w:bottom w:val="nil"/>
              <w:right w:val="single" w:sz="12" w:space="0" w:color="auto"/>
            </w:tcBorders>
            <w:shd w:val="clear" w:color="auto" w:fill="auto"/>
            <w:noWrap/>
            <w:vAlign w:val="bottom"/>
          </w:tcPr>
          <w:p w:rsidR="005778BB" w:rsidRDefault="005778BB" w:rsidP="005778BB">
            <w:pPr>
              <w:jc w:val="center"/>
              <w:rPr>
                <w:rFonts w:ascii="Arial" w:hAnsi="Arial" w:cs="Arial"/>
                <w:i/>
                <w:iCs/>
                <w:sz w:val="20"/>
                <w:szCs w:val="20"/>
              </w:rPr>
            </w:pPr>
            <w:r>
              <w:rPr>
                <w:rFonts w:ascii="Arial" w:hAnsi="Arial" w:cs="Arial"/>
                <w:i/>
                <w:iCs/>
                <w:sz w:val="20"/>
                <w:szCs w:val="20"/>
              </w:rPr>
              <w:t>Náklady celkem</w:t>
            </w:r>
          </w:p>
        </w:tc>
      </w:tr>
      <w:tr w:rsidR="005778BB">
        <w:trPr>
          <w:trHeight w:val="270"/>
        </w:trPr>
        <w:tc>
          <w:tcPr>
            <w:tcW w:w="968" w:type="dxa"/>
            <w:vMerge/>
            <w:tcBorders>
              <w:top w:val="single" w:sz="8" w:space="0" w:color="auto"/>
              <w:left w:val="single" w:sz="12" w:space="0" w:color="auto"/>
              <w:bottom w:val="single" w:sz="12" w:space="0" w:color="auto"/>
              <w:right w:val="nil"/>
            </w:tcBorders>
            <w:vAlign w:val="center"/>
          </w:tcPr>
          <w:p w:rsidR="005778BB" w:rsidRDefault="005778BB" w:rsidP="005778BB">
            <w:pPr>
              <w:rPr>
                <w:rFonts w:ascii="Arial" w:hAnsi="Arial" w:cs="Arial"/>
                <w:i/>
                <w:iCs/>
                <w:sz w:val="20"/>
                <w:szCs w:val="20"/>
              </w:rPr>
            </w:pPr>
          </w:p>
        </w:tc>
        <w:tc>
          <w:tcPr>
            <w:tcW w:w="1936" w:type="dxa"/>
            <w:tcBorders>
              <w:top w:val="nil"/>
              <w:left w:val="nil"/>
              <w:bottom w:val="single" w:sz="12" w:space="0" w:color="auto"/>
              <w:right w:val="nil"/>
            </w:tcBorders>
            <w:shd w:val="clear" w:color="auto" w:fill="auto"/>
            <w:noWrap/>
            <w:vAlign w:val="bottom"/>
          </w:tcPr>
          <w:p w:rsidR="005778BB" w:rsidRDefault="005778BB" w:rsidP="005778BB">
            <w:pPr>
              <w:jc w:val="center"/>
              <w:rPr>
                <w:rFonts w:ascii="Arial" w:hAnsi="Arial" w:cs="Arial"/>
                <w:i/>
                <w:iCs/>
                <w:sz w:val="20"/>
                <w:szCs w:val="20"/>
              </w:rPr>
            </w:pPr>
            <w:proofErr w:type="gramStart"/>
            <w:r>
              <w:rPr>
                <w:rFonts w:ascii="Arial" w:hAnsi="Arial" w:cs="Arial"/>
                <w:i/>
                <w:iCs/>
                <w:sz w:val="20"/>
                <w:szCs w:val="20"/>
              </w:rPr>
              <w:t>[ ks</w:t>
            </w:r>
            <w:proofErr w:type="gramEnd"/>
            <w:r>
              <w:rPr>
                <w:rFonts w:ascii="Arial" w:hAnsi="Arial" w:cs="Arial"/>
                <w:i/>
                <w:iCs/>
                <w:sz w:val="20"/>
                <w:szCs w:val="20"/>
              </w:rPr>
              <w:t xml:space="preserve"> ]</w:t>
            </w:r>
          </w:p>
        </w:tc>
        <w:tc>
          <w:tcPr>
            <w:tcW w:w="1928" w:type="dxa"/>
            <w:tcBorders>
              <w:top w:val="nil"/>
              <w:left w:val="nil"/>
              <w:bottom w:val="single" w:sz="12" w:space="0" w:color="auto"/>
              <w:right w:val="single" w:sz="12" w:space="0" w:color="auto"/>
            </w:tcBorders>
            <w:shd w:val="clear" w:color="auto" w:fill="auto"/>
            <w:noWrap/>
            <w:vAlign w:val="bottom"/>
          </w:tcPr>
          <w:p w:rsidR="005778BB" w:rsidRDefault="005778BB" w:rsidP="005778BB">
            <w:pPr>
              <w:jc w:val="center"/>
              <w:rPr>
                <w:rFonts w:ascii="Arial" w:hAnsi="Arial" w:cs="Arial"/>
                <w:i/>
                <w:iCs/>
                <w:sz w:val="20"/>
                <w:szCs w:val="20"/>
              </w:rPr>
            </w:pPr>
            <w:proofErr w:type="gramStart"/>
            <w:r>
              <w:rPr>
                <w:rFonts w:ascii="Arial" w:hAnsi="Arial" w:cs="Arial"/>
                <w:i/>
                <w:iCs/>
                <w:sz w:val="20"/>
                <w:szCs w:val="20"/>
              </w:rPr>
              <w:t>[ tis.</w:t>
            </w:r>
            <w:proofErr w:type="gramEnd"/>
            <w:r>
              <w:rPr>
                <w:rFonts w:ascii="Arial" w:hAnsi="Arial" w:cs="Arial"/>
                <w:i/>
                <w:iCs/>
                <w:sz w:val="20"/>
                <w:szCs w:val="20"/>
              </w:rPr>
              <w:t xml:space="preserve"> Kč ]</w:t>
            </w:r>
          </w:p>
        </w:tc>
      </w:tr>
      <w:tr w:rsidR="005778BB">
        <w:trPr>
          <w:trHeight w:val="255"/>
        </w:trPr>
        <w:tc>
          <w:tcPr>
            <w:tcW w:w="968"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leden</w:t>
            </w:r>
          </w:p>
        </w:tc>
        <w:tc>
          <w:tcPr>
            <w:tcW w:w="1936" w:type="dxa"/>
            <w:tcBorders>
              <w:top w:val="single" w:sz="12"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6 224</w:t>
            </w:r>
          </w:p>
        </w:tc>
        <w:tc>
          <w:tcPr>
            <w:tcW w:w="1928" w:type="dxa"/>
            <w:tcBorders>
              <w:top w:val="single" w:sz="12"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6 967</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únor</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5778BB">
            <w:pPr>
              <w:tabs>
                <w:tab w:val="decimal" w:pos="1492"/>
              </w:tabs>
              <w:rPr>
                <w:rFonts w:ascii="Arial" w:hAnsi="Arial" w:cs="Arial"/>
                <w:sz w:val="20"/>
                <w:szCs w:val="20"/>
              </w:rPr>
            </w:pPr>
            <w:r>
              <w:rPr>
                <w:rFonts w:ascii="Arial" w:hAnsi="Arial" w:cs="Arial"/>
                <w:sz w:val="20"/>
                <w:szCs w:val="20"/>
              </w:rPr>
              <w:t>8 460</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7 776</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březen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10 408</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8 002</w:t>
            </w:r>
          </w:p>
        </w:tc>
      </w:tr>
      <w:tr w:rsidR="005778BB">
        <w:trPr>
          <w:trHeight w:val="255"/>
        </w:trPr>
        <w:tc>
          <w:tcPr>
            <w:tcW w:w="968"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5778BB" w:rsidRPr="00F55E9A" w:rsidRDefault="005778BB" w:rsidP="005778BB">
            <w:pPr>
              <w:rPr>
                <w:rFonts w:ascii="Arial" w:hAnsi="Arial" w:cs="Arial"/>
                <w:sz w:val="20"/>
                <w:szCs w:val="20"/>
              </w:rPr>
            </w:pPr>
            <w:r w:rsidRPr="00F55E9A">
              <w:rPr>
                <w:rFonts w:ascii="Arial" w:hAnsi="Arial" w:cs="Arial"/>
                <w:sz w:val="20"/>
                <w:szCs w:val="20"/>
              </w:rPr>
              <w:t>duben</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Pr="00F55E9A" w:rsidRDefault="005778BB" w:rsidP="00FD4D98">
            <w:pPr>
              <w:tabs>
                <w:tab w:val="decimal" w:pos="1492"/>
              </w:tabs>
              <w:ind w:firstLineChars="200" w:firstLine="400"/>
              <w:rPr>
                <w:rFonts w:ascii="Arial" w:hAnsi="Arial" w:cs="Arial"/>
                <w:sz w:val="20"/>
                <w:szCs w:val="20"/>
              </w:rPr>
            </w:pPr>
            <w:r w:rsidRPr="00F55E9A">
              <w:rPr>
                <w:rFonts w:ascii="Arial" w:hAnsi="Arial" w:cs="Arial"/>
                <w:sz w:val="20"/>
                <w:szCs w:val="20"/>
              </w:rPr>
              <w:t>12 623</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Pr="00F55E9A" w:rsidRDefault="005778BB" w:rsidP="00FD4D98">
            <w:pPr>
              <w:tabs>
                <w:tab w:val="decimal" w:pos="1431"/>
              </w:tabs>
              <w:ind w:firstLineChars="200" w:firstLine="400"/>
              <w:rPr>
                <w:rFonts w:ascii="Arial" w:hAnsi="Arial" w:cs="Arial"/>
                <w:sz w:val="20"/>
                <w:szCs w:val="20"/>
              </w:rPr>
            </w:pPr>
            <w:r w:rsidRPr="00F55E9A">
              <w:rPr>
                <w:rFonts w:ascii="Arial" w:hAnsi="Arial" w:cs="Arial"/>
                <w:sz w:val="20"/>
                <w:szCs w:val="20"/>
              </w:rPr>
              <w:t>8 687</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květen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11 976</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8 539</w:t>
            </w:r>
          </w:p>
        </w:tc>
      </w:tr>
      <w:tr w:rsidR="005778BB">
        <w:trPr>
          <w:trHeight w:val="255"/>
        </w:trPr>
        <w:tc>
          <w:tcPr>
            <w:tcW w:w="968" w:type="dxa"/>
            <w:tcBorders>
              <w:top w:val="single" w:sz="4" w:space="0" w:color="auto"/>
              <w:left w:val="single" w:sz="12" w:space="0" w:color="auto"/>
              <w:bottom w:val="single" w:sz="4" w:space="0" w:color="auto"/>
              <w:right w:val="single" w:sz="4" w:space="0" w:color="auto"/>
            </w:tcBorders>
            <w:shd w:val="clear" w:color="auto" w:fill="FFFFFF"/>
            <w:noWrap/>
            <w:vAlign w:val="bottom"/>
          </w:tcPr>
          <w:p w:rsidR="005778BB" w:rsidRDefault="005778BB" w:rsidP="005778BB">
            <w:pPr>
              <w:rPr>
                <w:rFonts w:ascii="Arial" w:hAnsi="Arial" w:cs="Arial"/>
                <w:sz w:val="20"/>
                <w:szCs w:val="20"/>
              </w:rPr>
            </w:pPr>
            <w:r>
              <w:rPr>
                <w:rFonts w:ascii="Arial" w:hAnsi="Arial" w:cs="Arial"/>
                <w:sz w:val="20"/>
                <w:szCs w:val="20"/>
              </w:rPr>
              <w:t>červen</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4 872</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7 261</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červenec</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6 380</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6 989</w:t>
            </w:r>
          </w:p>
        </w:tc>
      </w:tr>
      <w:tr w:rsidR="005778BB" w:rsidRPr="00F55E9A">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srpen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8 708</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7 512</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září</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7 452</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7 138</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říjen</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8 629</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7 598</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listopad</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11 402</w:t>
            </w:r>
          </w:p>
        </w:tc>
        <w:tc>
          <w:tcPr>
            <w:tcW w:w="1928" w:type="dxa"/>
            <w:tcBorders>
              <w:top w:val="single" w:sz="4" w:space="0" w:color="auto"/>
              <w:left w:val="nil"/>
              <w:bottom w:val="single" w:sz="4"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8 621</w:t>
            </w:r>
          </w:p>
        </w:tc>
      </w:tr>
      <w:tr w:rsidR="005778BB">
        <w:trPr>
          <w:trHeight w:val="255"/>
        </w:trPr>
        <w:tc>
          <w:tcPr>
            <w:tcW w:w="968" w:type="dxa"/>
            <w:tcBorders>
              <w:top w:val="nil"/>
              <w:left w:val="single" w:sz="12" w:space="0" w:color="auto"/>
              <w:bottom w:val="single" w:sz="4" w:space="0" w:color="auto"/>
              <w:right w:val="single" w:sz="4" w:space="0" w:color="auto"/>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prosinec</w:t>
            </w:r>
          </w:p>
        </w:tc>
        <w:tc>
          <w:tcPr>
            <w:tcW w:w="1936" w:type="dxa"/>
            <w:tcBorders>
              <w:top w:val="single" w:sz="4" w:space="0" w:color="auto"/>
              <w:left w:val="nil"/>
              <w:bottom w:val="single" w:sz="4" w:space="0" w:color="auto"/>
              <w:right w:val="single" w:sz="4" w:space="0" w:color="auto"/>
            </w:tcBorders>
            <w:shd w:val="clear" w:color="auto" w:fill="FFFFFF"/>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11 237</w:t>
            </w:r>
          </w:p>
        </w:tc>
        <w:tc>
          <w:tcPr>
            <w:tcW w:w="1928" w:type="dxa"/>
            <w:tcBorders>
              <w:top w:val="single" w:sz="4" w:space="0" w:color="auto"/>
              <w:left w:val="nil"/>
              <w:bottom w:val="single" w:sz="4" w:space="0" w:color="auto"/>
              <w:right w:val="single" w:sz="12" w:space="0" w:color="auto"/>
            </w:tcBorders>
            <w:shd w:val="clear" w:color="auto" w:fill="FFFFFF"/>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9 378</w:t>
            </w:r>
          </w:p>
        </w:tc>
      </w:tr>
      <w:tr w:rsidR="005778BB">
        <w:trPr>
          <w:trHeight w:val="270"/>
        </w:trPr>
        <w:tc>
          <w:tcPr>
            <w:tcW w:w="968" w:type="dxa"/>
            <w:tcBorders>
              <w:top w:val="nil"/>
              <w:left w:val="single" w:sz="12" w:space="0" w:color="auto"/>
              <w:bottom w:val="single" w:sz="12" w:space="0" w:color="auto"/>
              <w:right w:val="nil"/>
            </w:tcBorders>
            <w:shd w:val="clear" w:color="auto" w:fill="auto"/>
            <w:noWrap/>
            <w:vAlign w:val="bottom"/>
          </w:tcPr>
          <w:p w:rsidR="005778BB" w:rsidRDefault="005778BB" w:rsidP="005778BB">
            <w:pPr>
              <w:rPr>
                <w:rFonts w:ascii="Arial" w:hAnsi="Arial" w:cs="Arial"/>
                <w:sz w:val="20"/>
                <w:szCs w:val="20"/>
              </w:rPr>
            </w:pPr>
            <w:r>
              <w:rPr>
                <w:rFonts w:ascii="Arial" w:hAnsi="Arial" w:cs="Arial"/>
                <w:sz w:val="20"/>
                <w:szCs w:val="20"/>
              </w:rPr>
              <w:t>CELKEM</w:t>
            </w:r>
          </w:p>
        </w:tc>
        <w:tc>
          <w:tcPr>
            <w:tcW w:w="1936" w:type="dxa"/>
            <w:tcBorders>
              <w:top w:val="nil"/>
              <w:left w:val="nil"/>
              <w:bottom w:val="single" w:sz="12" w:space="0" w:color="auto"/>
              <w:right w:val="nil"/>
            </w:tcBorders>
            <w:shd w:val="clear" w:color="auto" w:fill="auto"/>
            <w:noWrap/>
            <w:vAlign w:val="bottom"/>
          </w:tcPr>
          <w:p w:rsidR="005778BB" w:rsidRDefault="005778BB" w:rsidP="00FD4D98">
            <w:pPr>
              <w:tabs>
                <w:tab w:val="decimal" w:pos="1492"/>
              </w:tabs>
              <w:ind w:firstLineChars="200" w:firstLine="400"/>
              <w:rPr>
                <w:rFonts w:ascii="Arial" w:hAnsi="Arial" w:cs="Arial"/>
                <w:sz w:val="20"/>
                <w:szCs w:val="20"/>
              </w:rPr>
            </w:pPr>
            <w:r>
              <w:rPr>
                <w:rFonts w:ascii="Arial" w:hAnsi="Arial" w:cs="Arial"/>
                <w:sz w:val="20"/>
                <w:szCs w:val="20"/>
              </w:rPr>
              <w:t>108 371</w:t>
            </w:r>
          </w:p>
        </w:tc>
        <w:tc>
          <w:tcPr>
            <w:tcW w:w="1928" w:type="dxa"/>
            <w:tcBorders>
              <w:top w:val="nil"/>
              <w:left w:val="nil"/>
              <w:bottom w:val="single" w:sz="12" w:space="0" w:color="auto"/>
              <w:right w:val="single" w:sz="12" w:space="0" w:color="auto"/>
            </w:tcBorders>
            <w:shd w:val="clear" w:color="auto" w:fill="auto"/>
            <w:noWrap/>
            <w:vAlign w:val="bottom"/>
          </w:tcPr>
          <w:p w:rsidR="005778BB" w:rsidRDefault="005778BB" w:rsidP="00FD4D98">
            <w:pPr>
              <w:tabs>
                <w:tab w:val="decimal" w:pos="1431"/>
              </w:tabs>
              <w:ind w:firstLineChars="200" w:firstLine="400"/>
              <w:rPr>
                <w:rFonts w:ascii="Arial" w:hAnsi="Arial" w:cs="Arial"/>
                <w:sz w:val="20"/>
                <w:szCs w:val="20"/>
              </w:rPr>
            </w:pPr>
            <w:r>
              <w:rPr>
                <w:rFonts w:ascii="Arial" w:hAnsi="Arial" w:cs="Arial"/>
                <w:sz w:val="20"/>
                <w:szCs w:val="20"/>
              </w:rPr>
              <w:t>94 468</w:t>
            </w:r>
          </w:p>
        </w:tc>
      </w:tr>
    </w:tbl>
    <w:p w:rsidR="0098685D" w:rsidRDefault="007C2534" w:rsidP="007C2534">
      <w:pPr>
        <w:tabs>
          <w:tab w:val="left" w:pos="900"/>
        </w:tabs>
        <w:rPr>
          <w:i/>
        </w:rPr>
      </w:pPr>
      <w:r w:rsidRPr="007C2534">
        <w:rPr>
          <w:i/>
        </w:rPr>
        <w:tab/>
        <w:t>za rok 20</w:t>
      </w:r>
      <w:r w:rsidR="00CD7E18">
        <w:rPr>
          <w:i/>
        </w:rPr>
        <w:t>20</w:t>
      </w: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98685D" w:rsidRDefault="0098685D" w:rsidP="007C2534">
      <w:pPr>
        <w:tabs>
          <w:tab w:val="left" w:pos="900"/>
        </w:tabs>
        <w:rPr>
          <w:i/>
        </w:rPr>
      </w:pPr>
    </w:p>
    <w:p w:rsidR="00B273E2" w:rsidRDefault="00B273E2" w:rsidP="0098685D">
      <w:pPr>
        <w:tabs>
          <w:tab w:val="left" w:pos="900"/>
          <w:tab w:val="left" w:pos="3420"/>
        </w:tabs>
        <w:rPr>
          <w:b/>
          <w:u w:val="single"/>
        </w:rPr>
      </w:pPr>
    </w:p>
    <w:p w:rsidR="00910081" w:rsidRDefault="00910081" w:rsidP="006F5D36">
      <w:pPr>
        <w:tabs>
          <w:tab w:val="left" w:pos="720"/>
          <w:tab w:val="left" w:pos="3420"/>
        </w:tabs>
        <w:spacing w:before="120"/>
      </w:pPr>
    </w:p>
    <w:p w:rsidR="00055F80" w:rsidRDefault="00055F80" w:rsidP="00ED1F89">
      <w:pPr>
        <w:tabs>
          <w:tab w:val="left" w:pos="1418"/>
        </w:tabs>
        <w:spacing w:after="180"/>
        <w:jc w:val="both"/>
        <w:rPr>
          <w:b/>
          <w:sz w:val="28"/>
          <w:szCs w:val="28"/>
          <w:u w:val="single"/>
        </w:rPr>
      </w:pPr>
    </w:p>
    <w:p w:rsidR="003E7DC6" w:rsidRDefault="003E7DC6" w:rsidP="003E7DC6">
      <w:pPr>
        <w:tabs>
          <w:tab w:val="decimal" w:pos="-1800"/>
          <w:tab w:val="left" w:pos="540"/>
        </w:tabs>
        <w:spacing w:before="240" w:after="120"/>
      </w:pPr>
      <w:r>
        <w:t>ad c)</w:t>
      </w:r>
      <w:r>
        <w:tab/>
        <w:t xml:space="preserve">Využití metody regresní a korelační analýzy pro stanovení tvaru nákladové funkce je </w:t>
      </w:r>
      <w:r>
        <w:tab/>
        <w:t>možné ve formě:</w:t>
      </w:r>
    </w:p>
    <w:p w:rsidR="003E7DC6" w:rsidRPr="00166995" w:rsidRDefault="003E7DC6" w:rsidP="003E7DC6">
      <w:pPr>
        <w:numPr>
          <w:ilvl w:val="0"/>
          <w:numId w:val="7"/>
        </w:numPr>
        <w:tabs>
          <w:tab w:val="clear" w:pos="4364"/>
          <w:tab w:val="decimal" w:pos="-1800"/>
          <w:tab w:val="num" w:pos="900"/>
        </w:tabs>
        <w:spacing w:before="240" w:after="120"/>
        <w:ind w:left="900" w:hanging="360"/>
        <w:rPr>
          <w:b/>
          <w:u w:val="single"/>
        </w:rPr>
      </w:pPr>
      <w:r w:rsidRPr="00166995">
        <w:rPr>
          <w:b/>
          <w:u w:val="single"/>
        </w:rPr>
        <w:t>manuálních výpočtů s uplatněním vzorců uvedených v přednášce:</w:t>
      </w:r>
    </w:p>
    <w:p w:rsidR="003E7DC6" w:rsidRDefault="003E7DC6" w:rsidP="003E7DC6">
      <w:pPr>
        <w:tabs>
          <w:tab w:val="decimal" w:pos="-1800"/>
          <w:tab w:val="left" w:pos="900"/>
        </w:tabs>
        <w:spacing w:before="240" w:after="120"/>
        <w:ind w:left="540"/>
      </w:pPr>
      <w:r>
        <w:tab/>
      </w:r>
      <w:r w:rsidR="00265A6F" w:rsidRPr="00600E3A">
        <w:rPr>
          <w:noProof/>
          <w:position w:val="-32"/>
        </w:rPr>
        <w:object w:dxaOrig="2500" w:dyaOrig="700" w14:anchorId="1B3D3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4.2pt;height:35.1pt;mso-width-percent:0;mso-height-percent:0;mso-width-percent:0;mso-height-percent:0" o:ole="">
            <v:imagedata r:id="rId7" o:title=""/>
          </v:shape>
          <o:OLEObject Type="Embed" ProgID="Equation.3" ShapeID="_x0000_i1026" DrawAspect="Content" ObjectID="_1708153790" r:id="rId8"/>
        </w:object>
      </w:r>
    </w:p>
    <w:p w:rsidR="003E7DC6" w:rsidRDefault="003E7DC6" w:rsidP="003E7DC6">
      <w:pPr>
        <w:tabs>
          <w:tab w:val="decimal" w:pos="-1800"/>
          <w:tab w:val="left" w:pos="900"/>
        </w:tabs>
        <w:spacing w:before="240" w:after="120"/>
        <w:ind w:left="540"/>
      </w:pPr>
      <w:r>
        <w:tab/>
      </w:r>
      <w:r w:rsidR="00265A6F" w:rsidRPr="00866A05">
        <w:rPr>
          <w:noProof/>
          <w:position w:val="-10"/>
        </w:rPr>
        <w:object w:dxaOrig="1359" w:dyaOrig="380" w14:anchorId="3624A554">
          <v:shape id="_x0000_i1025" type="#_x0000_t75" alt="" style="width:68.4pt;height:18.9pt;mso-width-percent:0;mso-height-percent:0;mso-width-percent:0;mso-height-percent:0" o:ole="">
            <v:imagedata r:id="rId9" o:title=""/>
          </v:shape>
          <o:OLEObject Type="Embed" ProgID="Equation.3" ShapeID="_x0000_i1025" DrawAspect="Content" ObjectID="_1708153791" r:id="rId10"/>
        </w:object>
      </w:r>
    </w:p>
    <w:p w:rsidR="003E7DC6" w:rsidRDefault="003E7DC6" w:rsidP="003E7DC6">
      <w:pPr>
        <w:tabs>
          <w:tab w:val="decimal" w:pos="-1800"/>
          <w:tab w:val="left" w:pos="900"/>
        </w:tabs>
        <w:spacing w:before="240" w:after="120"/>
        <w:ind w:left="540"/>
      </w:pPr>
      <w:r>
        <w:t>Aplikací tabulkového procesoru Excel lze výpočet dle vzorců výrazně zjednodušit a zrychlit</w:t>
      </w:r>
    </w:p>
    <w:p w:rsidR="003E7DC6" w:rsidRDefault="003E7DC6" w:rsidP="003E7DC6">
      <w:pPr>
        <w:tabs>
          <w:tab w:val="decimal" w:pos="-1800"/>
          <w:tab w:val="left" w:pos="900"/>
        </w:tabs>
        <w:spacing w:before="240" w:after="120"/>
        <w:ind w:left="540"/>
      </w:pPr>
    </w:p>
    <w:p w:rsidR="003E7DC6" w:rsidRPr="00186904" w:rsidRDefault="003E7DC6" w:rsidP="003E7DC6">
      <w:pPr>
        <w:numPr>
          <w:ilvl w:val="0"/>
          <w:numId w:val="9"/>
        </w:numPr>
        <w:tabs>
          <w:tab w:val="decimal" w:pos="-1800"/>
        </w:tabs>
        <w:spacing w:before="120"/>
      </w:pPr>
      <w:r w:rsidRPr="00186904">
        <w:lastRenderedPageBreak/>
        <w:t>Zakreslením lineární spojnice trendů v grafickém zpracování EXCEL, včetně vyčíslení regresní rovnice (nákladové funkce) a koeficientu spolehlivosti (korelačního koeficientu).</w:t>
      </w:r>
    </w:p>
    <w:p w:rsidR="003E7DC6" w:rsidRDefault="003E7DC6" w:rsidP="003E7DC6">
      <w:pPr>
        <w:tabs>
          <w:tab w:val="decimal" w:pos="-1800"/>
          <w:tab w:val="left" w:pos="900"/>
        </w:tabs>
        <w:spacing w:before="120"/>
      </w:pPr>
    </w:p>
    <w:p w:rsidR="003E7DC6" w:rsidRPr="007C2534" w:rsidRDefault="003E7DC6" w:rsidP="003E7DC6">
      <w:pPr>
        <w:tabs>
          <w:tab w:val="left" w:pos="709"/>
        </w:tabs>
        <w:spacing w:before="120"/>
        <w:rPr>
          <w:i/>
        </w:rPr>
      </w:pPr>
      <w:r>
        <w:rPr>
          <w:i/>
          <w:noProof/>
        </w:rPr>
        <w:drawing>
          <wp:inline distT="0" distB="0" distL="0" distR="0" wp14:anchorId="61F11B5F" wp14:editId="79B3FB87">
            <wp:extent cx="5429250" cy="3648075"/>
            <wp:effectExtent l="0" t="0" r="0" b="0"/>
            <wp:docPr id="6" name="objek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7DC6" w:rsidRDefault="003E7DC6" w:rsidP="003E7DC6">
      <w:pPr>
        <w:tabs>
          <w:tab w:val="left" w:pos="720"/>
          <w:tab w:val="left" w:pos="3420"/>
        </w:tabs>
        <w:spacing w:before="120"/>
      </w:pPr>
      <w:r>
        <w:t xml:space="preserve"> </w:t>
      </w:r>
    </w:p>
    <w:p w:rsidR="003E7DC6" w:rsidRDefault="003E7DC6" w:rsidP="003E7DC6">
      <w:pPr>
        <w:tabs>
          <w:tab w:val="decimal" w:pos="-1800"/>
          <w:tab w:val="left" w:pos="900"/>
        </w:tabs>
        <w:spacing w:before="120"/>
      </w:pPr>
      <w:r>
        <w:t>V obou případech (</w:t>
      </w:r>
      <w:r w:rsidRPr="00A773B0">
        <w:rPr>
          <w:i/>
        </w:rPr>
        <w:t>manuálním výpočtem i pomoci rovnice trendů v grafické interpretaci závislosti nákladů na objemu produkce</w:t>
      </w:r>
      <w:r>
        <w:t>) má tvar nákladové funkce tuto podobu:</w:t>
      </w:r>
    </w:p>
    <w:p w:rsidR="003E7DC6" w:rsidRDefault="003E7DC6" w:rsidP="003E7DC6">
      <w:pPr>
        <w:tabs>
          <w:tab w:val="decimal" w:pos="-1800"/>
          <w:tab w:val="left" w:pos="900"/>
        </w:tabs>
        <w:spacing w:before="120"/>
        <w:rPr>
          <w:b/>
          <w:i/>
        </w:rPr>
      </w:pPr>
      <w:r w:rsidRPr="00DF08CB">
        <w:rPr>
          <w:b/>
          <w:i/>
        </w:rPr>
        <w:t>N = 0,</w:t>
      </w:r>
      <w:r>
        <w:rPr>
          <w:b/>
          <w:i/>
        </w:rPr>
        <w:t>2</w:t>
      </w:r>
      <w:r w:rsidRPr="00DF08CB">
        <w:rPr>
          <w:b/>
          <w:i/>
        </w:rPr>
        <w:t>7483 · Q + 5 390,41</w:t>
      </w:r>
      <w:r>
        <w:t xml:space="preserve">   </w:t>
      </w:r>
      <w:proofErr w:type="gramStart"/>
      <w:r>
        <w:t xml:space="preserve">   </w:t>
      </w:r>
      <w:r w:rsidRPr="006F5D36">
        <w:rPr>
          <w:b/>
          <w:i/>
        </w:rPr>
        <w:t>[</w:t>
      </w:r>
      <w:proofErr w:type="gramEnd"/>
      <w:r w:rsidRPr="006F5D36">
        <w:rPr>
          <w:b/>
          <w:i/>
        </w:rPr>
        <w:t xml:space="preserve"> tis. Kč]</w:t>
      </w: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3E7DC6" w:rsidRDefault="003E7DC6" w:rsidP="00ED1F89">
      <w:pPr>
        <w:tabs>
          <w:tab w:val="left" w:pos="1418"/>
        </w:tabs>
        <w:spacing w:after="180"/>
        <w:jc w:val="both"/>
        <w:rPr>
          <w:b/>
          <w:sz w:val="28"/>
          <w:szCs w:val="28"/>
          <w:u w:val="single"/>
        </w:rPr>
      </w:pPr>
    </w:p>
    <w:p w:rsidR="003E7DC6" w:rsidRDefault="003E7DC6" w:rsidP="00ED1F89">
      <w:pPr>
        <w:tabs>
          <w:tab w:val="left" w:pos="1418"/>
        </w:tabs>
        <w:spacing w:after="180"/>
        <w:jc w:val="both"/>
        <w:rPr>
          <w:b/>
          <w:sz w:val="28"/>
          <w:szCs w:val="28"/>
          <w:u w:val="single"/>
        </w:rPr>
      </w:pPr>
      <w:bookmarkStart w:id="0" w:name="_GoBack"/>
      <w:bookmarkEnd w:id="0"/>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055F80" w:rsidRDefault="00055F80" w:rsidP="00ED1F89">
      <w:pPr>
        <w:tabs>
          <w:tab w:val="left" w:pos="1418"/>
        </w:tabs>
        <w:spacing w:after="180"/>
        <w:jc w:val="both"/>
        <w:rPr>
          <w:b/>
          <w:sz w:val="28"/>
          <w:szCs w:val="28"/>
          <w:u w:val="single"/>
        </w:rPr>
      </w:pPr>
    </w:p>
    <w:p w:rsidR="004D0DED" w:rsidRPr="00ED1F89" w:rsidRDefault="008814D9" w:rsidP="00ED1F89">
      <w:pPr>
        <w:tabs>
          <w:tab w:val="left" w:pos="1418"/>
        </w:tabs>
        <w:spacing w:after="180"/>
        <w:jc w:val="both"/>
        <w:rPr>
          <w:i/>
          <w:sz w:val="28"/>
          <w:szCs w:val="28"/>
        </w:rPr>
      </w:pPr>
      <w:r w:rsidRPr="00ED1F89">
        <w:rPr>
          <w:b/>
          <w:sz w:val="28"/>
          <w:szCs w:val="28"/>
          <w:u w:val="single"/>
        </w:rPr>
        <w:lastRenderedPageBreak/>
        <w:t xml:space="preserve">Příklad č. 2: </w:t>
      </w:r>
      <w:r w:rsidRPr="00ED1F89">
        <w:rPr>
          <w:i/>
          <w:sz w:val="28"/>
          <w:szCs w:val="28"/>
        </w:rPr>
        <w:t>nákladová funkce při výběru dodavatele výkopových prací</w:t>
      </w:r>
    </w:p>
    <w:p w:rsidR="00A55FFD" w:rsidRPr="00ED1F89" w:rsidRDefault="00A55FFD" w:rsidP="00ED1F89">
      <w:pPr>
        <w:spacing w:after="180"/>
        <w:jc w:val="both"/>
        <w:rPr>
          <w:sz w:val="28"/>
          <w:szCs w:val="28"/>
        </w:rPr>
      </w:pPr>
      <w:r w:rsidRPr="00ED1F89">
        <w:rPr>
          <w:sz w:val="28"/>
          <w:szCs w:val="28"/>
        </w:rPr>
        <w:t>V rámci projektu „Výstavba kabelové sítě“ máte rozhodnout o volbě varianty pro výkop kabelové přípojky o délce 1</w:t>
      </w:r>
      <w:r w:rsidR="008C1F9A" w:rsidRPr="00ED1F89">
        <w:rPr>
          <w:sz w:val="28"/>
          <w:szCs w:val="28"/>
        </w:rPr>
        <w:t xml:space="preserve">6 </w:t>
      </w:r>
      <w:r w:rsidRPr="00ED1F89">
        <w:rPr>
          <w:sz w:val="28"/>
          <w:szCs w:val="28"/>
        </w:rPr>
        <w:t xml:space="preserve">m a hloubce </w:t>
      </w:r>
      <w:r w:rsidR="008C1F9A" w:rsidRPr="00ED1F89">
        <w:rPr>
          <w:sz w:val="28"/>
          <w:szCs w:val="28"/>
        </w:rPr>
        <w:t>120</w:t>
      </w:r>
      <w:r w:rsidRPr="00ED1F89">
        <w:rPr>
          <w:sz w:val="28"/>
          <w:szCs w:val="28"/>
        </w:rPr>
        <w:t xml:space="preserve"> cm mezi následujícími možnostmi:</w:t>
      </w:r>
    </w:p>
    <w:p w:rsidR="00A55FFD" w:rsidRPr="00ED1F89" w:rsidRDefault="00A55FFD" w:rsidP="00ED1F89">
      <w:pPr>
        <w:numPr>
          <w:ilvl w:val="0"/>
          <w:numId w:val="18"/>
        </w:numPr>
        <w:tabs>
          <w:tab w:val="clear" w:pos="720"/>
          <w:tab w:val="num" w:pos="426"/>
        </w:tabs>
        <w:ind w:hanging="720"/>
        <w:jc w:val="both"/>
        <w:rPr>
          <w:sz w:val="28"/>
          <w:szCs w:val="28"/>
        </w:rPr>
      </w:pPr>
      <w:r w:rsidRPr="00ED1F89">
        <w:rPr>
          <w:sz w:val="28"/>
          <w:szCs w:val="28"/>
        </w:rPr>
        <w:t>Výkop provést</w:t>
      </w:r>
      <w:r w:rsidR="008C1F9A" w:rsidRPr="00ED1F89">
        <w:rPr>
          <w:sz w:val="28"/>
          <w:szCs w:val="28"/>
        </w:rPr>
        <w:t xml:space="preserve"> pásovým</w:t>
      </w:r>
      <w:r w:rsidRPr="00ED1F89">
        <w:rPr>
          <w:sz w:val="28"/>
          <w:szCs w:val="28"/>
        </w:rPr>
        <w:t xml:space="preserve"> minibagrem, jehož ekonomické parametry jsou následující: </w:t>
      </w:r>
    </w:p>
    <w:p w:rsidR="00A55FFD" w:rsidRPr="00ED1F89" w:rsidRDefault="00A55FFD" w:rsidP="00ED1F89">
      <w:pPr>
        <w:numPr>
          <w:ilvl w:val="1"/>
          <w:numId w:val="18"/>
        </w:numPr>
        <w:tabs>
          <w:tab w:val="clear" w:pos="1440"/>
          <w:tab w:val="num" w:pos="426"/>
          <w:tab w:val="num" w:pos="851"/>
        </w:tabs>
        <w:ind w:hanging="1014"/>
        <w:jc w:val="both"/>
        <w:rPr>
          <w:sz w:val="28"/>
          <w:szCs w:val="28"/>
        </w:rPr>
      </w:pPr>
      <w:r w:rsidRPr="00ED1F89">
        <w:rPr>
          <w:sz w:val="28"/>
          <w:szCs w:val="28"/>
        </w:rPr>
        <w:t xml:space="preserve">cena výkopu za 1 m o hloubce </w:t>
      </w:r>
      <w:r w:rsidR="008C1F9A" w:rsidRPr="00ED1F89">
        <w:rPr>
          <w:sz w:val="28"/>
          <w:szCs w:val="28"/>
        </w:rPr>
        <w:t>120</w:t>
      </w:r>
      <w:r w:rsidRPr="00ED1F89">
        <w:rPr>
          <w:sz w:val="28"/>
          <w:szCs w:val="28"/>
        </w:rPr>
        <w:t xml:space="preserve"> cm činí </w:t>
      </w:r>
      <w:r w:rsidR="008C1F9A" w:rsidRPr="00ED1F89">
        <w:rPr>
          <w:sz w:val="28"/>
          <w:szCs w:val="28"/>
        </w:rPr>
        <w:t>145</w:t>
      </w:r>
      <w:r w:rsidRPr="00ED1F89">
        <w:rPr>
          <w:sz w:val="28"/>
          <w:szCs w:val="28"/>
        </w:rPr>
        <w:t xml:space="preserve"> Kč/m</w:t>
      </w:r>
    </w:p>
    <w:p w:rsidR="00A55FFD" w:rsidRPr="00ED1F89" w:rsidRDefault="00A55FFD" w:rsidP="00ED1F89">
      <w:pPr>
        <w:numPr>
          <w:ilvl w:val="1"/>
          <w:numId w:val="18"/>
        </w:numPr>
        <w:tabs>
          <w:tab w:val="clear" w:pos="1440"/>
          <w:tab w:val="num" w:pos="426"/>
          <w:tab w:val="num" w:pos="851"/>
        </w:tabs>
        <w:spacing w:after="180"/>
        <w:ind w:left="1435" w:hanging="1015"/>
        <w:jc w:val="both"/>
        <w:rPr>
          <w:sz w:val="28"/>
          <w:szCs w:val="28"/>
        </w:rPr>
      </w:pPr>
      <w:r w:rsidRPr="00ED1F89">
        <w:rPr>
          <w:sz w:val="28"/>
          <w:szCs w:val="28"/>
        </w:rPr>
        <w:t xml:space="preserve">fixní náklady spojené s dovozem minibagru jsou vyčísleny na </w:t>
      </w:r>
      <w:r w:rsidR="008C1F9A" w:rsidRPr="00ED1F89">
        <w:rPr>
          <w:sz w:val="28"/>
          <w:szCs w:val="28"/>
        </w:rPr>
        <w:t>2 7</w:t>
      </w:r>
      <w:r w:rsidRPr="00ED1F89">
        <w:rPr>
          <w:sz w:val="28"/>
          <w:szCs w:val="28"/>
        </w:rPr>
        <w:t>50 Kč</w:t>
      </w:r>
    </w:p>
    <w:p w:rsidR="00A55FFD" w:rsidRPr="00ED1F89" w:rsidRDefault="00A55FFD" w:rsidP="00ED1F89">
      <w:pPr>
        <w:numPr>
          <w:ilvl w:val="0"/>
          <w:numId w:val="18"/>
        </w:numPr>
        <w:tabs>
          <w:tab w:val="clear" w:pos="720"/>
          <w:tab w:val="num" w:pos="426"/>
        </w:tabs>
        <w:ind w:hanging="720"/>
        <w:jc w:val="both"/>
        <w:rPr>
          <w:sz w:val="28"/>
          <w:szCs w:val="28"/>
        </w:rPr>
      </w:pPr>
      <w:r w:rsidRPr="00ED1F89">
        <w:rPr>
          <w:sz w:val="28"/>
          <w:szCs w:val="28"/>
        </w:rPr>
        <w:t>Výkop zajistit skupinou kopáčů, kteří požadují:</w:t>
      </w:r>
    </w:p>
    <w:p w:rsidR="00A55FFD" w:rsidRPr="00ED1F89" w:rsidRDefault="00A55FFD" w:rsidP="00ED1F89">
      <w:pPr>
        <w:numPr>
          <w:ilvl w:val="1"/>
          <w:numId w:val="18"/>
        </w:numPr>
        <w:tabs>
          <w:tab w:val="clear" w:pos="1440"/>
          <w:tab w:val="num" w:pos="426"/>
        </w:tabs>
        <w:ind w:left="851" w:hanging="425"/>
        <w:jc w:val="both"/>
        <w:rPr>
          <w:sz w:val="28"/>
          <w:szCs w:val="28"/>
        </w:rPr>
      </w:pPr>
      <w:r w:rsidRPr="00ED1F89">
        <w:rPr>
          <w:sz w:val="28"/>
          <w:szCs w:val="28"/>
        </w:rPr>
        <w:t xml:space="preserve">cena výkopu za 1 m o hloubce </w:t>
      </w:r>
      <w:r w:rsidR="008C1F9A" w:rsidRPr="00ED1F89">
        <w:rPr>
          <w:sz w:val="28"/>
          <w:szCs w:val="28"/>
        </w:rPr>
        <w:t>120</w:t>
      </w:r>
      <w:r w:rsidRPr="00ED1F89">
        <w:rPr>
          <w:sz w:val="28"/>
          <w:szCs w:val="28"/>
        </w:rPr>
        <w:t xml:space="preserve"> cm činí 3</w:t>
      </w:r>
      <w:r w:rsidR="008C1F9A" w:rsidRPr="00ED1F89">
        <w:rPr>
          <w:sz w:val="28"/>
          <w:szCs w:val="28"/>
        </w:rPr>
        <w:t>5</w:t>
      </w:r>
      <w:r w:rsidRPr="00ED1F89">
        <w:rPr>
          <w:sz w:val="28"/>
          <w:szCs w:val="28"/>
        </w:rPr>
        <w:t>0 Kč/m</w:t>
      </w:r>
    </w:p>
    <w:p w:rsidR="00A55FFD" w:rsidRPr="00ED1F89" w:rsidRDefault="00A55FFD" w:rsidP="00ED1F89">
      <w:pPr>
        <w:numPr>
          <w:ilvl w:val="1"/>
          <w:numId w:val="18"/>
        </w:numPr>
        <w:tabs>
          <w:tab w:val="clear" w:pos="1440"/>
          <w:tab w:val="num" w:pos="426"/>
        </w:tabs>
        <w:spacing w:after="120"/>
        <w:ind w:left="851" w:hanging="425"/>
        <w:jc w:val="both"/>
        <w:rPr>
          <w:sz w:val="28"/>
          <w:szCs w:val="28"/>
        </w:rPr>
      </w:pPr>
      <w:r w:rsidRPr="00ED1F89">
        <w:rPr>
          <w:sz w:val="28"/>
          <w:szCs w:val="28"/>
        </w:rPr>
        <w:t xml:space="preserve">fixní náklady spojené s dovozem skupiny pracovníků jsou vyčísleny na </w:t>
      </w:r>
      <w:r w:rsidR="008C1F9A" w:rsidRPr="00ED1F89">
        <w:rPr>
          <w:sz w:val="28"/>
          <w:szCs w:val="28"/>
        </w:rPr>
        <w:t>3</w:t>
      </w:r>
      <w:r w:rsidRPr="00ED1F89">
        <w:rPr>
          <w:sz w:val="28"/>
          <w:szCs w:val="28"/>
        </w:rPr>
        <w:t>00 Kč.</w:t>
      </w:r>
    </w:p>
    <w:p w:rsidR="003311B9" w:rsidRPr="00ED1F89" w:rsidRDefault="00A55FFD" w:rsidP="00ED1F89">
      <w:pPr>
        <w:spacing w:after="120"/>
        <w:jc w:val="both"/>
        <w:rPr>
          <w:sz w:val="28"/>
          <w:szCs w:val="28"/>
        </w:rPr>
      </w:pPr>
      <w:r w:rsidRPr="00ED1F89">
        <w:rPr>
          <w:sz w:val="28"/>
          <w:szCs w:val="28"/>
        </w:rPr>
        <w:t>Úkol:</w:t>
      </w:r>
    </w:p>
    <w:p w:rsidR="003311B9" w:rsidRPr="00ED1F89" w:rsidRDefault="003311B9" w:rsidP="00ED1F89">
      <w:pPr>
        <w:numPr>
          <w:ilvl w:val="2"/>
          <w:numId w:val="18"/>
        </w:numPr>
        <w:tabs>
          <w:tab w:val="clear" w:pos="2340"/>
          <w:tab w:val="num" w:pos="360"/>
        </w:tabs>
        <w:ind w:left="360"/>
        <w:jc w:val="both"/>
        <w:rPr>
          <w:i/>
          <w:sz w:val="28"/>
          <w:szCs w:val="28"/>
        </w:rPr>
      </w:pPr>
      <w:r w:rsidRPr="00ED1F89">
        <w:rPr>
          <w:i/>
          <w:sz w:val="28"/>
          <w:szCs w:val="28"/>
        </w:rPr>
        <w:t>Zakreslete schematicky nákladové funkce obou variant</w:t>
      </w:r>
    </w:p>
    <w:p w:rsidR="00A80861" w:rsidRPr="00ED1F89" w:rsidRDefault="003311B9" w:rsidP="00ED1F89">
      <w:pPr>
        <w:numPr>
          <w:ilvl w:val="2"/>
          <w:numId w:val="18"/>
        </w:numPr>
        <w:tabs>
          <w:tab w:val="clear" w:pos="2340"/>
          <w:tab w:val="num" w:pos="360"/>
        </w:tabs>
        <w:ind w:left="360"/>
        <w:jc w:val="both"/>
        <w:rPr>
          <w:i/>
          <w:sz w:val="28"/>
          <w:szCs w:val="28"/>
        </w:rPr>
      </w:pPr>
      <w:r w:rsidRPr="00ED1F89">
        <w:rPr>
          <w:i/>
          <w:sz w:val="28"/>
          <w:szCs w:val="28"/>
        </w:rPr>
        <w:t>Rozhodněte, kterou variantu zvolíte pro vlastní výkop kabelové přípojky.</w:t>
      </w:r>
    </w:p>
    <w:p w:rsidR="00A55FFD" w:rsidRPr="00ED1F89" w:rsidRDefault="00A55FFD" w:rsidP="00ED1F89">
      <w:pPr>
        <w:numPr>
          <w:ilvl w:val="2"/>
          <w:numId w:val="18"/>
        </w:numPr>
        <w:tabs>
          <w:tab w:val="clear" w:pos="2340"/>
          <w:tab w:val="num" w:pos="360"/>
        </w:tabs>
        <w:ind w:left="360"/>
        <w:jc w:val="both"/>
        <w:rPr>
          <w:i/>
          <w:sz w:val="28"/>
          <w:szCs w:val="28"/>
        </w:rPr>
      </w:pPr>
      <w:r w:rsidRPr="00ED1F89">
        <w:rPr>
          <w:i/>
          <w:sz w:val="28"/>
          <w:szCs w:val="28"/>
        </w:rPr>
        <w:t>Při jaké délce výkopu kabelové přípojky bude lhostejno, kterou variantu zvolíte?</w:t>
      </w:r>
    </w:p>
    <w:p w:rsidR="005B0A33" w:rsidRPr="00ED1F89" w:rsidRDefault="005B0A33" w:rsidP="00ED1F89">
      <w:pPr>
        <w:ind w:left="720"/>
        <w:jc w:val="both"/>
        <w:rPr>
          <w:i/>
          <w:sz w:val="28"/>
          <w:szCs w:val="28"/>
        </w:rPr>
      </w:pPr>
    </w:p>
    <w:p w:rsidR="005B0A33" w:rsidRDefault="005B0A33"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055F80" w:rsidRDefault="00055F80" w:rsidP="00C93FE7">
      <w:pPr>
        <w:tabs>
          <w:tab w:val="left" w:pos="1620"/>
        </w:tabs>
        <w:rPr>
          <w:b/>
          <w:sz w:val="28"/>
          <w:szCs w:val="28"/>
          <w:u w:val="single"/>
        </w:rPr>
      </w:pPr>
    </w:p>
    <w:p w:rsidR="00C93FE7" w:rsidRPr="00C42647" w:rsidRDefault="00C93FE7" w:rsidP="00C93FE7">
      <w:pPr>
        <w:tabs>
          <w:tab w:val="left" w:pos="1620"/>
        </w:tabs>
        <w:rPr>
          <w:i/>
          <w:sz w:val="28"/>
          <w:szCs w:val="28"/>
        </w:rPr>
      </w:pPr>
      <w:r>
        <w:rPr>
          <w:b/>
          <w:sz w:val="28"/>
          <w:szCs w:val="28"/>
          <w:u w:val="single"/>
        </w:rPr>
        <w:lastRenderedPageBreak/>
        <w:t xml:space="preserve">Příklad č. </w:t>
      </w:r>
      <w:r w:rsidR="005B0A33">
        <w:rPr>
          <w:b/>
          <w:sz w:val="28"/>
          <w:szCs w:val="28"/>
          <w:u w:val="single"/>
        </w:rPr>
        <w:t>3</w:t>
      </w:r>
      <w:r>
        <w:rPr>
          <w:b/>
          <w:sz w:val="28"/>
          <w:szCs w:val="28"/>
          <w:u w:val="single"/>
        </w:rPr>
        <w:t xml:space="preserve"> </w:t>
      </w:r>
      <w:r>
        <w:rPr>
          <w:i/>
          <w:sz w:val="28"/>
          <w:szCs w:val="28"/>
        </w:rPr>
        <w:t xml:space="preserve">(nákladová funkce při výběru dodavatele výrobního zařízení na </w:t>
      </w:r>
      <w:r>
        <w:rPr>
          <w:i/>
          <w:sz w:val="28"/>
          <w:szCs w:val="28"/>
        </w:rPr>
        <w:tab/>
        <w:t>přípravu teplých jídel).</w:t>
      </w:r>
    </w:p>
    <w:p w:rsidR="00C93FE7" w:rsidRDefault="00C93FE7" w:rsidP="00C93FE7">
      <w:pPr>
        <w:rPr>
          <w:b/>
          <w:sz w:val="28"/>
          <w:szCs w:val="28"/>
        </w:rPr>
      </w:pPr>
    </w:p>
    <w:p w:rsidR="00C93FE7" w:rsidRDefault="00C93FE7" w:rsidP="00C93FE7">
      <w:pPr>
        <w:jc w:val="both"/>
      </w:pPr>
      <w:r>
        <w:t>Firma „Zdravá strava“ zaměřená na přípravu teplých jídel provádí v rámci investičního rozhodování výběr dodavatele na dodávku výrobního zařízení pro přípravu teplý</w:t>
      </w:r>
      <w:r w:rsidR="00265E3C">
        <w:t>ch jídel. Výběr se zúžil na dvojici dodavatelů</w:t>
      </w:r>
      <w:r>
        <w:t>, kteří své zařízení prezentují s následujícími technicko-ekonomickými parametry:</w:t>
      </w:r>
    </w:p>
    <w:p w:rsidR="00C93FE7" w:rsidRPr="00C42647" w:rsidRDefault="00C93FE7" w:rsidP="00C93FE7">
      <w:pPr>
        <w:pStyle w:val="odrkaa-"/>
        <w:numPr>
          <w:ilvl w:val="0"/>
          <w:numId w:val="0"/>
        </w:numPr>
        <w:spacing w:before="120" w:after="120"/>
        <w:jc w:val="both"/>
      </w:pPr>
    </w:p>
    <w:p w:rsidR="00C93FE7" w:rsidRPr="009B7311" w:rsidRDefault="00C93FE7" w:rsidP="00C93FE7">
      <w:pPr>
        <w:rPr>
          <w:i/>
        </w:rPr>
      </w:pPr>
      <w:r w:rsidRPr="009B7311">
        <w:rPr>
          <w:i/>
        </w:rPr>
        <w:t>Tabulka: Základní parametry dodavatelů zařízení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8"/>
        <w:gridCol w:w="1842"/>
        <w:gridCol w:w="1843"/>
        <w:gridCol w:w="1843"/>
      </w:tblGrid>
      <w:tr w:rsidR="00C93FE7">
        <w:tc>
          <w:tcPr>
            <w:tcW w:w="2808" w:type="dxa"/>
            <w:tcBorders>
              <w:top w:val="single" w:sz="12" w:space="0" w:color="auto"/>
              <w:bottom w:val="single" w:sz="4" w:space="0" w:color="auto"/>
            </w:tcBorders>
            <w:vAlign w:val="center"/>
          </w:tcPr>
          <w:p w:rsidR="00C93FE7" w:rsidRDefault="00C93FE7" w:rsidP="00026EF3">
            <w:pPr>
              <w:jc w:val="center"/>
            </w:pPr>
            <w:r>
              <w:t>Dodavatel</w:t>
            </w:r>
          </w:p>
        </w:tc>
        <w:tc>
          <w:tcPr>
            <w:tcW w:w="1842" w:type="dxa"/>
            <w:tcBorders>
              <w:top w:val="single" w:sz="12" w:space="0" w:color="auto"/>
              <w:bottom w:val="single" w:sz="4" w:space="0" w:color="auto"/>
            </w:tcBorders>
            <w:vAlign w:val="center"/>
          </w:tcPr>
          <w:p w:rsidR="00C93FE7" w:rsidRDefault="00C93FE7" w:rsidP="00026EF3">
            <w:pPr>
              <w:ind w:left="276"/>
            </w:pPr>
            <w:r>
              <w:t>Konstantní náklady (měsíční)</w:t>
            </w:r>
          </w:p>
        </w:tc>
        <w:tc>
          <w:tcPr>
            <w:tcW w:w="1843" w:type="dxa"/>
            <w:tcBorders>
              <w:top w:val="single" w:sz="12" w:space="0" w:color="auto"/>
              <w:bottom w:val="single" w:sz="4" w:space="0" w:color="auto"/>
            </w:tcBorders>
            <w:vAlign w:val="center"/>
          </w:tcPr>
          <w:p w:rsidR="00C93FE7" w:rsidRDefault="00C93FE7" w:rsidP="00026EF3">
            <w:pPr>
              <w:jc w:val="center"/>
            </w:pPr>
            <w:r>
              <w:t>Variabilní náklady</w:t>
            </w:r>
          </w:p>
        </w:tc>
        <w:tc>
          <w:tcPr>
            <w:tcW w:w="1843" w:type="dxa"/>
            <w:tcBorders>
              <w:top w:val="single" w:sz="12" w:space="0" w:color="auto"/>
              <w:bottom w:val="single" w:sz="4" w:space="0" w:color="auto"/>
            </w:tcBorders>
            <w:vAlign w:val="center"/>
          </w:tcPr>
          <w:p w:rsidR="00C93FE7" w:rsidRDefault="00C93FE7" w:rsidP="00026EF3">
            <w:pPr>
              <w:jc w:val="center"/>
            </w:pPr>
            <w:r>
              <w:t>Výrobní kapacita</w:t>
            </w:r>
          </w:p>
        </w:tc>
      </w:tr>
      <w:tr w:rsidR="00C93FE7">
        <w:tc>
          <w:tcPr>
            <w:tcW w:w="2808" w:type="dxa"/>
            <w:tcBorders>
              <w:top w:val="single" w:sz="4" w:space="0" w:color="auto"/>
              <w:bottom w:val="single" w:sz="12" w:space="0" w:color="auto"/>
            </w:tcBorders>
          </w:tcPr>
          <w:p w:rsidR="00C93FE7" w:rsidRDefault="00C93FE7" w:rsidP="00026EF3"/>
        </w:tc>
        <w:tc>
          <w:tcPr>
            <w:tcW w:w="1842" w:type="dxa"/>
            <w:tcBorders>
              <w:top w:val="single" w:sz="4" w:space="0" w:color="auto"/>
              <w:bottom w:val="single" w:sz="12" w:space="0" w:color="auto"/>
            </w:tcBorders>
          </w:tcPr>
          <w:p w:rsidR="00C93FE7" w:rsidRPr="00BB7A88" w:rsidRDefault="00C93FE7" w:rsidP="00026EF3">
            <w:pPr>
              <w:tabs>
                <w:tab w:val="decimal" w:pos="1356"/>
              </w:tabs>
              <w:rPr>
                <w:i/>
              </w:rPr>
            </w:pPr>
            <w:r w:rsidRPr="00BB7A88">
              <w:rPr>
                <w:i/>
              </w:rPr>
              <w:t>[Kč/měsíc]</w:t>
            </w:r>
          </w:p>
        </w:tc>
        <w:tc>
          <w:tcPr>
            <w:tcW w:w="1843" w:type="dxa"/>
            <w:tcBorders>
              <w:top w:val="single" w:sz="4" w:space="0" w:color="auto"/>
              <w:bottom w:val="single" w:sz="12" w:space="0" w:color="auto"/>
            </w:tcBorders>
          </w:tcPr>
          <w:p w:rsidR="00C93FE7" w:rsidRPr="00BB7A88" w:rsidRDefault="00C93FE7" w:rsidP="00026EF3">
            <w:pPr>
              <w:jc w:val="center"/>
              <w:rPr>
                <w:i/>
              </w:rPr>
            </w:pPr>
            <w:r w:rsidRPr="00BB7A88">
              <w:rPr>
                <w:i/>
              </w:rPr>
              <w:t>[Kč/1 jídlo]</w:t>
            </w:r>
          </w:p>
        </w:tc>
        <w:tc>
          <w:tcPr>
            <w:tcW w:w="1843" w:type="dxa"/>
            <w:tcBorders>
              <w:top w:val="single" w:sz="4" w:space="0" w:color="auto"/>
              <w:bottom w:val="single" w:sz="12" w:space="0" w:color="auto"/>
            </w:tcBorders>
          </w:tcPr>
          <w:p w:rsidR="00C93FE7" w:rsidRPr="00BB7A88" w:rsidRDefault="00C93FE7" w:rsidP="00026EF3">
            <w:pPr>
              <w:jc w:val="center"/>
              <w:rPr>
                <w:i/>
              </w:rPr>
            </w:pPr>
            <w:r w:rsidRPr="00BB7A88">
              <w:rPr>
                <w:i/>
              </w:rPr>
              <w:t>[ks jídel/rok]</w:t>
            </w:r>
          </w:p>
        </w:tc>
      </w:tr>
      <w:tr w:rsidR="00C93FE7">
        <w:trPr>
          <w:trHeight w:val="567"/>
        </w:trPr>
        <w:tc>
          <w:tcPr>
            <w:tcW w:w="2808" w:type="dxa"/>
            <w:tcBorders>
              <w:top w:val="single" w:sz="12" w:space="0" w:color="auto"/>
            </w:tcBorders>
            <w:vAlign w:val="center"/>
          </w:tcPr>
          <w:p w:rsidR="00C93FE7" w:rsidRDefault="00C93FE7" w:rsidP="00026EF3">
            <w:r>
              <w:t>TOS Prachatice s. r. o.</w:t>
            </w:r>
          </w:p>
        </w:tc>
        <w:tc>
          <w:tcPr>
            <w:tcW w:w="1842" w:type="dxa"/>
            <w:tcBorders>
              <w:top w:val="single" w:sz="12" w:space="0" w:color="auto"/>
            </w:tcBorders>
            <w:vAlign w:val="center"/>
          </w:tcPr>
          <w:p w:rsidR="00C93FE7" w:rsidRDefault="00C93FE7" w:rsidP="00026EF3">
            <w:pPr>
              <w:tabs>
                <w:tab w:val="decimal" w:pos="1356"/>
              </w:tabs>
            </w:pPr>
            <w:r>
              <w:t xml:space="preserve"> 90 000</w:t>
            </w:r>
          </w:p>
        </w:tc>
        <w:tc>
          <w:tcPr>
            <w:tcW w:w="1843" w:type="dxa"/>
            <w:tcBorders>
              <w:top w:val="single" w:sz="12" w:space="0" w:color="auto"/>
            </w:tcBorders>
            <w:vAlign w:val="center"/>
          </w:tcPr>
          <w:p w:rsidR="00C93FE7" w:rsidRDefault="00C93FE7" w:rsidP="00026EF3">
            <w:pPr>
              <w:tabs>
                <w:tab w:val="decimal" w:pos="1134"/>
              </w:tabs>
            </w:pPr>
            <w:r>
              <w:t>25</w:t>
            </w:r>
          </w:p>
        </w:tc>
        <w:tc>
          <w:tcPr>
            <w:tcW w:w="1843" w:type="dxa"/>
            <w:tcBorders>
              <w:top w:val="single" w:sz="12" w:space="0" w:color="auto"/>
            </w:tcBorders>
            <w:vAlign w:val="center"/>
          </w:tcPr>
          <w:p w:rsidR="00C93FE7" w:rsidRDefault="00C93FE7" w:rsidP="00026EF3">
            <w:r>
              <w:t>70 000-100 000</w:t>
            </w:r>
          </w:p>
        </w:tc>
      </w:tr>
      <w:tr w:rsidR="00C93FE7">
        <w:trPr>
          <w:trHeight w:val="567"/>
        </w:trPr>
        <w:tc>
          <w:tcPr>
            <w:tcW w:w="2808" w:type="dxa"/>
            <w:vAlign w:val="center"/>
          </w:tcPr>
          <w:p w:rsidR="00C93FE7" w:rsidRDefault="00C93FE7" w:rsidP="00026EF3">
            <w:r>
              <w:t>VJ Louny a. s.</w:t>
            </w:r>
          </w:p>
        </w:tc>
        <w:tc>
          <w:tcPr>
            <w:tcW w:w="1842" w:type="dxa"/>
            <w:vAlign w:val="center"/>
          </w:tcPr>
          <w:p w:rsidR="00C93FE7" w:rsidRDefault="00C93FE7" w:rsidP="00026EF3">
            <w:pPr>
              <w:tabs>
                <w:tab w:val="decimal" w:pos="1326"/>
              </w:tabs>
            </w:pPr>
            <w:r>
              <w:t>110 000</w:t>
            </w:r>
          </w:p>
        </w:tc>
        <w:tc>
          <w:tcPr>
            <w:tcW w:w="1843" w:type="dxa"/>
            <w:vAlign w:val="center"/>
          </w:tcPr>
          <w:p w:rsidR="00C93FE7" w:rsidRDefault="00C93FE7" w:rsidP="00026EF3">
            <w:pPr>
              <w:tabs>
                <w:tab w:val="decimal" w:pos="1134"/>
              </w:tabs>
            </w:pPr>
            <w:r>
              <w:t>22</w:t>
            </w:r>
          </w:p>
        </w:tc>
        <w:tc>
          <w:tcPr>
            <w:tcW w:w="1843" w:type="dxa"/>
            <w:vAlign w:val="center"/>
          </w:tcPr>
          <w:p w:rsidR="00C93FE7" w:rsidRDefault="00C93FE7" w:rsidP="00026EF3">
            <w:pPr>
              <w:tabs>
                <w:tab w:val="decimal" w:pos="-10429"/>
              </w:tabs>
            </w:pPr>
            <w:r>
              <w:t>80 000-110 000</w:t>
            </w:r>
          </w:p>
        </w:tc>
      </w:tr>
    </w:tbl>
    <w:p w:rsidR="00C93FE7" w:rsidRDefault="00C93FE7" w:rsidP="00C93FE7"/>
    <w:p w:rsidR="00C93FE7" w:rsidRDefault="00C93FE7" w:rsidP="00C93FE7"/>
    <w:p w:rsidR="00C93FE7" w:rsidRDefault="00C93FE7" w:rsidP="00C93FE7"/>
    <w:p w:rsidR="00C93FE7" w:rsidRDefault="00C93FE7" w:rsidP="00C93FE7">
      <w:r>
        <w:t>Úkol:</w:t>
      </w:r>
    </w:p>
    <w:p w:rsidR="00C93FE7" w:rsidRDefault="00C93FE7" w:rsidP="00C93FE7"/>
    <w:p w:rsidR="00C93FE7" w:rsidRDefault="00C93FE7" w:rsidP="00C93FE7">
      <w:pPr>
        <w:numPr>
          <w:ilvl w:val="0"/>
          <w:numId w:val="10"/>
        </w:numPr>
        <w:jc w:val="both"/>
      </w:pPr>
      <w:r>
        <w:t>Firma „Zdravá strava“ předpokládá, že za půlroční období (6 měsíců) dodá svým odběratelům 40 000 až 45 000 ks teplých jídel. Jako kritérium pro výběrové řízení bylo přijato kritérium „nižších celkových nákladů“. Kterého dodavatele management firmy „Zdravá strava“ vybere?</w:t>
      </w:r>
    </w:p>
    <w:p w:rsidR="00C93FE7" w:rsidRDefault="00C93FE7" w:rsidP="00C93FE7">
      <w:pPr>
        <w:ind w:left="360"/>
        <w:jc w:val="both"/>
      </w:pPr>
    </w:p>
    <w:p w:rsidR="00C93FE7" w:rsidRDefault="00C93FE7" w:rsidP="00C93FE7">
      <w:pPr>
        <w:numPr>
          <w:ilvl w:val="0"/>
          <w:numId w:val="11"/>
        </w:numPr>
        <w:jc w:val="both"/>
      </w:pPr>
      <w:r>
        <w:t>Za jakou cenu bude svoje výrobky dodávat, chce-li management firmy vykázat zisk ve výši 400 000 Kč při výrobě 40 000 ks jídel za půlroční hodnocení?</w:t>
      </w:r>
    </w:p>
    <w:p w:rsidR="00C93FE7" w:rsidRDefault="00C93FE7" w:rsidP="00C93FE7">
      <w:pPr>
        <w:ind w:left="360"/>
        <w:jc w:val="both"/>
      </w:pPr>
    </w:p>
    <w:p w:rsidR="00C93FE7" w:rsidRDefault="007A2A52" w:rsidP="00C93FE7">
      <w:pPr>
        <w:numPr>
          <w:ilvl w:val="0"/>
          <w:numId w:val="11"/>
        </w:numPr>
        <w:jc w:val="both"/>
      </w:pPr>
      <w:r>
        <w:t>Jak budou vypadat nákladové funkce uvedených dodavatelů</w:t>
      </w:r>
      <w:r w:rsidR="00C93FE7">
        <w:t>?</w:t>
      </w:r>
    </w:p>
    <w:p w:rsidR="00C93FE7" w:rsidRDefault="00C93FE7" w:rsidP="00C93FE7">
      <w:pPr>
        <w:spacing w:before="120" w:after="120"/>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C93FE7">
      <w:pPr>
        <w:jc w:val="both"/>
        <w:rPr>
          <w:b/>
          <w:i/>
          <w:u w:val="single"/>
        </w:rPr>
      </w:pPr>
    </w:p>
    <w:p w:rsidR="00ED1F89" w:rsidRDefault="00ED1F89" w:rsidP="009E62B2">
      <w:pPr>
        <w:rPr>
          <w:b/>
          <w:sz w:val="28"/>
          <w:szCs w:val="28"/>
          <w:u w:val="single"/>
        </w:rPr>
      </w:pPr>
    </w:p>
    <w:p w:rsidR="009E62B2" w:rsidRDefault="009E62B2" w:rsidP="009E62B2">
      <w:pPr>
        <w:rPr>
          <w:i/>
          <w:sz w:val="28"/>
          <w:szCs w:val="28"/>
        </w:rPr>
      </w:pPr>
      <w:r w:rsidRPr="00EC1358">
        <w:rPr>
          <w:b/>
          <w:sz w:val="28"/>
          <w:szCs w:val="28"/>
          <w:u w:val="single"/>
        </w:rPr>
        <w:lastRenderedPageBreak/>
        <w:t xml:space="preserve">Příklad č. </w:t>
      </w:r>
      <w:r w:rsidR="005B0A33">
        <w:rPr>
          <w:b/>
          <w:sz w:val="28"/>
          <w:szCs w:val="28"/>
          <w:u w:val="single"/>
        </w:rPr>
        <w:t>4</w:t>
      </w:r>
      <w:r w:rsidRPr="00EC1358">
        <w:rPr>
          <w:b/>
          <w:sz w:val="28"/>
          <w:szCs w:val="28"/>
          <w:u w:val="single"/>
        </w:rPr>
        <w:t>:</w:t>
      </w:r>
      <w:r>
        <w:rPr>
          <w:b/>
          <w:sz w:val="28"/>
          <w:szCs w:val="28"/>
          <w:u w:val="single"/>
        </w:rPr>
        <w:t xml:space="preserve"> </w:t>
      </w:r>
      <w:r>
        <w:rPr>
          <w:i/>
          <w:sz w:val="28"/>
          <w:szCs w:val="28"/>
        </w:rPr>
        <w:t>(nákladová funkce klienta mobilního operátora)</w:t>
      </w:r>
    </w:p>
    <w:p w:rsidR="009E62B2" w:rsidRPr="00EC1358" w:rsidRDefault="009E62B2" w:rsidP="009E62B2">
      <w:pPr>
        <w:rPr>
          <w:i/>
          <w:sz w:val="28"/>
          <w:szCs w:val="28"/>
        </w:rPr>
      </w:pPr>
    </w:p>
    <w:p w:rsidR="00355399" w:rsidRDefault="00355399" w:rsidP="00355399">
      <w:pPr>
        <w:spacing w:before="120" w:after="120"/>
        <w:jc w:val="both"/>
      </w:pPr>
      <w:r>
        <w:t xml:space="preserve">Společnost „TAXIS“ nabízí službu za následujících podmínek: za poplatek </w:t>
      </w:r>
      <w:r w:rsidR="0077045B">
        <w:t>360</w:t>
      </w:r>
      <w:r>
        <w:t xml:space="preserve"> Kč/měsíc je cena hovoru za jednu minutu 1,</w:t>
      </w:r>
      <w:r w:rsidR="0077045B">
        <w:t>2</w:t>
      </w:r>
      <w:r>
        <w:t xml:space="preserve"> Kč/minutu. Společnost „VEGA“ nabízí za poplatek </w:t>
      </w:r>
      <w:r w:rsidR="0077045B">
        <w:t>600</w:t>
      </w:r>
      <w:r>
        <w:t xml:space="preserve"> Kč měsíčně neomezené volání do všech sítí.</w:t>
      </w:r>
    </w:p>
    <w:p w:rsidR="00355399" w:rsidRDefault="00355399" w:rsidP="00355399">
      <w:pPr>
        <w:spacing w:before="120" w:after="120"/>
        <w:jc w:val="both"/>
      </w:pPr>
      <w:r>
        <w:t>Úkol:</w:t>
      </w:r>
    </w:p>
    <w:p w:rsidR="00355399" w:rsidRDefault="00355399" w:rsidP="00355399">
      <w:pPr>
        <w:numPr>
          <w:ilvl w:val="0"/>
          <w:numId w:val="13"/>
        </w:numPr>
        <w:tabs>
          <w:tab w:val="clear" w:pos="960"/>
          <w:tab w:val="num" w:pos="360"/>
        </w:tabs>
        <w:spacing w:before="120" w:after="120"/>
        <w:ind w:left="720" w:hanging="540"/>
        <w:jc w:val="both"/>
        <w:rPr>
          <w:i/>
        </w:rPr>
      </w:pPr>
      <w:r w:rsidRPr="00D40A59">
        <w:rPr>
          <w:i/>
        </w:rPr>
        <w:t>Stanovte, v jakém časovém intervalu hovorů jsou výhodné jednotlivé nabídky?</w:t>
      </w:r>
    </w:p>
    <w:p w:rsidR="009E62B2" w:rsidRDefault="00355399" w:rsidP="0077045B">
      <w:pPr>
        <w:numPr>
          <w:ilvl w:val="0"/>
          <w:numId w:val="13"/>
        </w:numPr>
        <w:tabs>
          <w:tab w:val="clear" w:pos="960"/>
          <w:tab w:val="num" w:pos="360"/>
        </w:tabs>
        <w:spacing w:before="120" w:after="120"/>
        <w:ind w:left="720" w:hanging="540"/>
        <w:jc w:val="both"/>
        <w:rPr>
          <w:i/>
        </w:rPr>
      </w:pPr>
      <w:r>
        <w:rPr>
          <w:i/>
        </w:rPr>
        <w:t>Schematicky vyznačte grafickou podobu nákladových funkcí</w:t>
      </w:r>
    </w:p>
    <w:p w:rsidR="00B313A4" w:rsidRPr="0077045B" w:rsidRDefault="00B313A4" w:rsidP="00A55FFD">
      <w:pPr>
        <w:tabs>
          <w:tab w:val="num" w:pos="360"/>
        </w:tabs>
        <w:spacing w:before="120" w:after="120"/>
        <w:jc w:val="both"/>
        <w:rPr>
          <w:i/>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055F80" w:rsidRDefault="00055F80" w:rsidP="009E62B2">
      <w:pPr>
        <w:spacing w:before="120" w:after="120"/>
        <w:jc w:val="both"/>
        <w:rPr>
          <w:b/>
          <w:sz w:val="28"/>
          <w:szCs w:val="28"/>
          <w:u w:val="single"/>
        </w:rPr>
      </w:pPr>
    </w:p>
    <w:p w:rsidR="009E62B2" w:rsidRPr="00293587" w:rsidRDefault="009E62B2" w:rsidP="009E62B2">
      <w:pPr>
        <w:spacing w:before="120" w:after="120"/>
        <w:jc w:val="both"/>
        <w:rPr>
          <w:i/>
        </w:rPr>
      </w:pPr>
      <w:r w:rsidRPr="00293587">
        <w:rPr>
          <w:b/>
          <w:sz w:val="28"/>
          <w:szCs w:val="28"/>
          <w:u w:val="single"/>
        </w:rPr>
        <w:t xml:space="preserve">Příklad č. </w:t>
      </w:r>
      <w:r w:rsidR="005B0A33">
        <w:rPr>
          <w:b/>
          <w:sz w:val="28"/>
          <w:szCs w:val="28"/>
          <w:u w:val="single"/>
        </w:rPr>
        <w:t>5</w:t>
      </w:r>
      <w:r>
        <w:rPr>
          <w:b/>
          <w:sz w:val="28"/>
          <w:szCs w:val="28"/>
          <w:u w:val="single"/>
        </w:rPr>
        <w:t xml:space="preserve"> </w:t>
      </w:r>
      <w:r w:rsidRPr="00C42647">
        <w:rPr>
          <w:i/>
          <w:sz w:val="28"/>
          <w:szCs w:val="28"/>
        </w:rPr>
        <w:t xml:space="preserve">(nákladová funkce klienta </w:t>
      </w:r>
      <w:r w:rsidR="009D2478">
        <w:rPr>
          <w:i/>
          <w:sz w:val="28"/>
          <w:szCs w:val="28"/>
        </w:rPr>
        <w:t>Českých drah</w:t>
      </w:r>
      <w:r w:rsidRPr="00C42647">
        <w:rPr>
          <w:i/>
          <w:sz w:val="28"/>
          <w:szCs w:val="28"/>
        </w:rPr>
        <w:t>)</w:t>
      </w:r>
    </w:p>
    <w:p w:rsidR="00CD4407" w:rsidRDefault="00CD4407" w:rsidP="00CD4407">
      <w:pPr>
        <w:spacing w:before="120" w:after="120"/>
        <w:jc w:val="both"/>
      </w:pPr>
      <w:r>
        <w:t xml:space="preserve">Pro své zákazníky nabízí České dráhy řadu výhod spojených s nákupem IN KARTY </w:t>
      </w:r>
      <w:r w:rsidR="007A5126">
        <w:rPr>
          <w:i/>
        </w:rPr>
        <w:t>(stav k 14. 12. rokuX</w:t>
      </w:r>
      <w:r w:rsidRPr="00E62A40">
        <w:rPr>
          <w:i/>
        </w:rPr>
        <w:t>)</w:t>
      </w:r>
      <w:r>
        <w:t xml:space="preserve"> a uvádějí např. následující variantu:</w:t>
      </w:r>
    </w:p>
    <w:p w:rsidR="00CD4407" w:rsidRDefault="00CD4407" w:rsidP="00CD4407">
      <w:pPr>
        <w:spacing w:before="120" w:after="120"/>
        <w:jc w:val="both"/>
      </w:pPr>
      <w:r>
        <w:t xml:space="preserve">Výše slevy na cestovném, při jejím zakoupení činí </w:t>
      </w:r>
      <w:r w:rsidRPr="00E62A40">
        <w:rPr>
          <w:i/>
        </w:rPr>
        <w:t>25 % z ceny jízdného</w:t>
      </w:r>
      <w:r>
        <w:t>; kartu lze zakoupit za 250 Kč/ks a její platnost je jeden rok.</w:t>
      </w:r>
    </w:p>
    <w:p w:rsidR="00CD4407" w:rsidRDefault="00CD4407" w:rsidP="00CD4407">
      <w:pPr>
        <w:spacing w:before="120" w:after="120"/>
        <w:jc w:val="both"/>
      </w:pPr>
      <w:r>
        <w:t>Stanovte:</w:t>
      </w:r>
    </w:p>
    <w:p w:rsidR="00CD4407" w:rsidRPr="00575B66" w:rsidRDefault="00CD4407" w:rsidP="00CD4407">
      <w:pPr>
        <w:pStyle w:val="Odstavecseseznamem"/>
        <w:numPr>
          <w:ilvl w:val="0"/>
          <w:numId w:val="16"/>
        </w:numPr>
        <w:spacing w:before="120" w:after="120"/>
        <w:ind w:left="426" w:hanging="426"/>
        <w:contextualSpacing w:val="0"/>
        <w:jc w:val="both"/>
        <w:rPr>
          <w:i/>
        </w:rPr>
      </w:pPr>
      <w:r w:rsidRPr="00575B66">
        <w:rPr>
          <w:i/>
        </w:rPr>
        <w:t>Počet jízd vlakem mezi Opavou a Karvinou (56 km) pro studenta, který si zakoupil IN KARTU „IN</w:t>
      </w:r>
      <w:r w:rsidRPr="005B09C9">
        <w:rPr>
          <w:i/>
        </w:rPr>
        <w:t> </w:t>
      </w:r>
      <w:r w:rsidRPr="00575B66">
        <w:rPr>
          <w:i/>
        </w:rPr>
        <w:t>25“ za 250 Kč platnou po období jednoho roku tak, aby využil výhod nabízeného produktu. Cena jízdného činí 1,50 Kč/km.</w:t>
      </w:r>
    </w:p>
    <w:p w:rsidR="00CD4407" w:rsidRDefault="00CD4407" w:rsidP="00CD4407">
      <w:pPr>
        <w:pStyle w:val="Odstavecseseznamem"/>
        <w:numPr>
          <w:ilvl w:val="0"/>
          <w:numId w:val="16"/>
        </w:numPr>
        <w:spacing w:before="120" w:after="120"/>
        <w:ind w:left="426" w:hanging="426"/>
        <w:contextualSpacing w:val="0"/>
        <w:jc w:val="both"/>
        <w:rPr>
          <w:i/>
        </w:rPr>
      </w:pPr>
      <w:r w:rsidRPr="00575B66">
        <w:rPr>
          <w:i/>
        </w:rPr>
        <w:t xml:space="preserve">V případě, že student cestuje jednou týdně do svého bydliště v Opavě, vyčíslete úsporu nákladů, kterou vykáže </w:t>
      </w:r>
      <w:r>
        <w:rPr>
          <w:i/>
        </w:rPr>
        <w:t xml:space="preserve">za období jednoho roku po </w:t>
      </w:r>
      <w:r w:rsidRPr="00575B66">
        <w:rPr>
          <w:i/>
        </w:rPr>
        <w:t>zakoupení uvedené karty.</w:t>
      </w:r>
    </w:p>
    <w:p w:rsidR="00CD4407" w:rsidRDefault="00CD4407" w:rsidP="00CD4407">
      <w:pPr>
        <w:pStyle w:val="Odstavecseseznamem"/>
        <w:numPr>
          <w:ilvl w:val="0"/>
          <w:numId w:val="16"/>
        </w:numPr>
        <w:spacing w:before="120" w:after="120"/>
        <w:ind w:left="426" w:hanging="426"/>
        <w:contextualSpacing w:val="0"/>
        <w:jc w:val="both"/>
        <w:rPr>
          <w:i/>
        </w:rPr>
      </w:pPr>
      <w:r>
        <w:rPr>
          <w:i/>
        </w:rPr>
        <w:t>Schematicky vyznačte grafickou podobu nákladové funkce zákazníka bez IN KARTY a nákladovou funkci držitele IN KARTY.</w:t>
      </w:r>
    </w:p>
    <w:p w:rsidR="009E62B2" w:rsidRDefault="009E62B2" w:rsidP="009E62B2">
      <w:pPr>
        <w:pStyle w:val="odrkaa-"/>
        <w:numPr>
          <w:ilvl w:val="0"/>
          <w:numId w:val="0"/>
        </w:numPr>
        <w:spacing w:before="120" w:after="120"/>
        <w:jc w:val="both"/>
        <w:rPr>
          <w:i/>
        </w:rPr>
      </w:pPr>
    </w:p>
    <w:p w:rsidR="009E62B2" w:rsidRDefault="009E62B2" w:rsidP="009E62B2">
      <w:pPr>
        <w:pStyle w:val="odrkaa-"/>
        <w:numPr>
          <w:ilvl w:val="0"/>
          <w:numId w:val="0"/>
        </w:numPr>
        <w:spacing w:before="120" w:after="120"/>
        <w:jc w:val="both"/>
        <w:rPr>
          <w:b/>
          <w:i/>
          <w:u w:val="single"/>
        </w:rPr>
      </w:pPr>
    </w:p>
    <w:p w:rsidR="009E62B2" w:rsidRPr="00EF3BAB" w:rsidRDefault="009E62B2" w:rsidP="00EF3BAB">
      <w:pPr>
        <w:tabs>
          <w:tab w:val="left" w:pos="1080"/>
        </w:tabs>
      </w:pPr>
      <w:bookmarkStart w:id="1" w:name="_MON_1272640791"/>
      <w:bookmarkEnd w:id="1"/>
    </w:p>
    <w:sectPr w:rsidR="009E62B2" w:rsidRPr="00EF3BAB" w:rsidSect="00F55E9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A6F" w:rsidRDefault="00265A6F">
      <w:r>
        <w:separator/>
      </w:r>
    </w:p>
  </w:endnote>
  <w:endnote w:type="continuationSeparator" w:id="0">
    <w:p w:rsidR="00265A6F" w:rsidRDefault="0026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A0C" w:rsidRDefault="00301A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A0C" w:rsidRDefault="00301A0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A0C" w:rsidRDefault="00301A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A6F" w:rsidRDefault="00265A6F">
      <w:r>
        <w:separator/>
      </w:r>
    </w:p>
  </w:footnote>
  <w:footnote w:type="continuationSeparator" w:id="0">
    <w:p w:rsidR="00265A6F" w:rsidRDefault="0026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A0C" w:rsidRDefault="00301A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F10" w:rsidRDefault="00253F10" w:rsidP="00253F10">
    <w:pPr>
      <w:pStyle w:val="Zhlav"/>
    </w:pPr>
    <w:r>
      <w:tab/>
    </w:r>
    <w:r w:rsidR="00CD7E18">
      <w:t>Seminář č.</w:t>
    </w:r>
    <w:r w:rsidR="00ED1F89">
      <w:t xml:space="preserve"> 2</w:t>
    </w:r>
    <w:r>
      <w:tab/>
    </w:r>
  </w:p>
  <w:p w:rsidR="00253F10" w:rsidRDefault="00253F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A0C" w:rsidRDefault="00301A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66E"/>
    <w:multiLevelType w:val="hybridMultilevel"/>
    <w:tmpl w:val="4F26DBE0"/>
    <w:lvl w:ilvl="0" w:tplc="6C14B648">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86D30"/>
    <w:multiLevelType w:val="hybridMultilevel"/>
    <w:tmpl w:val="49FCB226"/>
    <w:lvl w:ilvl="0" w:tplc="EF7A9CA0">
      <w:start w:val="1"/>
      <w:numFmt w:val="bullet"/>
      <w:lvlText w:val=""/>
      <w:lvlJc w:val="left"/>
      <w:pPr>
        <w:tabs>
          <w:tab w:val="num" w:pos="900"/>
        </w:tabs>
        <w:ind w:left="900" w:hanging="360"/>
      </w:pPr>
      <w:rPr>
        <w:rFonts w:ascii="Symbol" w:hAnsi="Symbol"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2" w15:restartNumberingAfterBreak="0">
    <w:nsid w:val="0C166CD8"/>
    <w:multiLevelType w:val="hybridMultilevel"/>
    <w:tmpl w:val="D6E0EA0E"/>
    <w:lvl w:ilvl="0" w:tplc="6C14B648">
      <w:start w:val="1"/>
      <w:numFmt w:val="decimal"/>
      <w:lvlText w:val="%1."/>
      <w:lvlJc w:val="right"/>
      <w:pPr>
        <w:tabs>
          <w:tab w:val="num" w:pos="4364"/>
        </w:tabs>
        <w:ind w:left="1277" w:hanging="737"/>
      </w:pPr>
      <w:rPr>
        <w:rFonts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3" w15:restartNumberingAfterBreak="0">
    <w:nsid w:val="1C8A026D"/>
    <w:multiLevelType w:val="hybridMultilevel"/>
    <w:tmpl w:val="67942B1C"/>
    <w:lvl w:ilvl="0" w:tplc="04050001">
      <w:start w:val="1"/>
      <w:numFmt w:val="lowerLetter"/>
      <w:pStyle w:val="odrkaa-"/>
      <w:lvlText w:val="%1)"/>
      <w:lvlJc w:val="right"/>
      <w:pPr>
        <w:tabs>
          <w:tab w:val="num" w:pos="785"/>
        </w:tabs>
        <w:ind w:left="785" w:hanging="360"/>
      </w:pPr>
      <w:rPr>
        <w:rFonts w:ascii="Times New Roman" w:hAnsi="Times New Roman"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15:restartNumberingAfterBreak="0">
    <w:nsid w:val="23C45A1F"/>
    <w:multiLevelType w:val="hybridMultilevel"/>
    <w:tmpl w:val="1BF4A950"/>
    <w:lvl w:ilvl="0" w:tplc="2056C38C">
      <w:start w:val="1"/>
      <w:numFmt w:val="lowerLetter"/>
      <w:lvlText w:val="%1)"/>
      <w:lvlJc w:val="right"/>
      <w:pPr>
        <w:tabs>
          <w:tab w:val="num" w:pos="785"/>
        </w:tabs>
        <w:ind w:left="785" w:hanging="360"/>
      </w:pPr>
      <w:rPr>
        <w:rFonts w:ascii="Times New Roman" w:hAnsi="Times New Roman" w:cs="Times New Roman" w:hint="default"/>
        <w:b w:val="0"/>
        <w:bCs w:val="0"/>
        <w:i w:val="0"/>
        <w:iCs w:val="0"/>
        <w:caps w:val="0"/>
        <w:smallCaps w:val="0"/>
        <w:strike w:val="0"/>
        <w:dstrike w:val="0"/>
        <w:vanish w:val="0"/>
        <w:spacing w:val="0"/>
        <w:position w:val="0"/>
        <w:u w:val="none"/>
        <w:vertAlign w:val="baseline"/>
        <w:em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D4475F"/>
    <w:multiLevelType w:val="hybridMultilevel"/>
    <w:tmpl w:val="8D1E461A"/>
    <w:lvl w:ilvl="0" w:tplc="0E54053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1B0"/>
    <w:multiLevelType w:val="hybridMultilevel"/>
    <w:tmpl w:val="6756B240"/>
    <w:lvl w:ilvl="0" w:tplc="2A06859A">
      <w:start w:val="1"/>
      <w:numFmt w:val="lowerLetter"/>
      <w:lvlText w:val="%1)"/>
      <w:lvlJc w:val="right"/>
      <w:pPr>
        <w:tabs>
          <w:tab w:val="num" w:pos="960"/>
        </w:tabs>
        <w:ind w:left="960" w:hanging="360"/>
      </w:pPr>
      <w:rPr>
        <w:rFonts w:ascii="Times New Roman" w:hAnsi="Times New Roman" w:hint="default"/>
        <w:b w:val="0"/>
        <w:i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7" w15:restartNumberingAfterBreak="0">
    <w:nsid w:val="33A33843"/>
    <w:multiLevelType w:val="multilevel"/>
    <w:tmpl w:val="67942B1C"/>
    <w:lvl w:ilvl="0">
      <w:start w:val="1"/>
      <w:numFmt w:val="lowerLetter"/>
      <w:lvlText w:val="%1)"/>
      <w:lvlJc w:val="right"/>
      <w:pPr>
        <w:tabs>
          <w:tab w:val="num" w:pos="785"/>
        </w:tabs>
        <w:ind w:left="785" w:hanging="36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0144F4"/>
    <w:multiLevelType w:val="hybridMultilevel"/>
    <w:tmpl w:val="9E0CB0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354340"/>
    <w:multiLevelType w:val="hybridMultilevel"/>
    <w:tmpl w:val="099A9902"/>
    <w:lvl w:ilvl="0" w:tplc="04050019">
      <w:start w:val="1"/>
      <w:numFmt w:val="lowerLetter"/>
      <w:lvlText w:val="%1."/>
      <w:lvlJc w:val="left"/>
      <w:pPr>
        <w:tabs>
          <w:tab w:val="num" w:pos="720"/>
        </w:tabs>
        <w:ind w:left="720" w:hanging="360"/>
      </w:pPr>
    </w:lvl>
    <w:lvl w:ilvl="1" w:tplc="4F82AD68">
      <w:start w:val="5"/>
      <w:numFmt w:val="bullet"/>
      <w:lvlText w:val="-"/>
      <w:lvlJc w:val="left"/>
      <w:pPr>
        <w:tabs>
          <w:tab w:val="num" w:pos="1440"/>
        </w:tabs>
        <w:ind w:left="1440" w:hanging="360"/>
      </w:pPr>
      <w:rPr>
        <w:rFonts w:ascii="Times New Roman" w:eastAsia="Times New Roman" w:hAnsi="Times New Roman" w:cs="Times New Roman" w:hint="default"/>
      </w:rPr>
    </w:lvl>
    <w:lvl w:ilvl="2" w:tplc="2A1A71E8">
      <w:start w:val="1"/>
      <w:numFmt w:val="decimal"/>
      <w:lvlText w:val="%3."/>
      <w:lvlJc w:val="left"/>
      <w:pPr>
        <w:tabs>
          <w:tab w:val="num" w:pos="2340"/>
        </w:tabs>
        <w:ind w:left="2340" w:hanging="360"/>
      </w:pPr>
      <w:rPr>
        <w:rFonts w:hint="default"/>
      </w:rPr>
    </w:lvl>
    <w:lvl w:ilvl="3" w:tplc="31C2393A">
      <w:start w:val="1"/>
      <w:numFmt w:val="decimal"/>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85F1E07"/>
    <w:multiLevelType w:val="hybridMultilevel"/>
    <w:tmpl w:val="4ECC7788"/>
    <w:lvl w:ilvl="0" w:tplc="E576A0EA">
      <w:start w:val="1"/>
      <w:numFmt w:val="decimal"/>
      <w:pStyle w:val="Nadpis6"/>
      <w:lvlText w:val="Obr. %1:"/>
      <w:lvlJc w:val="left"/>
      <w:pPr>
        <w:tabs>
          <w:tab w:val="num" w:pos="851"/>
        </w:tabs>
        <w:ind w:left="851" w:hanging="851"/>
      </w:pPr>
      <w:rPr>
        <w:rFonts w:ascii="Times New Roman" w:hAnsi="Times New Roman" w:hint="default"/>
        <w:b/>
        <w:i w:val="0"/>
        <w:sz w:val="24"/>
        <w:szCs w:val="24"/>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15:restartNumberingAfterBreak="0">
    <w:nsid w:val="4CA51ED8"/>
    <w:multiLevelType w:val="multilevel"/>
    <w:tmpl w:val="49FCB2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272"/>
        </w:tabs>
        <w:ind w:left="1272" w:hanging="360"/>
      </w:pPr>
      <w:rPr>
        <w:rFonts w:ascii="Courier New" w:hAnsi="Courier New" w:cs="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cs="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cs="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2" w15:restartNumberingAfterBreak="0">
    <w:nsid w:val="4F8F73E9"/>
    <w:multiLevelType w:val="multilevel"/>
    <w:tmpl w:val="49FCB2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272"/>
        </w:tabs>
        <w:ind w:left="1272" w:hanging="360"/>
      </w:pPr>
      <w:rPr>
        <w:rFonts w:ascii="Courier New" w:hAnsi="Courier New" w:cs="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cs="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cs="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3" w15:restartNumberingAfterBreak="0">
    <w:nsid w:val="61C507BE"/>
    <w:multiLevelType w:val="hybridMultilevel"/>
    <w:tmpl w:val="52D6560A"/>
    <w:lvl w:ilvl="0" w:tplc="1248954C">
      <w:start w:val="1"/>
      <w:numFmt w:val="none"/>
      <w:lvlText w:val=" ad b)"/>
      <w:lvlJc w:val="left"/>
      <w:pPr>
        <w:tabs>
          <w:tab w:val="num" w:pos="720"/>
        </w:tabs>
        <w:ind w:left="720" w:hanging="360"/>
      </w:pPr>
      <w:rPr>
        <w:rFonts w:hint="default"/>
      </w:rPr>
    </w:lvl>
    <w:lvl w:ilvl="1" w:tplc="07B887A8" w:tentative="1">
      <w:start w:val="1"/>
      <w:numFmt w:val="lowerLetter"/>
      <w:lvlText w:val="%2."/>
      <w:lvlJc w:val="left"/>
      <w:pPr>
        <w:tabs>
          <w:tab w:val="num" w:pos="1440"/>
        </w:tabs>
        <w:ind w:left="1440" w:hanging="360"/>
      </w:pPr>
    </w:lvl>
    <w:lvl w:ilvl="2" w:tplc="BFBC01F0" w:tentative="1">
      <w:start w:val="1"/>
      <w:numFmt w:val="lowerRoman"/>
      <w:lvlText w:val="%3."/>
      <w:lvlJc w:val="right"/>
      <w:pPr>
        <w:tabs>
          <w:tab w:val="num" w:pos="2160"/>
        </w:tabs>
        <w:ind w:left="2160" w:hanging="180"/>
      </w:pPr>
    </w:lvl>
    <w:lvl w:ilvl="3" w:tplc="C246B310" w:tentative="1">
      <w:start w:val="1"/>
      <w:numFmt w:val="decimal"/>
      <w:lvlText w:val="%4."/>
      <w:lvlJc w:val="left"/>
      <w:pPr>
        <w:tabs>
          <w:tab w:val="num" w:pos="2880"/>
        </w:tabs>
        <w:ind w:left="2880" w:hanging="360"/>
      </w:pPr>
    </w:lvl>
    <w:lvl w:ilvl="4" w:tplc="0C847C32" w:tentative="1">
      <w:start w:val="1"/>
      <w:numFmt w:val="lowerLetter"/>
      <w:lvlText w:val="%5."/>
      <w:lvlJc w:val="left"/>
      <w:pPr>
        <w:tabs>
          <w:tab w:val="num" w:pos="3600"/>
        </w:tabs>
        <w:ind w:left="3600" w:hanging="360"/>
      </w:pPr>
    </w:lvl>
    <w:lvl w:ilvl="5" w:tplc="2ED28CC4" w:tentative="1">
      <w:start w:val="1"/>
      <w:numFmt w:val="lowerRoman"/>
      <w:lvlText w:val="%6."/>
      <w:lvlJc w:val="right"/>
      <w:pPr>
        <w:tabs>
          <w:tab w:val="num" w:pos="4320"/>
        </w:tabs>
        <w:ind w:left="4320" w:hanging="180"/>
      </w:pPr>
    </w:lvl>
    <w:lvl w:ilvl="6" w:tplc="AC5CCF2E" w:tentative="1">
      <w:start w:val="1"/>
      <w:numFmt w:val="decimal"/>
      <w:lvlText w:val="%7."/>
      <w:lvlJc w:val="left"/>
      <w:pPr>
        <w:tabs>
          <w:tab w:val="num" w:pos="5040"/>
        </w:tabs>
        <w:ind w:left="5040" w:hanging="360"/>
      </w:pPr>
    </w:lvl>
    <w:lvl w:ilvl="7" w:tplc="B21A0A82" w:tentative="1">
      <w:start w:val="1"/>
      <w:numFmt w:val="lowerLetter"/>
      <w:lvlText w:val="%8."/>
      <w:lvlJc w:val="left"/>
      <w:pPr>
        <w:tabs>
          <w:tab w:val="num" w:pos="5760"/>
        </w:tabs>
        <w:ind w:left="5760" w:hanging="360"/>
      </w:pPr>
    </w:lvl>
    <w:lvl w:ilvl="8" w:tplc="802CC0A4" w:tentative="1">
      <w:start w:val="1"/>
      <w:numFmt w:val="lowerRoman"/>
      <w:lvlText w:val="%9."/>
      <w:lvlJc w:val="right"/>
      <w:pPr>
        <w:tabs>
          <w:tab w:val="num" w:pos="6480"/>
        </w:tabs>
        <w:ind w:left="6480" w:hanging="180"/>
      </w:pPr>
    </w:lvl>
  </w:abstractNum>
  <w:abstractNum w:abstractNumId="14" w15:restartNumberingAfterBreak="0">
    <w:nsid w:val="73A83E06"/>
    <w:multiLevelType w:val="hybridMultilevel"/>
    <w:tmpl w:val="5134AD5A"/>
    <w:lvl w:ilvl="0" w:tplc="97BA406C">
      <w:start w:val="2"/>
      <w:numFmt w:val="decimal"/>
      <w:lvlText w:val="%1."/>
      <w:lvlJc w:val="right"/>
      <w:pPr>
        <w:tabs>
          <w:tab w:val="num" w:pos="1245"/>
        </w:tabs>
        <w:ind w:left="1245" w:hanging="705"/>
      </w:pPr>
      <w:rPr>
        <w:rFonts w:hint="default"/>
      </w:rPr>
    </w:lvl>
    <w:lvl w:ilvl="1" w:tplc="04050019" w:tentative="1">
      <w:start w:val="1"/>
      <w:numFmt w:val="bullet"/>
      <w:lvlText w:val="o"/>
      <w:lvlJc w:val="left"/>
      <w:pPr>
        <w:tabs>
          <w:tab w:val="num" w:pos="1272"/>
        </w:tabs>
        <w:ind w:left="1272" w:hanging="360"/>
      </w:pPr>
      <w:rPr>
        <w:rFonts w:ascii="Courier New" w:hAnsi="Courier New" w:cs="Courier New" w:hint="default"/>
      </w:rPr>
    </w:lvl>
    <w:lvl w:ilvl="2" w:tplc="0405001B" w:tentative="1">
      <w:start w:val="1"/>
      <w:numFmt w:val="bullet"/>
      <w:lvlText w:val=""/>
      <w:lvlJc w:val="left"/>
      <w:pPr>
        <w:tabs>
          <w:tab w:val="num" w:pos="1992"/>
        </w:tabs>
        <w:ind w:left="1992" w:hanging="360"/>
      </w:pPr>
      <w:rPr>
        <w:rFonts w:ascii="Wingdings" w:hAnsi="Wingdings" w:hint="default"/>
      </w:rPr>
    </w:lvl>
    <w:lvl w:ilvl="3" w:tplc="0405000F" w:tentative="1">
      <w:start w:val="1"/>
      <w:numFmt w:val="bullet"/>
      <w:lvlText w:val=""/>
      <w:lvlJc w:val="left"/>
      <w:pPr>
        <w:tabs>
          <w:tab w:val="num" w:pos="2712"/>
        </w:tabs>
        <w:ind w:left="2712" w:hanging="360"/>
      </w:pPr>
      <w:rPr>
        <w:rFonts w:ascii="Symbol" w:hAnsi="Symbol" w:hint="default"/>
      </w:rPr>
    </w:lvl>
    <w:lvl w:ilvl="4" w:tplc="04050019" w:tentative="1">
      <w:start w:val="1"/>
      <w:numFmt w:val="bullet"/>
      <w:lvlText w:val="o"/>
      <w:lvlJc w:val="left"/>
      <w:pPr>
        <w:tabs>
          <w:tab w:val="num" w:pos="3432"/>
        </w:tabs>
        <w:ind w:left="3432" w:hanging="360"/>
      </w:pPr>
      <w:rPr>
        <w:rFonts w:ascii="Courier New" w:hAnsi="Courier New" w:cs="Courier New" w:hint="default"/>
      </w:rPr>
    </w:lvl>
    <w:lvl w:ilvl="5" w:tplc="0405001B" w:tentative="1">
      <w:start w:val="1"/>
      <w:numFmt w:val="bullet"/>
      <w:lvlText w:val=""/>
      <w:lvlJc w:val="left"/>
      <w:pPr>
        <w:tabs>
          <w:tab w:val="num" w:pos="4152"/>
        </w:tabs>
        <w:ind w:left="4152" w:hanging="360"/>
      </w:pPr>
      <w:rPr>
        <w:rFonts w:ascii="Wingdings" w:hAnsi="Wingdings" w:hint="default"/>
      </w:rPr>
    </w:lvl>
    <w:lvl w:ilvl="6" w:tplc="0405000F" w:tentative="1">
      <w:start w:val="1"/>
      <w:numFmt w:val="bullet"/>
      <w:lvlText w:val=""/>
      <w:lvlJc w:val="left"/>
      <w:pPr>
        <w:tabs>
          <w:tab w:val="num" w:pos="4872"/>
        </w:tabs>
        <w:ind w:left="4872" w:hanging="360"/>
      </w:pPr>
      <w:rPr>
        <w:rFonts w:ascii="Symbol" w:hAnsi="Symbol" w:hint="default"/>
      </w:rPr>
    </w:lvl>
    <w:lvl w:ilvl="7" w:tplc="04050019" w:tentative="1">
      <w:start w:val="1"/>
      <w:numFmt w:val="bullet"/>
      <w:lvlText w:val="o"/>
      <w:lvlJc w:val="left"/>
      <w:pPr>
        <w:tabs>
          <w:tab w:val="num" w:pos="5592"/>
        </w:tabs>
        <w:ind w:left="5592" w:hanging="360"/>
      </w:pPr>
      <w:rPr>
        <w:rFonts w:ascii="Courier New" w:hAnsi="Courier New" w:cs="Courier New" w:hint="default"/>
      </w:rPr>
    </w:lvl>
    <w:lvl w:ilvl="8" w:tplc="0405001B" w:tentative="1">
      <w:start w:val="1"/>
      <w:numFmt w:val="bullet"/>
      <w:lvlText w:val=""/>
      <w:lvlJc w:val="left"/>
      <w:pPr>
        <w:tabs>
          <w:tab w:val="num" w:pos="6312"/>
        </w:tabs>
        <w:ind w:left="6312" w:hanging="360"/>
      </w:pPr>
      <w:rPr>
        <w:rFonts w:ascii="Wingdings" w:hAnsi="Wingdings" w:hint="default"/>
      </w:rPr>
    </w:lvl>
  </w:abstractNum>
  <w:abstractNum w:abstractNumId="15" w15:restartNumberingAfterBreak="0">
    <w:nsid w:val="7FC21BEA"/>
    <w:multiLevelType w:val="hybridMultilevel"/>
    <w:tmpl w:val="C6263640"/>
    <w:lvl w:ilvl="0" w:tplc="BF20A3DE">
      <w:start w:val="1"/>
      <w:numFmt w:val="none"/>
      <w:lvlText w:val=" a)"/>
      <w:lvlJc w:val="left"/>
      <w:pPr>
        <w:tabs>
          <w:tab w:val="num" w:pos="720"/>
        </w:tabs>
        <w:ind w:left="720" w:hanging="360"/>
      </w:pPr>
      <w:rPr>
        <w:rFonts w:hint="default"/>
      </w:rPr>
    </w:lvl>
    <w:lvl w:ilvl="1" w:tplc="24FC52CC" w:tentative="1">
      <w:start w:val="1"/>
      <w:numFmt w:val="lowerLetter"/>
      <w:lvlText w:val="%2."/>
      <w:lvlJc w:val="left"/>
      <w:pPr>
        <w:tabs>
          <w:tab w:val="num" w:pos="1440"/>
        </w:tabs>
        <w:ind w:left="1440" w:hanging="360"/>
      </w:pPr>
    </w:lvl>
    <w:lvl w:ilvl="2" w:tplc="E89E78F2" w:tentative="1">
      <w:start w:val="1"/>
      <w:numFmt w:val="lowerRoman"/>
      <w:lvlText w:val="%3."/>
      <w:lvlJc w:val="right"/>
      <w:pPr>
        <w:tabs>
          <w:tab w:val="num" w:pos="2160"/>
        </w:tabs>
        <w:ind w:left="2160" w:hanging="180"/>
      </w:pPr>
    </w:lvl>
    <w:lvl w:ilvl="3" w:tplc="41000426" w:tentative="1">
      <w:start w:val="1"/>
      <w:numFmt w:val="decimal"/>
      <w:lvlText w:val="%4."/>
      <w:lvlJc w:val="left"/>
      <w:pPr>
        <w:tabs>
          <w:tab w:val="num" w:pos="2880"/>
        </w:tabs>
        <w:ind w:left="2880" w:hanging="360"/>
      </w:pPr>
    </w:lvl>
    <w:lvl w:ilvl="4" w:tplc="7892EC14" w:tentative="1">
      <w:start w:val="1"/>
      <w:numFmt w:val="lowerLetter"/>
      <w:lvlText w:val="%5."/>
      <w:lvlJc w:val="left"/>
      <w:pPr>
        <w:tabs>
          <w:tab w:val="num" w:pos="3600"/>
        </w:tabs>
        <w:ind w:left="3600" w:hanging="360"/>
      </w:pPr>
    </w:lvl>
    <w:lvl w:ilvl="5" w:tplc="5642A836" w:tentative="1">
      <w:start w:val="1"/>
      <w:numFmt w:val="lowerRoman"/>
      <w:lvlText w:val="%6."/>
      <w:lvlJc w:val="right"/>
      <w:pPr>
        <w:tabs>
          <w:tab w:val="num" w:pos="4320"/>
        </w:tabs>
        <w:ind w:left="4320" w:hanging="180"/>
      </w:pPr>
    </w:lvl>
    <w:lvl w:ilvl="6" w:tplc="C39602E6" w:tentative="1">
      <w:start w:val="1"/>
      <w:numFmt w:val="decimal"/>
      <w:lvlText w:val="%7."/>
      <w:lvlJc w:val="left"/>
      <w:pPr>
        <w:tabs>
          <w:tab w:val="num" w:pos="5040"/>
        </w:tabs>
        <w:ind w:left="5040" w:hanging="360"/>
      </w:pPr>
    </w:lvl>
    <w:lvl w:ilvl="7" w:tplc="A4668ED8" w:tentative="1">
      <w:start w:val="1"/>
      <w:numFmt w:val="lowerLetter"/>
      <w:lvlText w:val="%8."/>
      <w:lvlJc w:val="left"/>
      <w:pPr>
        <w:tabs>
          <w:tab w:val="num" w:pos="5760"/>
        </w:tabs>
        <w:ind w:left="5760" w:hanging="360"/>
      </w:pPr>
    </w:lvl>
    <w:lvl w:ilvl="8" w:tplc="57F8559A"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10"/>
  </w:num>
  <w:num w:numId="4">
    <w:abstractNumId w:val="3"/>
  </w:num>
  <w:num w:numId="5">
    <w:abstractNumId w:val="1"/>
  </w:num>
  <w:num w:numId="6">
    <w:abstractNumId w:val="12"/>
  </w:num>
  <w:num w:numId="7">
    <w:abstractNumId w:val="2"/>
  </w:num>
  <w:num w:numId="8">
    <w:abstractNumId w:val="11"/>
  </w:num>
  <w:num w:numId="9">
    <w:abstractNumId w:val="14"/>
  </w:num>
  <w:num w:numId="10">
    <w:abstractNumId w:val="15"/>
  </w:num>
  <w:num w:numId="11">
    <w:abstractNumId w:val="0"/>
  </w:num>
  <w:num w:numId="12">
    <w:abstractNumId w:val="13"/>
  </w:num>
  <w:num w:numId="13">
    <w:abstractNumId w:val="6"/>
  </w:num>
  <w:num w:numId="14">
    <w:abstractNumId w:val="7"/>
  </w:num>
  <w:num w:numId="15">
    <w:abstractNumId w:val="4"/>
  </w:num>
  <w:num w:numId="16">
    <w:abstractNumId w:val="5"/>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9A"/>
    <w:rsid w:val="0001009A"/>
    <w:rsid w:val="000223EB"/>
    <w:rsid w:val="00026EF3"/>
    <w:rsid w:val="0003505B"/>
    <w:rsid w:val="00042DFD"/>
    <w:rsid w:val="00055F80"/>
    <w:rsid w:val="000648CC"/>
    <w:rsid w:val="0012354E"/>
    <w:rsid w:val="001664E7"/>
    <w:rsid w:val="00166995"/>
    <w:rsid w:val="00186904"/>
    <w:rsid w:val="001C22C2"/>
    <w:rsid w:val="001F6553"/>
    <w:rsid w:val="00253F10"/>
    <w:rsid w:val="00264F8D"/>
    <w:rsid w:val="00265A6F"/>
    <w:rsid w:val="00265E3C"/>
    <w:rsid w:val="00301A0C"/>
    <w:rsid w:val="00317460"/>
    <w:rsid w:val="003311B9"/>
    <w:rsid w:val="00351EED"/>
    <w:rsid w:val="00355399"/>
    <w:rsid w:val="00380580"/>
    <w:rsid w:val="003A1590"/>
    <w:rsid w:val="003E7DC6"/>
    <w:rsid w:val="0041203B"/>
    <w:rsid w:val="004137F8"/>
    <w:rsid w:val="00443E22"/>
    <w:rsid w:val="00457BFA"/>
    <w:rsid w:val="00482406"/>
    <w:rsid w:val="004C0038"/>
    <w:rsid w:val="004D0DED"/>
    <w:rsid w:val="004E30E8"/>
    <w:rsid w:val="004E476E"/>
    <w:rsid w:val="004F1036"/>
    <w:rsid w:val="00503A2D"/>
    <w:rsid w:val="00541AF0"/>
    <w:rsid w:val="00561891"/>
    <w:rsid w:val="005778BB"/>
    <w:rsid w:val="00594350"/>
    <w:rsid w:val="005B0A33"/>
    <w:rsid w:val="005B49E0"/>
    <w:rsid w:val="005C3842"/>
    <w:rsid w:val="005F21E6"/>
    <w:rsid w:val="00610E0C"/>
    <w:rsid w:val="00616173"/>
    <w:rsid w:val="00650B1B"/>
    <w:rsid w:val="006960C2"/>
    <w:rsid w:val="006B0A31"/>
    <w:rsid w:val="006B1EC3"/>
    <w:rsid w:val="006D3521"/>
    <w:rsid w:val="006F5D36"/>
    <w:rsid w:val="00734EB8"/>
    <w:rsid w:val="0074069E"/>
    <w:rsid w:val="0077045B"/>
    <w:rsid w:val="007828F6"/>
    <w:rsid w:val="007A2A52"/>
    <w:rsid w:val="007A5126"/>
    <w:rsid w:val="007C2534"/>
    <w:rsid w:val="007D5A51"/>
    <w:rsid w:val="008152F1"/>
    <w:rsid w:val="008175CE"/>
    <w:rsid w:val="00860DD5"/>
    <w:rsid w:val="008814D9"/>
    <w:rsid w:val="008A6308"/>
    <w:rsid w:val="008B4D95"/>
    <w:rsid w:val="008C1F9A"/>
    <w:rsid w:val="008C4771"/>
    <w:rsid w:val="008C622E"/>
    <w:rsid w:val="00910081"/>
    <w:rsid w:val="00931B9B"/>
    <w:rsid w:val="0098685D"/>
    <w:rsid w:val="0098771A"/>
    <w:rsid w:val="00993018"/>
    <w:rsid w:val="009D2478"/>
    <w:rsid w:val="009E2BD6"/>
    <w:rsid w:val="009E2EE4"/>
    <w:rsid w:val="009E62B2"/>
    <w:rsid w:val="009F48E9"/>
    <w:rsid w:val="009F6B40"/>
    <w:rsid w:val="00A077F2"/>
    <w:rsid w:val="00A318E7"/>
    <w:rsid w:val="00A55FFD"/>
    <w:rsid w:val="00A773B0"/>
    <w:rsid w:val="00A80861"/>
    <w:rsid w:val="00B16157"/>
    <w:rsid w:val="00B163B7"/>
    <w:rsid w:val="00B20027"/>
    <w:rsid w:val="00B273E2"/>
    <w:rsid w:val="00B313A4"/>
    <w:rsid w:val="00B4305C"/>
    <w:rsid w:val="00B67F37"/>
    <w:rsid w:val="00BC2255"/>
    <w:rsid w:val="00BC30C7"/>
    <w:rsid w:val="00BF31AE"/>
    <w:rsid w:val="00C80F09"/>
    <w:rsid w:val="00C86465"/>
    <w:rsid w:val="00C92829"/>
    <w:rsid w:val="00C93FE7"/>
    <w:rsid w:val="00CC0271"/>
    <w:rsid w:val="00CD35C8"/>
    <w:rsid w:val="00CD4407"/>
    <w:rsid w:val="00CD7E18"/>
    <w:rsid w:val="00D43677"/>
    <w:rsid w:val="00D56783"/>
    <w:rsid w:val="00DE05FE"/>
    <w:rsid w:val="00DE65D5"/>
    <w:rsid w:val="00DF08CB"/>
    <w:rsid w:val="00E36DEC"/>
    <w:rsid w:val="00E637BB"/>
    <w:rsid w:val="00E65394"/>
    <w:rsid w:val="00E75E50"/>
    <w:rsid w:val="00EA3CDF"/>
    <w:rsid w:val="00ED1F89"/>
    <w:rsid w:val="00EF3BAB"/>
    <w:rsid w:val="00F24FCC"/>
    <w:rsid w:val="00F55E9A"/>
    <w:rsid w:val="00F84ED0"/>
    <w:rsid w:val="00F858C8"/>
    <w:rsid w:val="00F941F0"/>
    <w:rsid w:val="00FB0A61"/>
    <w:rsid w:val="00FC6052"/>
    <w:rsid w:val="00FC7857"/>
    <w:rsid w:val="00FD0025"/>
    <w:rsid w:val="00FD4D98"/>
    <w:rsid w:val="00FF5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D80E3"/>
  <w15:docId w15:val="{60FEACED-E2DC-42AF-8F66-597FA3F7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D0025"/>
    <w:rPr>
      <w:sz w:val="24"/>
      <w:szCs w:val="24"/>
    </w:rPr>
  </w:style>
  <w:style w:type="paragraph" w:styleId="Nadpis4">
    <w:name w:val="heading 4"/>
    <w:aliases w:val="Nadpis kapitoly 2. úrovně"/>
    <w:basedOn w:val="Normln"/>
    <w:next w:val="Normln"/>
    <w:qFormat/>
    <w:rsid w:val="008175CE"/>
    <w:pPr>
      <w:keepNext/>
      <w:spacing w:before="240" w:after="120"/>
      <w:ind w:firstLine="357"/>
      <w:jc w:val="both"/>
      <w:outlineLvl w:val="3"/>
    </w:pPr>
    <w:rPr>
      <w:b/>
      <w:bCs/>
      <w:szCs w:val="28"/>
    </w:rPr>
  </w:style>
  <w:style w:type="paragraph" w:styleId="Nadpis6">
    <w:name w:val="heading 6"/>
    <w:aliases w:val="Nadpis obrázku"/>
    <w:basedOn w:val="Normln"/>
    <w:next w:val="Normln"/>
    <w:autoRedefine/>
    <w:qFormat/>
    <w:rsid w:val="0003505B"/>
    <w:pPr>
      <w:keepNext/>
      <w:numPr>
        <w:numId w:val="3"/>
      </w:numPr>
      <w:spacing w:before="120" w:after="120"/>
      <w:jc w:val="center"/>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orec">
    <w:name w:val="vzorec"/>
    <w:basedOn w:val="Normln"/>
    <w:rsid w:val="00F84ED0"/>
    <w:pPr>
      <w:tabs>
        <w:tab w:val="right" w:pos="7920"/>
      </w:tabs>
      <w:spacing w:before="240" w:after="240" w:line="360" w:lineRule="auto"/>
      <w:jc w:val="both"/>
    </w:pPr>
    <w:rPr>
      <w:rFonts w:ascii="Arial" w:hAnsi="Arial"/>
      <w:i/>
      <w:iCs/>
      <w:spacing w:val="20"/>
    </w:rPr>
  </w:style>
  <w:style w:type="paragraph" w:customStyle="1" w:styleId="legenda">
    <w:name w:val="legenda"/>
    <w:basedOn w:val="Normln"/>
    <w:rsid w:val="00F84ED0"/>
    <w:pPr>
      <w:tabs>
        <w:tab w:val="left" w:pos="760"/>
        <w:tab w:val="left" w:pos="2641"/>
      </w:tabs>
      <w:spacing w:before="120" w:after="60"/>
      <w:jc w:val="both"/>
    </w:pPr>
    <w:rPr>
      <w:rFonts w:ascii="Arial" w:hAnsi="Arial"/>
      <w:i/>
    </w:rPr>
  </w:style>
  <w:style w:type="paragraph" w:customStyle="1" w:styleId="text">
    <w:name w:val="text"/>
    <w:basedOn w:val="Normln"/>
    <w:rsid w:val="00B20027"/>
    <w:pPr>
      <w:spacing w:before="120" w:after="60" w:line="360" w:lineRule="auto"/>
    </w:pPr>
    <w:rPr>
      <w:rFonts w:ascii="Arial" w:hAnsi="Arial"/>
    </w:rPr>
  </w:style>
  <w:style w:type="paragraph" w:customStyle="1" w:styleId="odrkaa-">
    <w:name w:val="odrážka a-"/>
    <w:basedOn w:val="Normln"/>
    <w:rsid w:val="00042DFD"/>
    <w:pPr>
      <w:numPr>
        <w:numId w:val="4"/>
      </w:numPr>
    </w:pPr>
  </w:style>
  <w:style w:type="paragraph" w:styleId="Zhlav">
    <w:name w:val="header"/>
    <w:basedOn w:val="Normln"/>
    <w:link w:val="ZhlavChar"/>
    <w:rsid w:val="00253F10"/>
    <w:pPr>
      <w:tabs>
        <w:tab w:val="center" w:pos="4536"/>
        <w:tab w:val="right" w:pos="9072"/>
      </w:tabs>
    </w:pPr>
  </w:style>
  <w:style w:type="paragraph" w:styleId="Zpat">
    <w:name w:val="footer"/>
    <w:basedOn w:val="Normln"/>
    <w:rsid w:val="00253F10"/>
    <w:pPr>
      <w:tabs>
        <w:tab w:val="center" w:pos="4536"/>
        <w:tab w:val="right" w:pos="9072"/>
      </w:tabs>
    </w:pPr>
  </w:style>
  <w:style w:type="character" w:customStyle="1" w:styleId="ZhlavChar">
    <w:name w:val="Záhlaví Char"/>
    <w:basedOn w:val="Standardnpsmoodstavce"/>
    <w:link w:val="Zhlav"/>
    <w:rsid w:val="00253F10"/>
    <w:rPr>
      <w:sz w:val="24"/>
      <w:szCs w:val="24"/>
      <w:lang w:val="cs-CZ" w:eastAsia="cs-CZ" w:bidi="ar-SA"/>
    </w:rPr>
  </w:style>
  <w:style w:type="paragraph" w:styleId="Odstavecseseznamem">
    <w:name w:val="List Paragraph"/>
    <w:basedOn w:val="Normln"/>
    <w:uiPriority w:val="34"/>
    <w:qFormat/>
    <w:rsid w:val="00CD4407"/>
    <w:pPr>
      <w:ind w:left="720"/>
      <w:contextualSpacing/>
    </w:pPr>
  </w:style>
  <w:style w:type="paragraph" w:styleId="Textbubliny">
    <w:name w:val="Balloon Text"/>
    <w:basedOn w:val="Normln"/>
    <w:link w:val="TextbublinyChar"/>
    <w:rsid w:val="005F21E6"/>
    <w:rPr>
      <w:rFonts w:ascii="Tahoma" w:hAnsi="Tahoma" w:cs="Tahoma"/>
      <w:sz w:val="16"/>
      <w:szCs w:val="16"/>
    </w:rPr>
  </w:style>
  <w:style w:type="character" w:customStyle="1" w:styleId="TextbublinyChar">
    <w:name w:val="Text bubliny Char"/>
    <w:basedOn w:val="Standardnpsmoodstavce"/>
    <w:link w:val="Textbubliny"/>
    <w:rsid w:val="005F21E6"/>
    <w:rPr>
      <w:rFonts w:ascii="Tahoma" w:hAnsi="Tahoma" w:cs="Tahoma"/>
      <w:sz w:val="16"/>
      <w:szCs w:val="16"/>
    </w:rPr>
  </w:style>
  <w:style w:type="character" w:styleId="Zstupntext">
    <w:name w:val="Placeholder Text"/>
    <w:basedOn w:val="Standardnpsmoodstavce"/>
    <w:uiPriority w:val="99"/>
    <w:semiHidden/>
    <w:rsid w:val="004E47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191145">
      <w:bodyDiv w:val="1"/>
      <w:marLeft w:val="0"/>
      <w:marRight w:val="0"/>
      <w:marTop w:val="0"/>
      <w:marBottom w:val="0"/>
      <w:divBdr>
        <w:top w:val="none" w:sz="0" w:space="0" w:color="auto"/>
        <w:left w:val="none" w:sz="0" w:space="0" w:color="auto"/>
        <w:bottom w:val="none" w:sz="0" w:space="0" w:color="auto"/>
        <w:right w:val="none" w:sz="0" w:space="0" w:color="auto"/>
      </w:divBdr>
    </w:div>
    <w:div w:id="20172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List_Microsoft_Excelu.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50" b="1" i="0" u="none" strike="noStrike" baseline="0">
                <a:solidFill>
                  <a:srgbClr val="000000"/>
                </a:solidFill>
                <a:latin typeface="Arial"/>
                <a:ea typeface="Arial"/>
                <a:cs typeface="Arial"/>
              </a:defRPr>
            </a:pPr>
            <a:r>
              <a:rPr lang="cs-CZ" sz="1050"/>
              <a:t>Nákladová funkce sestavená metodou regresní a korelační analýzy</a:t>
            </a:r>
          </a:p>
        </c:rich>
      </c:tx>
      <c:layout>
        <c:manualLayout>
          <c:xMode val="edge"/>
          <c:yMode val="edge"/>
          <c:x val="0.11293567251461989"/>
          <c:y val="3.064575152649E-2"/>
        </c:manualLayout>
      </c:layout>
      <c:overlay val="0"/>
      <c:spPr>
        <a:noFill/>
        <a:ln w="9720">
          <a:noFill/>
        </a:ln>
      </c:spPr>
    </c:title>
    <c:autoTitleDeleted val="0"/>
    <c:plotArea>
      <c:layout>
        <c:manualLayout>
          <c:layoutTarget val="inner"/>
          <c:xMode val="edge"/>
          <c:yMode val="edge"/>
          <c:x val="9.7112492517382715E-2"/>
          <c:y val="0.18193238899967792"/>
          <c:w val="0.8739583333333335"/>
          <c:h val="0.7289562289562288"/>
        </c:manualLayout>
      </c:layout>
      <c:scatterChart>
        <c:scatterStyle val="lineMarker"/>
        <c:varyColors val="0"/>
        <c:ser>
          <c:idx val="0"/>
          <c:order val="0"/>
          <c:spPr>
            <a:ln w="10935">
              <a:noFill/>
            </a:ln>
          </c:spPr>
          <c:marker>
            <c:symbol val="diamond"/>
            <c:size val="2"/>
            <c:spPr>
              <a:solidFill>
                <a:srgbClr val="000080"/>
              </a:solidFill>
              <a:ln>
                <a:solidFill>
                  <a:srgbClr val="000080"/>
                </a:solidFill>
                <a:prstDash val="solid"/>
              </a:ln>
            </c:spPr>
          </c:marker>
          <c:trendline>
            <c:spPr>
              <a:ln w="9720">
                <a:solidFill>
                  <a:srgbClr val="000000"/>
                </a:solidFill>
                <a:prstDash val="solid"/>
              </a:ln>
            </c:spPr>
            <c:trendlineType val="linear"/>
            <c:dispRSqr val="1"/>
            <c:dispEq val="1"/>
            <c:trendlineLbl>
              <c:numFmt formatCode="General" sourceLinked="0"/>
              <c:spPr>
                <a:noFill/>
                <a:ln w="9720">
                  <a:noFill/>
                </a:ln>
              </c:spPr>
              <c:txPr>
                <a:bodyPr/>
                <a:lstStyle/>
                <a:p>
                  <a:pPr>
                    <a:defRPr sz="431" b="0" i="0" u="none" strike="noStrike" baseline="0">
                      <a:solidFill>
                        <a:srgbClr val="000000"/>
                      </a:solidFill>
                      <a:latin typeface="Arial"/>
                      <a:ea typeface="Arial"/>
                      <a:cs typeface="Arial"/>
                    </a:defRPr>
                  </a:pPr>
                  <a:endParaRPr lang="cs-CZ"/>
                </a:p>
              </c:txPr>
            </c:trendlineLbl>
          </c:trendline>
          <c:xVal>
            <c:numRef>
              <c:f>List1!$B$9:$B$20</c:f>
              <c:numCache>
                <c:formatCode>#,##0</c:formatCode>
                <c:ptCount val="12"/>
                <c:pt idx="0">
                  <c:v>6224</c:v>
                </c:pt>
                <c:pt idx="1">
                  <c:v>8460</c:v>
                </c:pt>
                <c:pt idx="2">
                  <c:v>10408</c:v>
                </c:pt>
                <c:pt idx="3">
                  <c:v>12623</c:v>
                </c:pt>
                <c:pt idx="4">
                  <c:v>11976</c:v>
                </c:pt>
                <c:pt idx="5">
                  <c:v>4872</c:v>
                </c:pt>
                <c:pt idx="6">
                  <c:v>6380</c:v>
                </c:pt>
                <c:pt idx="7">
                  <c:v>8708</c:v>
                </c:pt>
                <c:pt idx="8">
                  <c:v>7452</c:v>
                </c:pt>
                <c:pt idx="9">
                  <c:v>8629</c:v>
                </c:pt>
                <c:pt idx="10">
                  <c:v>11402</c:v>
                </c:pt>
                <c:pt idx="11">
                  <c:v>11237</c:v>
                </c:pt>
              </c:numCache>
            </c:numRef>
          </c:xVal>
          <c:yVal>
            <c:numRef>
              <c:f>List1!$C$9:$C$20</c:f>
              <c:numCache>
                <c:formatCode>General</c:formatCode>
                <c:ptCount val="12"/>
              </c:numCache>
            </c:numRef>
          </c:yVal>
          <c:smooth val="0"/>
          <c:extLst>
            <c:ext xmlns:c16="http://schemas.microsoft.com/office/drawing/2014/chart" uri="{C3380CC4-5D6E-409C-BE32-E72D297353CC}">
              <c16:uniqueId val="{00000001-E4F1-F848-8504-AB4E3235C716}"/>
            </c:ext>
          </c:extLst>
        </c:ser>
        <c:ser>
          <c:idx val="1"/>
          <c:order val="1"/>
          <c:spPr>
            <a:ln w="10935">
              <a:noFill/>
            </a:ln>
          </c:spPr>
          <c:marker>
            <c:symbol val="x"/>
            <c:size val="3"/>
            <c:spPr>
              <a:solidFill>
                <a:srgbClr val="FF00FF"/>
              </a:solidFill>
              <a:ln>
                <a:solidFill>
                  <a:srgbClr val="FF00FF"/>
                </a:solidFill>
                <a:prstDash val="solid"/>
              </a:ln>
            </c:spPr>
          </c:marker>
          <c:trendline>
            <c:spPr>
              <a:ln w="14580">
                <a:solidFill>
                  <a:srgbClr val="800080"/>
                </a:solidFill>
                <a:prstDash val="solid"/>
              </a:ln>
            </c:spPr>
            <c:trendlineType val="linear"/>
            <c:dispRSqr val="1"/>
            <c:dispEq val="1"/>
            <c:trendlineLbl>
              <c:layout>
                <c:manualLayout>
                  <c:x val="-0.37383782290371598"/>
                  <c:y val="-0.18353789327247932"/>
                </c:manualLayout>
              </c:layout>
              <c:tx>
                <c:rich>
                  <a:bodyPr/>
                  <a:lstStyle/>
                  <a:p>
                    <a:pPr>
                      <a:defRPr sz="1200" b="0" i="0" u="none" strike="noStrike" baseline="0">
                        <a:solidFill>
                          <a:srgbClr val="000000"/>
                        </a:solidFill>
                        <a:latin typeface="Times New Roman" panose="02020603050405020304" pitchFamily="18" charset="0"/>
                        <a:ea typeface="Arial"/>
                        <a:cs typeface="Arial"/>
                      </a:defRPr>
                    </a:pPr>
                    <a:r>
                      <a:rPr lang="cs-CZ" sz="1200" baseline="0">
                        <a:latin typeface="Times New Roman" panose="02020603050405020304" pitchFamily="18" charset="0"/>
                      </a:rPr>
                      <a:t>N = 0,2748 Q+ 5390,4
R2 = 0,783</a:t>
                    </a:r>
                  </a:p>
                </c:rich>
              </c:tx>
              <c:numFmt formatCode="General" sourceLinked="0"/>
              <c:spPr>
                <a:noFill/>
                <a:ln w="9720">
                  <a:noFill/>
                </a:ln>
              </c:spPr>
            </c:trendlineLbl>
          </c:trendline>
          <c:xVal>
            <c:numRef>
              <c:f>List1!$B$9:$B$20</c:f>
              <c:numCache>
                <c:formatCode>#,##0</c:formatCode>
                <c:ptCount val="12"/>
                <c:pt idx="0">
                  <c:v>6224</c:v>
                </c:pt>
                <c:pt idx="1">
                  <c:v>8460</c:v>
                </c:pt>
                <c:pt idx="2">
                  <c:v>10408</c:v>
                </c:pt>
                <c:pt idx="3">
                  <c:v>12623</c:v>
                </c:pt>
                <c:pt idx="4">
                  <c:v>11976</c:v>
                </c:pt>
                <c:pt idx="5">
                  <c:v>4872</c:v>
                </c:pt>
                <c:pt idx="6">
                  <c:v>6380</c:v>
                </c:pt>
                <c:pt idx="7">
                  <c:v>8708</c:v>
                </c:pt>
                <c:pt idx="8">
                  <c:v>7452</c:v>
                </c:pt>
                <c:pt idx="9">
                  <c:v>8629</c:v>
                </c:pt>
                <c:pt idx="10">
                  <c:v>11402</c:v>
                </c:pt>
                <c:pt idx="11">
                  <c:v>11237</c:v>
                </c:pt>
              </c:numCache>
            </c:numRef>
          </c:xVal>
          <c:yVal>
            <c:numRef>
              <c:f>List1!$D$9:$D$20</c:f>
              <c:numCache>
                <c:formatCode>#,##0</c:formatCode>
                <c:ptCount val="12"/>
                <c:pt idx="0">
                  <c:v>6967</c:v>
                </c:pt>
                <c:pt idx="1">
                  <c:v>7776</c:v>
                </c:pt>
                <c:pt idx="2">
                  <c:v>8002</c:v>
                </c:pt>
                <c:pt idx="3">
                  <c:v>8687</c:v>
                </c:pt>
                <c:pt idx="4">
                  <c:v>8539</c:v>
                </c:pt>
                <c:pt idx="5">
                  <c:v>7261</c:v>
                </c:pt>
                <c:pt idx="6">
                  <c:v>6989</c:v>
                </c:pt>
                <c:pt idx="7">
                  <c:v>7512</c:v>
                </c:pt>
                <c:pt idx="8">
                  <c:v>7138</c:v>
                </c:pt>
                <c:pt idx="9">
                  <c:v>7598</c:v>
                </c:pt>
                <c:pt idx="10">
                  <c:v>8621</c:v>
                </c:pt>
                <c:pt idx="11">
                  <c:v>9378</c:v>
                </c:pt>
              </c:numCache>
            </c:numRef>
          </c:yVal>
          <c:smooth val="0"/>
          <c:extLst>
            <c:ext xmlns:c16="http://schemas.microsoft.com/office/drawing/2014/chart" uri="{C3380CC4-5D6E-409C-BE32-E72D297353CC}">
              <c16:uniqueId val="{00000003-E4F1-F848-8504-AB4E3235C716}"/>
            </c:ext>
          </c:extLst>
        </c:ser>
        <c:ser>
          <c:idx val="2"/>
          <c:order val="2"/>
          <c:spPr>
            <a:ln w="10935">
              <a:noFill/>
            </a:ln>
          </c:spPr>
          <c:marker>
            <c:symbol val="triangle"/>
            <c:size val="2"/>
            <c:spPr>
              <a:solidFill>
                <a:srgbClr val="FFFF00"/>
              </a:solidFill>
              <a:ln>
                <a:solidFill>
                  <a:srgbClr val="FFFF00"/>
                </a:solidFill>
                <a:prstDash val="solid"/>
              </a:ln>
            </c:spPr>
          </c:marker>
          <c:trendline>
            <c:spPr>
              <a:ln w="9720">
                <a:solidFill>
                  <a:srgbClr val="000000"/>
                </a:solidFill>
                <a:prstDash val="solid"/>
              </a:ln>
            </c:spPr>
            <c:trendlineType val="linear"/>
            <c:dispRSqr val="0"/>
            <c:dispEq val="0"/>
          </c:trendline>
          <c:xVal>
            <c:numRef>
              <c:f>List1!$B$9:$B$20</c:f>
              <c:numCache>
                <c:formatCode>#,##0</c:formatCode>
                <c:ptCount val="12"/>
                <c:pt idx="0">
                  <c:v>6224</c:v>
                </c:pt>
                <c:pt idx="1">
                  <c:v>8460</c:v>
                </c:pt>
                <c:pt idx="2">
                  <c:v>10408</c:v>
                </c:pt>
                <c:pt idx="3">
                  <c:v>12623</c:v>
                </c:pt>
                <c:pt idx="4">
                  <c:v>11976</c:v>
                </c:pt>
                <c:pt idx="5">
                  <c:v>4872</c:v>
                </c:pt>
                <c:pt idx="6">
                  <c:v>6380</c:v>
                </c:pt>
                <c:pt idx="7">
                  <c:v>8708</c:v>
                </c:pt>
                <c:pt idx="8">
                  <c:v>7452</c:v>
                </c:pt>
                <c:pt idx="9">
                  <c:v>8629</c:v>
                </c:pt>
                <c:pt idx="10">
                  <c:v>11402</c:v>
                </c:pt>
                <c:pt idx="11">
                  <c:v>11237</c:v>
                </c:pt>
              </c:numCache>
            </c:numRef>
          </c:xVal>
          <c:yVal>
            <c:numRef>
              <c:f>List1!$E$9:$E$20</c:f>
              <c:numCache>
                <c:formatCode>General</c:formatCode>
                <c:ptCount val="12"/>
              </c:numCache>
            </c:numRef>
          </c:yVal>
          <c:smooth val="0"/>
          <c:extLst>
            <c:ext xmlns:c16="http://schemas.microsoft.com/office/drawing/2014/chart" uri="{C3380CC4-5D6E-409C-BE32-E72D297353CC}">
              <c16:uniqueId val="{00000005-E4F1-F848-8504-AB4E3235C716}"/>
            </c:ext>
          </c:extLst>
        </c:ser>
        <c:dLbls>
          <c:showLegendKey val="0"/>
          <c:showVal val="0"/>
          <c:showCatName val="0"/>
          <c:showSerName val="0"/>
          <c:showPercent val="0"/>
          <c:showBubbleSize val="0"/>
        </c:dLbls>
        <c:axId val="73595520"/>
        <c:axId val="103904000"/>
      </c:scatterChart>
      <c:valAx>
        <c:axId val="73595520"/>
        <c:scaling>
          <c:orientation val="minMax"/>
          <c:min val="4000"/>
        </c:scaling>
        <c:delete val="0"/>
        <c:axPos val="b"/>
        <c:title>
          <c:tx>
            <c:rich>
              <a:bodyPr/>
              <a:lstStyle/>
              <a:p>
                <a:pPr>
                  <a:defRPr sz="800" b="1" i="0" u="none" strike="noStrike" baseline="0">
                    <a:solidFill>
                      <a:srgbClr val="000000"/>
                    </a:solidFill>
                    <a:latin typeface="Arial"/>
                    <a:ea typeface="Arial"/>
                    <a:cs typeface="Arial"/>
                  </a:defRPr>
                </a:pPr>
                <a:r>
                  <a:rPr lang="cs-CZ" sz="800" baseline="0"/>
                  <a:t>Produkce (ks)</a:t>
                </a:r>
              </a:p>
            </c:rich>
          </c:tx>
          <c:layout>
            <c:manualLayout>
              <c:xMode val="edge"/>
              <c:yMode val="edge"/>
              <c:x val="0.47500000000000003"/>
              <c:y val="0.95622895622895632"/>
            </c:manualLayout>
          </c:layout>
          <c:overlay val="0"/>
          <c:spPr>
            <a:noFill/>
            <a:ln w="9720">
              <a:noFill/>
            </a:ln>
          </c:spPr>
        </c:title>
        <c:numFmt formatCode="#,##0" sourceLinked="1"/>
        <c:majorTickMark val="out"/>
        <c:minorTickMark val="none"/>
        <c:tickLblPos val="nextTo"/>
        <c:spPr>
          <a:ln w="121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103904000"/>
        <c:crosses val="autoZero"/>
        <c:crossBetween val="midCat"/>
      </c:valAx>
      <c:valAx>
        <c:axId val="103904000"/>
        <c:scaling>
          <c:orientation val="minMax"/>
          <c:min val="5000"/>
        </c:scaling>
        <c:delete val="0"/>
        <c:axPos val="l"/>
        <c:majorGridlines>
          <c:spPr>
            <a:ln w="1215">
              <a:solidFill>
                <a:srgbClr val="000000"/>
              </a:solidFill>
              <a:prstDash val="solid"/>
            </a:ln>
          </c:spPr>
        </c:majorGridlines>
        <c:title>
          <c:tx>
            <c:rich>
              <a:bodyPr/>
              <a:lstStyle/>
              <a:p>
                <a:pPr>
                  <a:defRPr sz="800" b="0" i="1" u="none" strike="noStrike" baseline="0">
                    <a:solidFill>
                      <a:srgbClr val="000000"/>
                    </a:solidFill>
                    <a:latin typeface="Arial"/>
                    <a:ea typeface="Arial"/>
                    <a:cs typeface="Arial"/>
                  </a:defRPr>
                </a:pPr>
                <a:r>
                  <a:rPr lang="cs-CZ" sz="800" b="0" i="1" baseline="0"/>
                  <a:t>Náklady (tis. Kč)</a:t>
                </a:r>
              </a:p>
            </c:rich>
          </c:tx>
          <c:layout>
            <c:manualLayout>
              <c:xMode val="edge"/>
              <c:yMode val="edge"/>
              <c:x val="7.291614863931482E-3"/>
              <c:y val="0.43265996450182631"/>
            </c:manualLayout>
          </c:layout>
          <c:overlay val="0"/>
          <c:spPr>
            <a:noFill/>
            <a:ln w="9720">
              <a:noFill/>
            </a:ln>
          </c:spPr>
        </c:title>
        <c:numFmt formatCode="General" sourceLinked="1"/>
        <c:majorTickMark val="out"/>
        <c:minorTickMark val="none"/>
        <c:tickLblPos val="nextTo"/>
        <c:spPr>
          <a:ln w="121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cs-CZ"/>
          </a:p>
        </c:txPr>
        <c:crossAx val="73595520"/>
        <c:crosses val="autoZero"/>
        <c:crossBetween val="midCat"/>
      </c:valAx>
      <c:spPr>
        <a:solidFill>
          <a:srgbClr val="FFFFFF"/>
        </a:solidFill>
        <a:ln w="4860">
          <a:solidFill>
            <a:srgbClr val="FFFFFF"/>
          </a:solidFill>
          <a:prstDash val="solid"/>
        </a:ln>
        <a:scene3d>
          <a:camera prst="orthographicFront"/>
          <a:lightRig rig="threePt" dir="t"/>
        </a:scene3d>
        <a:sp3d>
          <a:bevelT w="57150"/>
          <a:bevelB w="31750"/>
        </a:sp3d>
      </c:spPr>
    </c:plotArea>
    <c:plotVisOnly val="1"/>
    <c:dispBlanksAs val="gap"/>
    <c:showDLblsOverMax val="0"/>
  </c:chart>
  <c:spPr>
    <a:noFill/>
    <a:ln>
      <a:noFill/>
    </a:ln>
  </c:spPr>
  <c:txPr>
    <a:bodyPr/>
    <a:lstStyle/>
    <a:p>
      <a:pPr>
        <a:defRPr sz="364" b="0" i="0" u="none" strike="noStrike" baseline="0">
          <a:solidFill>
            <a:srgbClr val="000000"/>
          </a:solidFill>
          <a:latin typeface="Arial"/>
          <a:ea typeface="Arial"/>
          <a:cs typeface="Arial"/>
        </a:defRPr>
      </a:pPr>
      <a:endParaRPr lang="cs-CZ"/>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0.32105</cdr:x>
      <cdr:y>0.23238</cdr:y>
    </cdr:from>
    <cdr:to>
      <cdr:x>0.62281</cdr:x>
      <cdr:y>0.43081</cdr:y>
    </cdr:to>
    <cdr:sp macro="" textlink="">
      <cdr:nvSpPr>
        <cdr:cNvPr id="3077" name="Line 5"/>
        <cdr:cNvSpPr>
          <a:spLocks xmlns:a="http://schemas.openxmlformats.org/drawingml/2006/main" noChangeShapeType="1"/>
        </cdr:cNvSpPr>
      </cdr:nvSpPr>
      <cdr:spPr bwMode="auto">
        <a:xfrm xmlns:a="http://schemas.openxmlformats.org/drawingml/2006/main">
          <a:off x="1743075" y="847725"/>
          <a:ext cx="1638300" cy="72390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cs-CZ"/>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4104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Firma „Prefabrikát, s</vt:lpstr>
    </vt:vector>
  </TitlesOfParts>
  <Company>SU OPF Karviná</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„Prefabrikát, s</dc:title>
  <dc:creator>Karel Stelmach</dc:creator>
  <cp:lastModifiedBy>Tomáš Pražák</cp:lastModifiedBy>
  <cp:revision>5</cp:revision>
  <dcterms:created xsi:type="dcterms:W3CDTF">2021-05-21T08:29:00Z</dcterms:created>
  <dcterms:modified xsi:type="dcterms:W3CDTF">2022-03-07T09:23:00Z</dcterms:modified>
</cp:coreProperties>
</file>