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E3" w:rsidRPr="00CB46E3" w:rsidRDefault="00F14E57" w:rsidP="00CB46E3">
      <w:pPr>
        <w:pStyle w:val="Tlotextu"/>
        <w:ind w:firstLine="0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Příklad č. 1</w:t>
      </w:r>
    </w:p>
    <w:p w:rsidR="00F33BF8" w:rsidRPr="00CB46E3" w:rsidRDefault="00F33BF8" w:rsidP="00CB46E3">
      <w:pPr>
        <w:pStyle w:val="Tlotextu"/>
        <w:ind w:firstLine="0"/>
        <w:rPr>
          <w:rFonts w:cs="Times New Roman"/>
          <w:szCs w:val="24"/>
        </w:rPr>
      </w:pPr>
      <w:r w:rsidRPr="00CB46E3">
        <w:rPr>
          <w:rFonts w:cs="Times New Roman"/>
          <w:szCs w:val="24"/>
        </w:rPr>
        <w:t xml:space="preserve">Výrobce stavebních koleček, firma „Stavkol“ je zatížen měsíčními fixními náklady </w:t>
      </w:r>
      <w:r w:rsidRPr="00CB46E3">
        <w:rPr>
          <w:rFonts w:cs="Times New Roman"/>
          <w:i/>
          <w:szCs w:val="24"/>
        </w:rPr>
        <w:t>(FN)</w:t>
      </w:r>
      <w:r w:rsidRPr="00CB46E3">
        <w:rPr>
          <w:rFonts w:cs="Times New Roman"/>
          <w:szCs w:val="24"/>
        </w:rPr>
        <w:t xml:space="preserve"> ve výši 105 000 Kč. Management firmy má vysledováno z účetních výkazů firmy a operativní evidence, že bod zvratu </w:t>
      </w:r>
      <w:r w:rsidRPr="00CB46E3">
        <w:rPr>
          <w:rFonts w:cs="Times New Roman"/>
          <w:i/>
          <w:szCs w:val="24"/>
        </w:rPr>
        <w:t>(Q</w:t>
      </w:r>
      <w:r w:rsidRPr="00CB46E3">
        <w:rPr>
          <w:rFonts w:cs="Times New Roman"/>
          <w:i/>
          <w:szCs w:val="24"/>
          <w:vertAlign w:val="subscript"/>
        </w:rPr>
        <w:t>BZ</w:t>
      </w:r>
      <w:r w:rsidRPr="00CB46E3">
        <w:rPr>
          <w:rFonts w:cs="Times New Roman"/>
          <w:i/>
          <w:szCs w:val="24"/>
        </w:rPr>
        <w:t>)</w:t>
      </w:r>
      <w:r w:rsidRPr="00CB46E3">
        <w:rPr>
          <w:rFonts w:cs="Times New Roman"/>
          <w:szCs w:val="24"/>
        </w:rPr>
        <w:t xml:space="preserve"> firma vykáže při měsíční produkci 420 ks koleček. Příští měsíc má být vyrobeno 523 ks koleček.</w:t>
      </w:r>
    </w:p>
    <w:p w:rsidR="00F33BF8" w:rsidRPr="00CB46E3" w:rsidRDefault="00F33BF8" w:rsidP="00F33BF8">
      <w:pPr>
        <w:pStyle w:val="Odstavecseseznamem"/>
        <w:numPr>
          <w:ilvl w:val="0"/>
          <w:numId w:val="15"/>
        </w:numPr>
        <w:tabs>
          <w:tab w:val="left" w:pos="1134"/>
          <w:tab w:val="left" w:pos="7797"/>
        </w:tabs>
        <w:spacing w:before="0" w:after="120" w:line="276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i/>
          <w:sz w:val="24"/>
          <w:szCs w:val="24"/>
        </w:rPr>
        <w:t>Pro snadnější orientaci v problematice řešeného příkladu, načrtněte schematicky diagram bodu zvratu sestrojený pouze ze závis</w:t>
      </w:r>
      <w:r w:rsidR="00CB46E3" w:rsidRPr="00CB46E3">
        <w:rPr>
          <w:rFonts w:ascii="Times New Roman" w:hAnsi="Times New Roman"/>
          <w:i/>
          <w:sz w:val="24"/>
          <w:szCs w:val="24"/>
        </w:rPr>
        <w:t xml:space="preserve">losti příspěvku na úhradu (PÚ) </w:t>
      </w:r>
      <w:r w:rsidRPr="00CB46E3">
        <w:rPr>
          <w:rFonts w:ascii="Times New Roman" w:hAnsi="Times New Roman"/>
          <w:i/>
          <w:sz w:val="24"/>
          <w:szCs w:val="24"/>
        </w:rPr>
        <w:t>na objemu produkce a fixních nákladů (FN).</w:t>
      </w:r>
    </w:p>
    <w:p w:rsidR="00F33BF8" w:rsidRPr="00CB46E3" w:rsidRDefault="00F33BF8" w:rsidP="00F33BF8">
      <w:pPr>
        <w:pStyle w:val="Odstavecseseznamem"/>
        <w:numPr>
          <w:ilvl w:val="0"/>
          <w:numId w:val="15"/>
        </w:numPr>
        <w:tabs>
          <w:tab w:val="left" w:pos="1134"/>
          <w:tab w:val="left" w:pos="7797"/>
        </w:tabs>
        <w:spacing w:before="0" w:after="12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CB46E3">
        <w:rPr>
          <w:rFonts w:ascii="Times New Roman" w:hAnsi="Times New Roman"/>
          <w:i/>
          <w:sz w:val="24"/>
          <w:szCs w:val="24"/>
        </w:rPr>
        <w:t>S jakým výsledkem hospodaření (VH) může kalkulovat management firmy v měsíci, kdy má být vyrobeno 523 ks stavebních koleček?</w:t>
      </w:r>
    </w:p>
    <w:p w:rsidR="00F33BF8" w:rsidRPr="00CB46E3" w:rsidRDefault="00F33BF8" w:rsidP="00F33BF8">
      <w:pPr>
        <w:pStyle w:val="Odstavecseseznamem"/>
        <w:numPr>
          <w:ilvl w:val="0"/>
          <w:numId w:val="15"/>
        </w:numPr>
        <w:tabs>
          <w:tab w:val="left" w:pos="1134"/>
          <w:tab w:val="left" w:pos="7797"/>
        </w:tabs>
        <w:spacing w:before="0" w:after="12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CB46E3">
        <w:rPr>
          <w:rFonts w:ascii="Times New Roman" w:hAnsi="Times New Roman"/>
          <w:i/>
          <w:sz w:val="24"/>
          <w:szCs w:val="24"/>
        </w:rPr>
        <w:t>Pokud v minulém měsíci byl výsledek hospodaření (VH) ve výši – 29 750 Kč, jaký objem produkce byl v daném měsíci realizován?</w:t>
      </w:r>
    </w:p>
    <w:p w:rsidR="00F33BF8" w:rsidRPr="00CB46E3" w:rsidRDefault="00F33BF8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507FD" w:rsidRDefault="003507FD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3507FD" w:rsidRDefault="003507FD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3507FD" w:rsidRDefault="003507FD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11635" w:rsidRPr="00011635" w:rsidRDefault="00011635" w:rsidP="00D26D56">
      <w:pPr>
        <w:rPr>
          <w:rFonts w:ascii="Times New Roman" w:hAnsi="Times New Roman"/>
          <w:i/>
          <w:sz w:val="26"/>
          <w:szCs w:val="26"/>
        </w:rPr>
      </w:pPr>
      <w:r w:rsidRPr="007E3DC1">
        <w:rPr>
          <w:rFonts w:ascii="Times New Roman" w:hAnsi="Times New Roman"/>
          <w:b/>
          <w:sz w:val="26"/>
          <w:szCs w:val="26"/>
          <w:u w:val="single"/>
        </w:rPr>
        <w:t xml:space="preserve">Příklad č. </w:t>
      </w:r>
      <w:r w:rsidR="00CB46E3">
        <w:rPr>
          <w:rFonts w:ascii="Times New Roman" w:hAnsi="Times New Roman"/>
          <w:b/>
          <w:sz w:val="26"/>
          <w:szCs w:val="26"/>
          <w:u w:val="single"/>
        </w:rPr>
        <w:t>2</w:t>
      </w:r>
      <w:r w:rsidRPr="007E3DC1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i/>
          <w:sz w:val="26"/>
          <w:szCs w:val="26"/>
        </w:rPr>
        <w:t>(využití ukazatele příspěvek na úhradu k tržbám)</w:t>
      </w:r>
    </w:p>
    <w:p w:rsidR="00011635" w:rsidRPr="00011635" w:rsidRDefault="00011635" w:rsidP="00011635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> Výrobní program firmy „Calefacio</w:t>
      </w:r>
      <w:r w:rsidR="00D918B6">
        <w:rPr>
          <w:rFonts w:ascii="Times New Roman" w:hAnsi="Times New Roman"/>
          <w:sz w:val="26"/>
          <w:szCs w:val="26"/>
        </w:rPr>
        <w:t>“</w:t>
      </w:r>
      <w:r w:rsidRPr="00011635">
        <w:rPr>
          <w:rFonts w:ascii="Times New Roman" w:hAnsi="Times New Roman"/>
          <w:sz w:val="26"/>
          <w:szCs w:val="26"/>
        </w:rPr>
        <w:t xml:space="preserve">, s. r. o., tvoří dvě sortimentní položky: </w:t>
      </w:r>
    </w:p>
    <w:p w:rsidR="00011635" w:rsidRPr="00011635" w:rsidRDefault="00011635" w:rsidP="00011635">
      <w:pPr>
        <w:pStyle w:val="Odstavecseseznamem"/>
        <w:numPr>
          <w:ilvl w:val="0"/>
          <w:numId w:val="7"/>
        </w:numPr>
        <w:spacing w:before="0" w:after="120"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kompletní fóliovníky </w:t>
      </w:r>
    </w:p>
    <w:p w:rsidR="00011635" w:rsidRPr="00011635" w:rsidRDefault="00011635" w:rsidP="00011635">
      <w:pPr>
        <w:pStyle w:val="Odstavecseseznamem"/>
        <w:numPr>
          <w:ilvl w:val="0"/>
          <w:numId w:val="7"/>
        </w:numPr>
        <w:spacing w:before="0" w:after="120"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plachty na fóliovníky. </w:t>
      </w:r>
    </w:p>
    <w:p w:rsidR="00011635" w:rsidRDefault="00011635" w:rsidP="00011635">
      <w:pPr>
        <w:spacing w:after="120" w:line="276" w:lineRule="auto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Cena fóliovníku </w:t>
      </w:r>
      <w:r w:rsidRPr="00E90D21">
        <w:rPr>
          <w:rFonts w:ascii="Times New Roman" w:hAnsi="Times New Roman"/>
          <w:i/>
          <w:sz w:val="26"/>
          <w:szCs w:val="26"/>
        </w:rPr>
        <w:t>je 2 100 Kč/ks</w:t>
      </w:r>
      <w:r w:rsidRPr="00011635">
        <w:rPr>
          <w:rFonts w:ascii="Times New Roman" w:hAnsi="Times New Roman"/>
          <w:sz w:val="26"/>
          <w:szCs w:val="26"/>
        </w:rPr>
        <w:t xml:space="preserve">, cena samostatné plachty zhotovené z folie s perlinkovou vazbou o rozměrech dle přání zákazníka </w:t>
      </w:r>
      <w:r w:rsidRPr="00E90D21">
        <w:rPr>
          <w:rFonts w:ascii="Times New Roman" w:hAnsi="Times New Roman"/>
          <w:i/>
          <w:sz w:val="26"/>
          <w:szCs w:val="26"/>
        </w:rPr>
        <w:t>je 48 Kč/m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</w:rPr>
        <w:t xml:space="preserve">. Variabilní náklady spojené s výrobou </w:t>
      </w:r>
      <w:r w:rsidRPr="00E90D21">
        <w:rPr>
          <w:rFonts w:ascii="Times New Roman" w:hAnsi="Times New Roman"/>
          <w:i/>
          <w:sz w:val="26"/>
          <w:szCs w:val="26"/>
        </w:rPr>
        <w:t>1 ks</w:t>
      </w:r>
      <w:r w:rsidRPr="00011635">
        <w:rPr>
          <w:rFonts w:ascii="Times New Roman" w:hAnsi="Times New Roman"/>
          <w:sz w:val="26"/>
          <w:szCs w:val="26"/>
        </w:rPr>
        <w:t xml:space="preserve"> fóliovníku činí </w:t>
      </w:r>
      <w:r w:rsidRPr="00E90D21">
        <w:rPr>
          <w:rFonts w:ascii="Times New Roman" w:hAnsi="Times New Roman"/>
          <w:i/>
          <w:sz w:val="26"/>
          <w:szCs w:val="26"/>
        </w:rPr>
        <w:t>1 400 Kč/ks</w:t>
      </w:r>
      <w:r w:rsidRPr="00011635">
        <w:rPr>
          <w:rFonts w:ascii="Times New Roman" w:hAnsi="Times New Roman"/>
          <w:sz w:val="26"/>
          <w:szCs w:val="26"/>
        </w:rPr>
        <w:t xml:space="preserve">; zatímco jednotkové variabilní náklady na zhotovení </w:t>
      </w:r>
      <w:r w:rsidRPr="00E90D21">
        <w:rPr>
          <w:rFonts w:ascii="Times New Roman" w:hAnsi="Times New Roman"/>
          <w:i/>
          <w:sz w:val="26"/>
          <w:szCs w:val="26"/>
        </w:rPr>
        <w:t>1 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011635">
        <w:rPr>
          <w:rFonts w:ascii="Times New Roman" w:hAnsi="Times New Roman"/>
          <w:sz w:val="26"/>
          <w:szCs w:val="26"/>
        </w:rPr>
        <w:t xml:space="preserve">samostatné plachty činí </w:t>
      </w:r>
      <w:r w:rsidRPr="00E90D21">
        <w:rPr>
          <w:rFonts w:ascii="Times New Roman" w:hAnsi="Times New Roman"/>
          <w:i/>
          <w:sz w:val="26"/>
          <w:szCs w:val="26"/>
        </w:rPr>
        <w:t>32 Kč/m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</w:rPr>
        <w:t xml:space="preserve">. Dle účetních záznamů firmy „Calefacio“ činí měsíční hodnota fixních nákladů </w:t>
      </w:r>
      <w:r w:rsidRPr="00E90D21">
        <w:rPr>
          <w:rFonts w:ascii="Times New Roman" w:hAnsi="Times New Roman"/>
          <w:i/>
          <w:sz w:val="26"/>
          <w:szCs w:val="26"/>
        </w:rPr>
        <w:t>36 000 Kč</w:t>
      </w:r>
      <w:r w:rsidRPr="00011635">
        <w:rPr>
          <w:rFonts w:ascii="Times New Roman" w:hAnsi="Times New Roman"/>
          <w:sz w:val="26"/>
          <w:szCs w:val="26"/>
        </w:rPr>
        <w:t xml:space="preserve">. </w:t>
      </w:r>
    </w:p>
    <w:p w:rsidR="00011635" w:rsidRPr="00011635" w:rsidRDefault="00011635" w:rsidP="00011635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Jaké tržby zajisti firmě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 xml:space="preserve">), pokud v daném měsíci budou prodávány pouze fóliovníky? </w:t>
      </w:r>
    </w:p>
    <w:p w:rsidR="00011635" w:rsidRPr="00011635" w:rsidRDefault="00011635" w:rsidP="00011635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Jaké tržby zajisti firmě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 xml:space="preserve">), pokud v daném měsíci budou prodávány pouze samostatné plachty o rozměrech dle přání zákazníka? </w:t>
      </w:r>
    </w:p>
    <w:p w:rsidR="00876FAF" w:rsidRPr="003507FD" w:rsidRDefault="00011635" w:rsidP="00D26D56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Stanovte měsíční výši tržeb, která firmě zajisti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>), bez ohledu na sortimentní skladbu prodaných výrobků: počet fóliovníků v (ks) a samostatných plachet v (m</w:t>
      </w:r>
      <w:r w:rsidRPr="00011635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i/>
          <w:sz w:val="26"/>
          <w:szCs w:val="26"/>
        </w:rPr>
        <w:t>).</w:t>
      </w:r>
    </w:p>
    <w:p w:rsidR="00134540" w:rsidRPr="00E6568C" w:rsidRDefault="00CB46E3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Příklad č. 3</w:t>
      </w:r>
      <w:r w:rsidR="00134540" w:rsidRPr="00E6568C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Prodejna s konfekčním zbožím prodává dámské halenky a pánské košile. Cena halenky je </w:t>
      </w:r>
      <w:r w:rsidRPr="00134540">
        <w:rPr>
          <w:rFonts w:ascii="Times New Roman" w:hAnsi="Times New Roman"/>
          <w:bCs/>
          <w:sz w:val="24"/>
          <w:szCs w:val="24"/>
        </w:rPr>
        <w:t>600</w:t>
      </w:r>
      <w:r w:rsidRPr="00134540">
        <w:rPr>
          <w:rFonts w:ascii="Times New Roman" w:hAnsi="Times New Roman"/>
          <w:sz w:val="24"/>
          <w:szCs w:val="24"/>
        </w:rPr>
        <w:t> </w:t>
      </w:r>
      <w:r w:rsidRPr="00134540">
        <w:rPr>
          <w:rFonts w:ascii="Times New Roman" w:hAnsi="Times New Roman"/>
          <w:bCs/>
          <w:sz w:val="24"/>
          <w:szCs w:val="24"/>
        </w:rPr>
        <w:t>Kč/ks</w:t>
      </w:r>
      <w:r w:rsidRPr="00134540">
        <w:rPr>
          <w:rFonts w:ascii="Times New Roman" w:hAnsi="Times New Roman"/>
          <w:i/>
          <w:sz w:val="24"/>
          <w:szCs w:val="24"/>
        </w:rPr>
        <w:t>.</w:t>
      </w:r>
      <w:r w:rsidRPr="00134540">
        <w:rPr>
          <w:rFonts w:ascii="Times New Roman" w:hAnsi="Times New Roman"/>
          <w:sz w:val="24"/>
          <w:szCs w:val="24"/>
        </w:rPr>
        <w:t xml:space="preserve"> Cena pánské košile je</w:t>
      </w:r>
      <w:r w:rsidRPr="00134540">
        <w:rPr>
          <w:rFonts w:ascii="Times New Roman" w:hAnsi="Times New Roman"/>
          <w:i/>
          <w:sz w:val="24"/>
          <w:szCs w:val="24"/>
        </w:rPr>
        <w:t xml:space="preserve"> </w:t>
      </w:r>
      <w:r w:rsidRPr="00134540">
        <w:rPr>
          <w:rFonts w:ascii="Times New Roman" w:hAnsi="Times New Roman"/>
          <w:bCs/>
          <w:sz w:val="24"/>
          <w:szCs w:val="24"/>
        </w:rPr>
        <w:t>480 Kč/ks</w:t>
      </w:r>
      <w:r w:rsidRPr="00134540">
        <w:rPr>
          <w:rFonts w:ascii="Times New Roman" w:hAnsi="Times New Roman"/>
          <w:bCs/>
          <w:i/>
          <w:sz w:val="24"/>
          <w:szCs w:val="24"/>
        </w:rPr>
        <w:t>.</w:t>
      </w:r>
      <w:r w:rsidRPr="001345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4540">
        <w:rPr>
          <w:rFonts w:ascii="Times New Roman" w:hAnsi="Times New Roman"/>
          <w:sz w:val="24"/>
          <w:szCs w:val="24"/>
        </w:rPr>
        <w:t xml:space="preserve"> Nákupní ceny obou výrobků jsou: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Dámská halenka: </w:t>
      </w:r>
      <w:r w:rsidRPr="00134540">
        <w:rPr>
          <w:rFonts w:ascii="Times New Roman" w:hAnsi="Times New Roman"/>
          <w:bCs/>
          <w:sz w:val="24"/>
          <w:szCs w:val="24"/>
        </w:rPr>
        <w:t>400 Kč/ks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Pánská košile:      </w:t>
      </w:r>
      <w:r w:rsidRPr="00134540">
        <w:rPr>
          <w:rFonts w:ascii="Times New Roman" w:hAnsi="Times New Roman"/>
          <w:bCs/>
          <w:sz w:val="24"/>
          <w:szCs w:val="24"/>
        </w:rPr>
        <w:t>320 Kč/ks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Měsíční fixní náklady prodejny mají hodnotu 45 000 Kč.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Náklady na nákup konfekčního zboží jsou jedinou položkou variabilních nákladů.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Jaké tržby zaručí prodejně dosažení bodu zvratu za měsíční období, pokud počet prodaných dámských halenek [ks], byl shodný s počtem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Jaké tržby zaručí prodejně dosažení bodu zvratu za měsíční období, pokud počet prodaných dámských halenek [ks] byl dvojnásobkem počtu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Při jakých tržbách vykáže prodejna výsledek hospodaření v podobě zisku ve výši 35 000 Kč za kvartální (čtvrtletní) hodnocení, pokud počet prodaných dámských halenek [ks] byl ⅔ z počtu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Při jakých tržbách vykáže prodejna výsledek hospodaření v podobě zisku ve výši 35 000 Kč za kvartální (čtvrtletní) hodnocení, pokud počet prodaných pánských košil [ks] byl ⅔ z počtu prodaných dámských halenek [ks]? </w:t>
      </w:r>
    </w:p>
    <w:p w:rsidR="004742F6" w:rsidRDefault="004742F6" w:rsidP="0013454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507FD" w:rsidRDefault="003507FD" w:rsidP="0013454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507FD" w:rsidRDefault="003507FD" w:rsidP="0013454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507FD" w:rsidRDefault="003507FD" w:rsidP="0013454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507FD" w:rsidRDefault="003507FD" w:rsidP="0013454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507FD" w:rsidRDefault="003507FD" w:rsidP="0013454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507FD" w:rsidRDefault="003507FD" w:rsidP="0013454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507FD" w:rsidRDefault="003507FD" w:rsidP="0013454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507FD" w:rsidRDefault="003507FD" w:rsidP="0013454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507FD" w:rsidRDefault="003507FD" w:rsidP="0013454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507FD" w:rsidRDefault="003507FD" w:rsidP="0013454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507FD" w:rsidRDefault="003507FD" w:rsidP="0013454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C6632" w:rsidRPr="00AC6632" w:rsidRDefault="00AC6632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  <w:r w:rsidRPr="00AC6632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Příklad č. </w:t>
      </w:r>
      <w:r w:rsidR="00CB46E3">
        <w:rPr>
          <w:rFonts w:ascii="Times New Roman" w:hAnsi="Times New Roman"/>
          <w:b/>
          <w:sz w:val="26"/>
          <w:szCs w:val="26"/>
          <w:u w:val="single"/>
        </w:rPr>
        <w:t>4</w:t>
      </w:r>
      <w:r w:rsidRPr="00AC6632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AC6632" w:rsidRPr="00AC6632" w:rsidRDefault="00AC6632" w:rsidP="00AC6632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AC6632">
        <w:rPr>
          <w:rFonts w:ascii="Times New Roman" w:hAnsi="Times New Roman"/>
          <w:sz w:val="26"/>
          <w:szCs w:val="26"/>
        </w:rPr>
        <w:t>Knihkupectví „Livre, s. r. o.“ zaznamenalo v měsíci červenci loňského roku výsledek hospodaření v hodnotě 17 600 Kč; tržby v uvedeném období byly dle účetní evidence ve výši 240 000 Kč. V měsíci listopadu knihkupectví vykázalo kladný výsledek hospodaření 41 600 Kč při tržbách 320 000 Kč. Měsíční fixní náklady evidovala prodejna v průběhu celého roku ve stálé stejné výši. Cena nakupovaných knih od vydavatele, je jediným variabilním nákladem. Podíl nákupní a prodejní ceny je u všech prodávaných titulů shodný.</w:t>
      </w:r>
    </w:p>
    <w:p w:rsidR="00AC6632" w:rsidRPr="00AC6632" w:rsidRDefault="00AC6632" w:rsidP="00AC6632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AC6632">
        <w:rPr>
          <w:rFonts w:ascii="Times New Roman" w:hAnsi="Times New Roman"/>
          <w:sz w:val="26"/>
          <w:szCs w:val="26"/>
        </w:rPr>
        <w:t>Na základě výše uvedených údajů stanovte:</w:t>
      </w:r>
    </w:p>
    <w:p w:rsidR="00AC6632" w:rsidRPr="00AC6632" w:rsidRDefault="00AC6632" w:rsidP="00AC6632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6"/>
          <w:szCs w:val="26"/>
        </w:rPr>
      </w:pPr>
      <w:r w:rsidRPr="00AC6632">
        <w:rPr>
          <w:rFonts w:ascii="Times New Roman" w:hAnsi="Times New Roman"/>
          <w:i/>
          <w:sz w:val="26"/>
          <w:szCs w:val="26"/>
        </w:rPr>
        <w:t>Měsíční výši fixních nákladů v knihkupectví „Livre“</w:t>
      </w:r>
    </w:p>
    <w:p w:rsidR="00AC6632" w:rsidRPr="00AC6632" w:rsidRDefault="00AC6632" w:rsidP="00AC6632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6"/>
          <w:szCs w:val="26"/>
        </w:rPr>
      </w:pPr>
      <w:r w:rsidRPr="00AC6632">
        <w:rPr>
          <w:rFonts w:ascii="Times New Roman" w:hAnsi="Times New Roman"/>
          <w:i/>
          <w:sz w:val="26"/>
          <w:szCs w:val="26"/>
        </w:rPr>
        <w:t>Výši tržeb, které zajistí dosažení bodu zvratu při měsíčním hodnocení.</w:t>
      </w:r>
    </w:p>
    <w:p w:rsidR="00AC6632" w:rsidRDefault="00AC6632" w:rsidP="00AC6632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6"/>
          <w:szCs w:val="26"/>
        </w:rPr>
      </w:pPr>
      <w:r w:rsidRPr="00AC6632">
        <w:rPr>
          <w:rFonts w:ascii="Times New Roman" w:hAnsi="Times New Roman"/>
          <w:i/>
          <w:sz w:val="26"/>
          <w:szCs w:val="26"/>
        </w:rPr>
        <w:t>Prodejní cenu knihy „Řešení rovnic o dvou neznámých“, kterou knihkupectví nakupuje od vydavatelství za cenu 252 Kč/ks. Název knihy je současně návodem na řešení</w:t>
      </w:r>
      <w:r w:rsidR="006C0094">
        <w:rPr>
          <w:rFonts w:ascii="Times New Roman" w:hAnsi="Times New Roman"/>
          <w:i/>
          <w:sz w:val="26"/>
          <w:szCs w:val="26"/>
        </w:rPr>
        <w:t xml:space="preserve"> otázky 1)</w:t>
      </w:r>
      <w:r w:rsidRPr="00AC6632">
        <w:rPr>
          <w:rFonts w:ascii="Times New Roman" w:hAnsi="Times New Roman"/>
          <w:i/>
          <w:sz w:val="26"/>
          <w:szCs w:val="26"/>
        </w:rPr>
        <w:t xml:space="preserve"> příkladu.</w:t>
      </w:r>
    </w:p>
    <w:p w:rsidR="00AC6632" w:rsidRDefault="00AC6632" w:rsidP="00AC6632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:rsidR="00CB46E3" w:rsidRDefault="00CB46E3" w:rsidP="00AC6632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:rsidR="00CB46E3" w:rsidRDefault="00CB46E3" w:rsidP="00AC6632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:rsidR="00CB46E3" w:rsidRPr="00AC6632" w:rsidRDefault="00CB46E3" w:rsidP="00AC6632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:rsidR="008F45B1" w:rsidRDefault="008F45B1" w:rsidP="00011635">
      <w:pPr>
        <w:spacing w:before="60" w:after="60"/>
        <w:rPr>
          <w:rFonts w:ascii="Times New Roman" w:hAnsi="Times New Roman"/>
          <w:b/>
          <w:sz w:val="26"/>
          <w:szCs w:val="26"/>
          <w:u w:val="single"/>
        </w:rPr>
      </w:pPr>
    </w:p>
    <w:p w:rsidR="008A7206" w:rsidRDefault="008A720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8A7206" w:rsidRPr="00C131F1" w:rsidRDefault="00CB46E3" w:rsidP="008A7206">
      <w:pPr>
        <w:spacing w:before="60" w:after="60" w:line="264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Příklad č. 5</w:t>
      </w:r>
      <w:r w:rsidR="008A7206" w:rsidRPr="00C131F1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bCs/>
          <w:i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 xml:space="preserve">Prodejna „Batole“ nabízí svým zákazníkům dva typy dětských kočárků. Kočárek „Laura“ je zákazníkům nabízen za cenu </w:t>
      </w:r>
      <w:r w:rsidRPr="00CB46E3">
        <w:rPr>
          <w:rFonts w:ascii="Times New Roman" w:hAnsi="Times New Roman"/>
          <w:i/>
          <w:sz w:val="24"/>
          <w:szCs w:val="24"/>
        </w:rPr>
        <w:t>6 300</w:t>
      </w:r>
      <w:r w:rsidRPr="00CB46E3">
        <w:rPr>
          <w:rFonts w:ascii="Times New Roman" w:hAnsi="Times New Roman"/>
          <w:sz w:val="24"/>
          <w:szCs w:val="24"/>
        </w:rPr>
        <w:t xml:space="preserve"> Kč/ks; zatímco kočárek „Pedro“ se prodává za cenu </w:t>
      </w:r>
      <w:r w:rsidRPr="00CB46E3">
        <w:rPr>
          <w:rFonts w:ascii="Times New Roman" w:hAnsi="Times New Roman"/>
          <w:i/>
          <w:sz w:val="24"/>
          <w:szCs w:val="24"/>
        </w:rPr>
        <w:t>4 900</w:t>
      </w:r>
      <w:r w:rsidRPr="00CB46E3">
        <w:rPr>
          <w:rFonts w:ascii="Times New Roman" w:hAnsi="Times New Roman"/>
          <w:bCs/>
          <w:i/>
          <w:sz w:val="24"/>
          <w:szCs w:val="24"/>
        </w:rPr>
        <w:t> </w:t>
      </w:r>
      <w:r w:rsidRPr="00CB46E3">
        <w:rPr>
          <w:rFonts w:ascii="Times New Roman" w:hAnsi="Times New Roman"/>
          <w:sz w:val="24"/>
          <w:szCs w:val="24"/>
        </w:rPr>
        <w:t>Kč/ks. Nákupní ceny jednotlivých kočárků jsou: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i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 xml:space="preserve">Kočárek „Laura“: </w:t>
      </w:r>
      <w:r w:rsidRPr="00CB46E3">
        <w:rPr>
          <w:rFonts w:ascii="Times New Roman" w:hAnsi="Times New Roman"/>
          <w:bCs/>
          <w:i/>
          <w:sz w:val="24"/>
          <w:szCs w:val="24"/>
        </w:rPr>
        <w:t>4 500 Kč/ks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bCs/>
          <w:i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 xml:space="preserve">Kočárek „Pedro“: </w:t>
      </w:r>
      <w:r w:rsidRPr="00CB46E3">
        <w:rPr>
          <w:rFonts w:ascii="Times New Roman" w:hAnsi="Times New Roman"/>
          <w:bCs/>
          <w:i/>
          <w:sz w:val="24"/>
          <w:szCs w:val="24"/>
        </w:rPr>
        <w:t>3 500 Kč/ks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 xml:space="preserve">Měsíční fixní náklady prodejny mají hodnotu </w:t>
      </w:r>
      <w:r w:rsidRPr="00CB46E3">
        <w:rPr>
          <w:rFonts w:ascii="Times New Roman" w:hAnsi="Times New Roman"/>
          <w:i/>
          <w:sz w:val="24"/>
          <w:szCs w:val="24"/>
        </w:rPr>
        <w:t>48 000 Kč.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>Nákupní cena kočárku (cena, za kterou prodejna kočárky nakupuje od výrobce) je jedinou položkou variabilních nákladů.</w:t>
      </w:r>
    </w:p>
    <w:p w:rsidR="008A7206" w:rsidRPr="00CB46E3" w:rsidRDefault="008A7206" w:rsidP="004C7502">
      <w:pPr>
        <w:pStyle w:val="Odstavecseseznamem"/>
        <w:numPr>
          <w:ilvl w:val="0"/>
          <w:numId w:val="14"/>
        </w:numPr>
        <w:tabs>
          <w:tab w:val="left" w:pos="-4962"/>
        </w:tabs>
        <w:spacing w:before="120" w:after="120" w:line="264" w:lineRule="auto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i/>
          <w:iCs/>
          <w:sz w:val="24"/>
          <w:szCs w:val="24"/>
        </w:rPr>
        <w:t xml:space="preserve">Jaké tržby zaručí prodejně dosažení bodu zvratu za měsíční období, pokud počet prodaných kočárků “Laura“ [ks], byl shodný s počtem prodaných kočárků „Pedro“ [ks]? </w:t>
      </w:r>
    </w:p>
    <w:p w:rsidR="008A7206" w:rsidRPr="00CB46E3" w:rsidRDefault="008A7206" w:rsidP="004C7502">
      <w:pPr>
        <w:numPr>
          <w:ilvl w:val="0"/>
          <w:numId w:val="14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i/>
          <w:iCs/>
          <w:sz w:val="24"/>
          <w:szCs w:val="24"/>
        </w:rPr>
        <w:t>Při jakých tržbách vykáže prodejna výsledek hospodaření v podobě zisku ve výši 51 000 Kč za kvartální (čtvrtletní) hodnocení, pokud počet prodaných kočárků „Laura“ [ks] byl dvojnásobkem počtu prodaných kočárků „Pedro“ [ks]?</w:t>
      </w:r>
    </w:p>
    <w:p w:rsidR="008A7206" w:rsidRPr="00CB46E3" w:rsidRDefault="008A7206" w:rsidP="008A7206">
      <w:pPr>
        <w:pStyle w:val="Odstavecseseznamem"/>
        <w:autoSpaceDE w:val="0"/>
        <w:autoSpaceDN w:val="0"/>
        <w:adjustRightInd w:val="0"/>
        <w:spacing w:before="120" w:after="120"/>
        <w:ind w:left="425"/>
        <w:contextualSpacing w:val="0"/>
        <w:rPr>
          <w:rFonts w:ascii="Times New Roman" w:eastAsia="TT3D5350o00" w:hAnsi="Times New Roman"/>
          <w:i/>
          <w:sz w:val="24"/>
          <w:szCs w:val="24"/>
        </w:rPr>
      </w:pPr>
    </w:p>
    <w:p w:rsidR="008A7206" w:rsidRDefault="008A7206" w:rsidP="008A7206">
      <w:pPr>
        <w:tabs>
          <w:tab w:val="left" w:pos="-4962"/>
        </w:tabs>
        <w:spacing w:before="60" w:after="60" w:line="264" w:lineRule="auto"/>
        <w:ind w:left="284" w:hanging="284"/>
      </w:pPr>
    </w:p>
    <w:sectPr w:rsidR="008A7206" w:rsidSect="00A86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5A" w:rsidRDefault="007D455A" w:rsidP="007021D1">
      <w:pPr>
        <w:spacing w:before="0" w:after="0" w:line="240" w:lineRule="auto"/>
      </w:pPr>
      <w:r>
        <w:separator/>
      </w:r>
    </w:p>
  </w:endnote>
  <w:endnote w:type="continuationSeparator" w:id="0">
    <w:p w:rsidR="007D455A" w:rsidRDefault="007D455A" w:rsidP="007021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3D5350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8B6" w:rsidRDefault="00D158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8B6" w:rsidRDefault="00D158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8B6" w:rsidRDefault="00D158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5A" w:rsidRDefault="007D455A" w:rsidP="007021D1">
      <w:pPr>
        <w:spacing w:before="0" w:after="0" w:line="240" w:lineRule="auto"/>
      </w:pPr>
      <w:r>
        <w:separator/>
      </w:r>
    </w:p>
  </w:footnote>
  <w:footnote w:type="continuationSeparator" w:id="0">
    <w:p w:rsidR="007D455A" w:rsidRDefault="007D455A" w:rsidP="007021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8B6" w:rsidRDefault="00D158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32" w:rsidRDefault="00AC6632" w:rsidP="00795061">
    <w:pPr>
      <w:pStyle w:val="Zhlav"/>
    </w:pPr>
    <w:r w:rsidRPr="005408F5">
      <w:rPr>
        <w:rFonts w:ascii="Times New Roman" w:hAnsi="Times New Roman"/>
      </w:rPr>
      <w:tab/>
      <w:t xml:space="preserve">Seminář </w:t>
    </w:r>
    <w:r w:rsidR="00D158B6">
      <w:rPr>
        <w:rFonts w:ascii="Times New Roman" w:hAnsi="Times New Roman"/>
      </w:rPr>
      <w:t>č. 6</w:t>
    </w:r>
    <w:r w:rsidR="00D158B6">
      <w:rPr>
        <w:rFonts w:ascii="Times New Roman" w:hAnsi="Times New Roman"/>
      </w:rPr>
      <w:tab/>
    </w:r>
    <w:bookmarkStart w:id="0" w:name="_GoBack"/>
    <w:bookmarkEnd w:id="0"/>
  </w:p>
  <w:p w:rsidR="00AC6632" w:rsidRPr="00795061" w:rsidRDefault="00AC6632" w:rsidP="007950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8B6" w:rsidRDefault="00D158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406C"/>
    <w:multiLevelType w:val="hybridMultilevel"/>
    <w:tmpl w:val="70E2F462"/>
    <w:lvl w:ilvl="0" w:tplc="0E540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3278"/>
    <w:multiLevelType w:val="hybridMultilevel"/>
    <w:tmpl w:val="DF7AE0D6"/>
    <w:lvl w:ilvl="0" w:tplc="F3CED898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5230B"/>
    <w:multiLevelType w:val="hybridMultilevel"/>
    <w:tmpl w:val="50262934"/>
    <w:lvl w:ilvl="0" w:tplc="173476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2AE7B98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EC2AD50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4996711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F28565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E0C188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342C07D8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E564638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602C044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07BA"/>
    <w:multiLevelType w:val="hybridMultilevel"/>
    <w:tmpl w:val="9A80A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0ECF"/>
    <w:multiLevelType w:val="hybridMultilevel"/>
    <w:tmpl w:val="BEE83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32F10"/>
    <w:multiLevelType w:val="hybridMultilevel"/>
    <w:tmpl w:val="6646F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6529"/>
    <w:multiLevelType w:val="hybridMultilevel"/>
    <w:tmpl w:val="2E76B746"/>
    <w:lvl w:ilvl="0" w:tplc="A844EA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674E5788"/>
    <w:multiLevelType w:val="hybridMultilevel"/>
    <w:tmpl w:val="C882CB28"/>
    <w:lvl w:ilvl="0" w:tplc="04050019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564B8"/>
    <w:multiLevelType w:val="hybridMultilevel"/>
    <w:tmpl w:val="444691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52B42"/>
    <w:multiLevelType w:val="hybridMultilevel"/>
    <w:tmpl w:val="245C48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A579BD"/>
    <w:multiLevelType w:val="hybridMultilevel"/>
    <w:tmpl w:val="29480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A03CD"/>
    <w:multiLevelType w:val="hybridMultilevel"/>
    <w:tmpl w:val="08A4B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11"/>
  </w:num>
  <w:num w:numId="8">
    <w:abstractNumId w:val="13"/>
  </w:num>
  <w:num w:numId="9">
    <w:abstractNumId w:val="14"/>
  </w:num>
  <w:num w:numId="10">
    <w:abstractNumId w:val="4"/>
  </w:num>
  <w:num w:numId="11">
    <w:abstractNumId w:val="2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D1"/>
    <w:rsid w:val="00011635"/>
    <w:rsid w:val="00057717"/>
    <w:rsid w:val="000941D3"/>
    <w:rsid w:val="000D3793"/>
    <w:rsid w:val="00126051"/>
    <w:rsid w:val="00134540"/>
    <w:rsid w:val="0023363C"/>
    <w:rsid w:val="002370D7"/>
    <w:rsid w:val="00255925"/>
    <w:rsid w:val="00283CBC"/>
    <w:rsid w:val="003223D2"/>
    <w:rsid w:val="003507FD"/>
    <w:rsid w:val="003F5D97"/>
    <w:rsid w:val="00454ECA"/>
    <w:rsid w:val="004742F6"/>
    <w:rsid w:val="00481D7C"/>
    <w:rsid w:val="004C7502"/>
    <w:rsid w:val="004D004D"/>
    <w:rsid w:val="005068F7"/>
    <w:rsid w:val="005130A8"/>
    <w:rsid w:val="005F0D9E"/>
    <w:rsid w:val="006C0094"/>
    <w:rsid w:val="006C5C64"/>
    <w:rsid w:val="006D1278"/>
    <w:rsid w:val="006F1F21"/>
    <w:rsid w:val="006F20FB"/>
    <w:rsid w:val="006F6AE7"/>
    <w:rsid w:val="007021D1"/>
    <w:rsid w:val="007025D3"/>
    <w:rsid w:val="00763E3C"/>
    <w:rsid w:val="00795061"/>
    <w:rsid w:val="007D3232"/>
    <w:rsid w:val="007D455A"/>
    <w:rsid w:val="007F4253"/>
    <w:rsid w:val="00876FAF"/>
    <w:rsid w:val="008806B2"/>
    <w:rsid w:val="008A7206"/>
    <w:rsid w:val="008C16B2"/>
    <w:rsid w:val="008D35FA"/>
    <w:rsid w:val="008F45B1"/>
    <w:rsid w:val="00A023DD"/>
    <w:rsid w:val="00A86ABD"/>
    <w:rsid w:val="00A87B79"/>
    <w:rsid w:val="00AA1E3B"/>
    <w:rsid w:val="00AC6632"/>
    <w:rsid w:val="00B16E60"/>
    <w:rsid w:val="00B32AF9"/>
    <w:rsid w:val="00B417D2"/>
    <w:rsid w:val="00B90650"/>
    <w:rsid w:val="00BA17E7"/>
    <w:rsid w:val="00C04F8D"/>
    <w:rsid w:val="00C1113E"/>
    <w:rsid w:val="00C131F1"/>
    <w:rsid w:val="00C15ADE"/>
    <w:rsid w:val="00CB46E3"/>
    <w:rsid w:val="00CC47AA"/>
    <w:rsid w:val="00D158B6"/>
    <w:rsid w:val="00D26D56"/>
    <w:rsid w:val="00D27018"/>
    <w:rsid w:val="00D461EB"/>
    <w:rsid w:val="00D918B6"/>
    <w:rsid w:val="00DE0D1F"/>
    <w:rsid w:val="00E6568C"/>
    <w:rsid w:val="00E87969"/>
    <w:rsid w:val="00E90D21"/>
    <w:rsid w:val="00EA2419"/>
    <w:rsid w:val="00F14E57"/>
    <w:rsid w:val="00F33BF8"/>
    <w:rsid w:val="00F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B805"/>
  <w15:docId w15:val="{F17FE138-27C4-4429-A940-C3E35C2F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1D1"/>
    <w:pPr>
      <w:spacing w:before="240" w:after="240" w:line="288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1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1D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1D1"/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255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5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5B1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134540"/>
    <w:pPr>
      <w:spacing w:before="0"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3454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4540"/>
    <w:rPr>
      <w:vertAlign w:val="superscript"/>
    </w:rPr>
  </w:style>
  <w:style w:type="paragraph" w:customStyle="1" w:styleId="Tlotextu">
    <w:name w:val="Tělo textu"/>
    <w:basedOn w:val="Normln"/>
    <w:qFormat/>
    <w:rsid w:val="00F33BF8"/>
    <w:pPr>
      <w:spacing w:line="276" w:lineRule="auto"/>
      <w:ind w:firstLine="284"/>
    </w:pPr>
    <w:rPr>
      <w:rFonts w:ascii="Times New Roman" w:eastAsiaTheme="minorHAnsi" w:hAnsi="Times New Roman" w:cstheme="minorBidi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F33BF8"/>
    <w:pPr>
      <w:spacing w:before="0" w:after="200" w:line="240" w:lineRule="auto"/>
      <w:jc w:val="left"/>
    </w:pPr>
    <w:rPr>
      <w:rFonts w:ascii="Times New Roman" w:eastAsiaTheme="minorHAnsi" w:hAnsi="Times New Roman" w:cstheme="minorBidi"/>
      <w:b/>
      <w:b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Stelmach</dc:creator>
  <cp:lastModifiedBy>ryl0001</cp:lastModifiedBy>
  <cp:revision>4</cp:revision>
  <dcterms:created xsi:type="dcterms:W3CDTF">2021-05-21T08:30:00Z</dcterms:created>
  <dcterms:modified xsi:type="dcterms:W3CDTF">2021-05-21T08:33:00Z</dcterms:modified>
</cp:coreProperties>
</file>