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9A" w:rsidRPr="008F4D61" w:rsidRDefault="00481E9A" w:rsidP="00C13B78">
      <w:pPr>
        <w:rPr>
          <w:rFonts w:ascii="Times New Roman" w:hAnsi="Times New Roman"/>
          <w:b/>
          <w:sz w:val="24"/>
        </w:rPr>
      </w:pPr>
      <w:r w:rsidRPr="008F4D61">
        <w:rPr>
          <w:rFonts w:ascii="Times New Roman" w:hAnsi="Times New Roman"/>
          <w:b/>
          <w:sz w:val="24"/>
        </w:rPr>
        <w:t>Případová studie</w:t>
      </w:r>
      <w:r w:rsidR="008F4D61">
        <w:rPr>
          <w:rFonts w:ascii="Times New Roman" w:hAnsi="Times New Roman"/>
          <w:b/>
          <w:sz w:val="24"/>
        </w:rPr>
        <w:t xml:space="preserve"> pro rekapitulaci dosažených znalostí</w:t>
      </w:r>
    </w:p>
    <w:p w:rsidR="00C13B78" w:rsidRPr="008F4D61" w:rsidRDefault="00C13B78" w:rsidP="00C13B78">
      <w:pPr>
        <w:rPr>
          <w:rFonts w:ascii="Times New Roman" w:hAnsi="Times New Roman"/>
          <w:sz w:val="24"/>
        </w:rPr>
      </w:pPr>
      <w:r w:rsidRPr="008F4D61">
        <w:rPr>
          <w:rFonts w:ascii="Times New Roman" w:hAnsi="Times New Roman"/>
          <w:sz w:val="24"/>
        </w:rPr>
        <w:t xml:space="preserve">Výrobní podnik Plastika a.s. se zabývá výrobou a dodávkou komponentů do </w:t>
      </w:r>
      <w:proofErr w:type="spellStart"/>
      <w:r w:rsidRPr="008F4D61">
        <w:rPr>
          <w:rFonts w:ascii="Times New Roman" w:hAnsi="Times New Roman"/>
          <w:sz w:val="24"/>
        </w:rPr>
        <w:t>automotive</w:t>
      </w:r>
      <w:proofErr w:type="spellEnd"/>
      <w:r w:rsidRPr="008F4D61">
        <w:rPr>
          <w:rFonts w:ascii="Times New Roman" w:hAnsi="Times New Roman"/>
          <w:sz w:val="24"/>
        </w:rPr>
        <w:t xml:space="preserve"> průmyslu (vstřikování plastů).</w:t>
      </w:r>
      <w:r w:rsidRPr="008F4D61">
        <w:rPr>
          <w:rFonts w:ascii="Times New Roman" w:hAnsi="Times New Roman"/>
          <w:sz w:val="24"/>
        </w:rPr>
        <w:t xml:space="preserve"> </w:t>
      </w:r>
      <w:r w:rsidRPr="008F4D61">
        <w:rPr>
          <w:rFonts w:ascii="Times New Roman" w:hAnsi="Times New Roman"/>
          <w:sz w:val="24"/>
        </w:rPr>
        <w:t>Celá společnost je rozdělena na několik závodů (středisek), kde se každé věnuje výrobě jiného typu výrobků. Ve středisku „</w:t>
      </w:r>
      <w:proofErr w:type="spellStart"/>
      <w:r w:rsidRPr="008F4D61">
        <w:rPr>
          <w:rFonts w:ascii="Times New Roman" w:hAnsi="Times New Roman"/>
          <w:sz w:val="24"/>
        </w:rPr>
        <w:t>vstřikolisů</w:t>
      </w:r>
      <w:proofErr w:type="spellEnd"/>
      <w:r w:rsidRPr="008F4D61">
        <w:rPr>
          <w:rFonts w:ascii="Times New Roman" w:hAnsi="Times New Roman"/>
          <w:sz w:val="24"/>
        </w:rPr>
        <w:t xml:space="preserve">“ se vyrábí </w:t>
      </w:r>
      <w:r w:rsidRPr="008F4D61">
        <w:rPr>
          <w:rFonts w:ascii="Times New Roman" w:hAnsi="Times New Roman"/>
          <w:sz w:val="24"/>
        </w:rPr>
        <w:t>tři</w:t>
      </w:r>
      <w:r w:rsidRPr="008F4D61">
        <w:rPr>
          <w:rFonts w:ascii="Times New Roman" w:hAnsi="Times New Roman"/>
          <w:sz w:val="24"/>
        </w:rPr>
        <w:t xml:space="preserve"> typy výrobků.</w:t>
      </w:r>
      <w:r w:rsidRPr="008F4D61">
        <w:rPr>
          <w:rFonts w:ascii="Times New Roman" w:hAnsi="Times New Roman"/>
          <w:sz w:val="24"/>
        </w:rPr>
        <w:t xml:space="preserve"> </w:t>
      </w:r>
      <w:r w:rsidR="00BA2B38" w:rsidRPr="008F4D61">
        <w:rPr>
          <w:rFonts w:ascii="Times New Roman" w:hAnsi="Times New Roman"/>
          <w:sz w:val="24"/>
        </w:rPr>
        <w:t xml:space="preserve">Jedním z nich je i kapalinová nádrž. </w:t>
      </w:r>
      <w:r w:rsidRPr="008F4D61">
        <w:rPr>
          <w:rFonts w:ascii="Times New Roman" w:hAnsi="Times New Roman"/>
          <w:sz w:val="24"/>
        </w:rPr>
        <w:t xml:space="preserve">V měsíci s nejvyšší </w:t>
      </w:r>
      <w:r w:rsidR="00E21A27" w:rsidRPr="008F4D61">
        <w:rPr>
          <w:rFonts w:ascii="Times New Roman" w:hAnsi="Times New Roman"/>
          <w:sz w:val="24"/>
        </w:rPr>
        <w:t xml:space="preserve">produkcí bylo vyrobeno </w:t>
      </w:r>
      <w:r w:rsidR="00904BD5" w:rsidRPr="008F4D61">
        <w:rPr>
          <w:rFonts w:ascii="Times New Roman" w:hAnsi="Times New Roman"/>
          <w:sz w:val="24"/>
        </w:rPr>
        <w:t>celkem 2100 ks</w:t>
      </w:r>
      <w:r w:rsidR="003F0432" w:rsidRPr="008F4D61">
        <w:rPr>
          <w:rFonts w:ascii="Times New Roman" w:hAnsi="Times New Roman"/>
          <w:sz w:val="24"/>
        </w:rPr>
        <w:t xml:space="preserve"> </w:t>
      </w:r>
      <w:r w:rsidR="00BA2B38" w:rsidRPr="008F4D61">
        <w:rPr>
          <w:rFonts w:ascii="Times New Roman" w:hAnsi="Times New Roman"/>
          <w:sz w:val="24"/>
        </w:rPr>
        <w:t xml:space="preserve">kapalinové nádrže </w:t>
      </w:r>
      <w:r w:rsidR="003F0432" w:rsidRPr="008F4D61">
        <w:rPr>
          <w:rFonts w:ascii="Times New Roman" w:hAnsi="Times New Roman"/>
          <w:sz w:val="24"/>
        </w:rPr>
        <w:t>a celkové náklady byly 1 2</w:t>
      </w:r>
      <w:r w:rsidR="00BA2B38" w:rsidRPr="008F4D61">
        <w:rPr>
          <w:rFonts w:ascii="Times New Roman" w:hAnsi="Times New Roman"/>
          <w:sz w:val="24"/>
        </w:rPr>
        <w:t>19</w:t>
      </w:r>
      <w:r w:rsidR="003F0432" w:rsidRPr="008F4D61">
        <w:rPr>
          <w:rFonts w:ascii="Times New Roman" w:hAnsi="Times New Roman"/>
          <w:sz w:val="24"/>
        </w:rPr>
        <w:t> </w:t>
      </w:r>
      <w:r w:rsidR="00BA2B38" w:rsidRPr="008F4D61">
        <w:rPr>
          <w:rFonts w:ascii="Times New Roman" w:hAnsi="Times New Roman"/>
          <w:sz w:val="24"/>
        </w:rPr>
        <w:t>5</w:t>
      </w:r>
      <w:r w:rsidR="003F0432" w:rsidRPr="008F4D61">
        <w:rPr>
          <w:rFonts w:ascii="Times New Roman" w:hAnsi="Times New Roman"/>
          <w:sz w:val="24"/>
        </w:rPr>
        <w:t>00 Kč. V měsíci s nejnižší produkcí bylo vyrobeno celkem 1840 ks a celkové náklady byly 1 1</w:t>
      </w:r>
      <w:r w:rsidR="00BA2B38" w:rsidRPr="008F4D61">
        <w:rPr>
          <w:rFonts w:ascii="Times New Roman" w:hAnsi="Times New Roman"/>
          <w:sz w:val="24"/>
        </w:rPr>
        <w:t>42</w:t>
      </w:r>
      <w:r w:rsidR="003F0432" w:rsidRPr="008F4D61">
        <w:rPr>
          <w:rFonts w:ascii="Times New Roman" w:hAnsi="Times New Roman"/>
          <w:sz w:val="24"/>
        </w:rPr>
        <w:t> </w:t>
      </w:r>
      <w:r w:rsidR="00BA2B38" w:rsidRPr="008F4D61">
        <w:rPr>
          <w:rFonts w:ascii="Times New Roman" w:hAnsi="Times New Roman"/>
          <w:sz w:val="24"/>
        </w:rPr>
        <w:t>80</w:t>
      </w:r>
      <w:r w:rsidR="003F0432" w:rsidRPr="008F4D61">
        <w:rPr>
          <w:rFonts w:ascii="Times New Roman" w:hAnsi="Times New Roman"/>
          <w:sz w:val="24"/>
        </w:rPr>
        <w:t xml:space="preserve">0 Kč. </w:t>
      </w:r>
      <w:r w:rsidR="00327A55" w:rsidRPr="008F4D61">
        <w:rPr>
          <w:rFonts w:ascii="Times New Roman" w:hAnsi="Times New Roman"/>
          <w:sz w:val="24"/>
        </w:rPr>
        <w:t xml:space="preserve">Vytvořte nákladovou funkci </w:t>
      </w:r>
      <w:r w:rsidR="00976348" w:rsidRPr="008F4D61">
        <w:rPr>
          <w:rFonts w:ascii="Times New Roman" w:hAnsi="Times New Roman"/>
          <w:sz w:val="24"/>
        </w:rPr>
        <w:t>pro výrobu tohoto výrobku.</w:t>
      </w:r>
    </w:p>
    <w:p w:rsidR="00C13B78" w:rsidRDefault="00C13B7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C13B78" w:rsidRDefault="00C13B7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001C81" w:rsidRDefault="00001C81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BA2B38" w:rsidRDefault="00BA2B3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001C81" w:rsidRDefault="00001C81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001C81" w:rsidRDefault="00976348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Dále při výpočtech používejte následující údaje</w:t>
      </w:r>
      <w:r w:rsidR="003615AF">
        <w:rPr>
          <w:rFonts w:ascii="Times New Roman" w:hAnsi="Times New Roman"/>
          <w:sz w:val="26"/>
          <w:szCs w:val="26"/>
        </w:rPr>
        <w:t xml:space="preserve"> o středisku a výkazy za celou firmu</w:t>
      </w:r>
      <w:r w:rsidR="005E7954">
        <w:rPr>
          <w:rFonts w:ascii="Times New Roman" w:hAnsi="Times New Roman"/>
          <w:sz w:val="26"/>
          <w:szCs w:val="26"/>
        </w:rPr>
        <w:t xml:space="preserve"> (v tis. Kč)</w:t>
      </w:r>
      <w:r>
        <w:rPr>
          <w:rFonts w:ascii="Times New Roman" w:hAnsi="Times New Roman"/>
          <w:sz w:val="26"/>
          <w:szCs w:val="26"/>
        </w:rPr>
        <w:t>:</w:t>
      </w:r>
    </w:p>
    <w:p w:rsidR="00327A55" w:rsidRDefault="00327A55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2"/>
        <w:gridCol w:w="1757"/>
        <w:gridCol w:w="1617"/>
        <w:gridCol w:w="1617"/>
      </w:tblGrid>
      <w:tr w:rsidR="00001C81" w:rsidRPr="00360E83" w:rsidTr="001A2D7C">
        <w:tc>
          <w:tcPr>
            <w:tcW w:w="1942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Název dílu</w:t>
            </w:r>
          </w:p>
        </w:tc>
        <w:tc>
          <w:tcPr>
            <w:tcW w:w="175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Cena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Jednotkové variabilní N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>
              <w:t>Množství výrobků za rok</w:t>
            </w:r>
          </w:p>
        </w:tc>
      </w:tr>
      <w:tr w:rsidR="00001C81" w:rsidRPr="00360E83" w:rsidTr="001A2D7C">
        <w:tc>
          <w:tcPr>
            <w:tcW w:w="1942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Dekorativní díl přístrojové desky</w:t>
            </w:r>
          </w:p>
        </w:tc>
        <w:tc>
          <w:tcPr>
            <w:tcW w:w="175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900,-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396,-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>
              <w:t>18</w:t>
            </w:r>
            <w:r w:rsidR="008F4D61">
              <w:t> </w:t>
            </w:r>
            <w:r>
              <w:t>918</w:t>
            </w:r>
            <w:r w:rsidR="008F4D61">
              <w:t xml:space="preserve"> ks</w:t>
            </w:r>
          </w:p>
        </w:tc>
      </w:tr>
      <w:tr w:rsidR="00001C81" w:rsidRPr="00360E83" w:rsidTr="001A2D7C">
        <w:tc>
          <w:tcPr>
            <w:tcW w:w="1942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Emblém ŠKODA</w:t>
            </w:r>
          </w:p>
        </w:tc>
        <w:tc>
          <w:tcPr>
            <w:tcW w:w="175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550,-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242,-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>
              <w:t>28</w:t>
            </w:r>
            <w:r w:rsidR="008F4D61">
              <w:t> </w:t>
            </w:r>
            <w:r>
              <w:t>376</w:t>
            </w:r>
            <w:r w:rsidR="008F4D61">
              <w:t xml:space="preserve"> ks</w:t>
            </w:r>
          </w:p>
        </w:tc>
      </w:tr>
      <w:tr w:rsidR="00001C81" w:rsidRPr="00360E83" w:rsidTr="001A2D7C">
        <w:tc>
          <w:tcPr>
            <w:tcW w:w="1942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Kapalinová nádrž</w:t>
            </w:r>
          </w:p>
        </w:tc>
        <w:tc>
          <w:tcPr>
            <w:tcW w:w="175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670,-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 w:rsidRPr="00360E83">
              <w:t>295,-</w:t>
            </w:r>
          </w:p>
        </w:tc>
        <w:tc>
          <w:tcPr>
            <w:tcW w:w="1617" w:type="dxa"/>
          </w:tcPr>
          <w:p w:rsidR="00001C81" w:rsidRPr="00360E83" w:rsidRDefault="00001C81" w:rsidP="00360E83">
            <w:pPr>
              <w:spacing w:before="0" w:after="0" w:line="240" w:lineRule="auto"/>
              <w:jc w:val="left"/>
            </w:pPr>
            <w:r>
              <w:t>23</w:t>
            </w:r>
            <w:r w:rsidR="008F4D61">
              <w:t> </w:t>
            </w:r>
            <w:r>
              <w:t>647</w:t>
            </w:r>
            <w:r w:rsidR="008F4D61">
              <w:t xml:space="preserve"> ks</w:t>
            </w:r>
          </w:p>
        </w:tc>
      </w:tr>
    </w:tbl>
    <w:p w:rsidR="00001C81" w:rsidRDefault="00001C81" w:rsidP="0034640D">
      <w:pPr>
        <w:spacing w:after="60" w:line="276" w:lineRule="auto"/>
      </w:pPr>
    </w:p>
    <w:p w:rsidR="004056C6" w:rsidRDefault="00A91E0C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11621AB9" wp14:editId="7BA7E07A">
            <wp:extent cx="4765618" cy="2546462"/>
            <wp:effectExtent l="0" t="0" r="0" b="0"/>
            <wp:docPr id="1246342980" name="Obrázek 124634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5" t="21516" r="15178" b="22222"/>
                    <a:stretch>
                      <a:fillRect/>
                    </a:stretch>
                  </pic:blipFill>
                  <pic:spPr>
                    <a:xfrm>
                      <a:off x="0" y="0"/>
                      <a:ext cx="4765618" cy="25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6C6" w:rsidRDefault="004056C6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360E83" w:rsidRDefault="00A91E0C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73D791B3" wp14:editId="2FFD6914">
            <wp:extent cx="4609950" cy="2810482"/>
            <wp:effectExtent l="0" t="0" r="0" b="0"/>
            <wp:docPr id="483635967" name="Obrázek 48363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1" t="18518" r="12037" b="20265"/>
                    <a:stretch>
                      <a:fillRect/>
                    </a:stretch>
                  </pic:blipFill>
                  <pic:spPr>
                    <a:xfrm>
                      <a:off x="0" y="0"/>
                      <a:ext cx="4609950" cy="281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E0C" w:rsidRDefault="00A91E0C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0366742" wp14:editId="4223EC46">
            <wp:extent cx="4807319" cy="2626429"/>
            <wp:effectExtent l="0" t="0" r="0" b="0"/>
            <wp:docPr id="764056866" name="Obrázek 76405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5" t="24691" r="17500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4807319" cy="26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954" w:rsidRDefault="005E7954" w:rsidP="00327A55">
      <w:pPr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b/>
          <w:sz w:val="24"/>
          <w:szCs w:val="24"/>
        </w:rPr>
        <w:t>Zodpovězte</w:t>
      </w:r>
      <w:r>
        <w:rPr>
          <w:rFonts w:ascii="Times New Roman" w:hAnsi="Times New Roman"/>
          <w:sz w:val="24"/>
          <w:szCs w:val="24"/>
        </w:rPr>
        <w:t>:</w:t>
      </w:r>
    </w:p>
    <w:p w:rsidR="00327A55" w:rsidRPr="005E7954" w:rsidRDefault="00327A55" w:rsidP="00327A55">
      <w:pPr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>Jaké jsou f</w:t>
      </w:r>
      <w:r w:rsidRPr="005E7954">
        <w:rPr>
          <w:rFonts w:ascii="Times New Roman" w:hAnsi="Times New Roman"/>
          <w:sz w:val="24"/>
          <w:szCs w:val="24"/>
        </w:rPr>
        <w:t>ixní náklady středisek za rok</w:t>
      </w:r>
      <w:r w:rsidRPr="005E7954">
        <w:rPr>
          <w:rFonts w:ascii="Times New Roman" w:hAnsi="Times New Roman"/>
          <w:sz w:val="24"/>
          <w:szCs w:val="24"/>
        </w:rPr>
        <w:t xml:space="preserve">, když se každé </w:t>
      </w:r>
      <w:r w:rsidRPr="005E7954">
        <w:rPr>
          <w:rFonts w:ascii="Times New Roman" w:hAnsi="Times New Roman"/>
          <w:sz w:val="24"/>
          <w:szCs w:val="24"/>
        </w:rPr>
        <w:t xml:space="preserve">středisko podílí </w:t>
      </w:r>
      <w:r w:rsidR="00976348" w:rsidRPr="005E7954">
        <w:rPr>
          <w:rFonts w:ascii="Times New Roman" w:hAnsi="Times New Roman"/>
          <w:sz w:val="24"/>
          <w:szCs w:val="24"/>
        </w:rPr>
        <w:t xml:space="preserve">na fixních nákladech </w:t>
      </w:r>
      <w:r w:rsidRPr="005E7954">
        <w:rPr>
          <w:rFonts w:ascii="Times New Roman" w:hAnsi="Times New Roman"/>
          <w:sz w:val="24"/>
          <w:szCs w:val="24"/>
        </w:rPr>
        <w:t>stejným podílem</w:t>
      </w:r>
      <w:r w:rsidRPr="005E7954">
        <w:rPr>
          <w:rFonts w:ascii="Times New Roman" w:hAnsi="Times New Roman"/>
          <w:sz w:val="24"/>
          <w:szCs w:val="24"/>
        </w:rPr>
        <w:t>?</w:t>
      </w:r>
    </w:p>
    <w:p w:rsidR="00327A55" w:rsidRPr="005E7954" w:rsidRDefault="00327A55" w:rsidP="00327A55">
      <w:pPr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 xml:space="preserve">Jaké jsou </w:t>
      </w:r>
      <w:r w:rsidR="00976348" w:rsidRPr="005E7954">
        <w:rPr>
          <w:rFonts w:ascii="Times New Roman" w:hAnsi="Times New Roman"/>
          <w:sz w:val="24"/>
          <w:szCs w:val="24"/>
        </w:rPr>
        <w:t xml:space="preserve">roční </w:t>
      </w:r>
      <w:r w:rsidRPr="005E7954">
        <w:rPr>
          <w:rFonts w:ascii="Times New Roman" w:hAnsi="Times New Roman"/>
          <w:sz w:val="24"/>
          <w:szCs w:val="24"/>
        </w:rPr>
        <w:t>tržby z prodeje jednotlivých výrobků?</w:t>
      </w:r>
      <w:r w:rsidR="0003245C" w:rsidRPr="005E7954">
        <w:rPr>
          <w:rFonts w:ascii="Times New Roman" w:hAnsi="Times New Roman"/>
          <w:sz w:val="24"/>
          <w:szCs w:val="24"/>
        </w:rPr>
        <w:t xml:space="preserve"> </w:t>
      </w:r>
    </w:p>
    <w:p w:rsidR="00327A55" w:rsidRPr="005E7954" w:rsidRDefault="00327A55" w:rsidP="00327A55">
      <w:pPr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 xml:space="preserve">Jaké jsou </w:t>
      </w:r>
      <w:r w:rsidR="00976348" w:rsidRPr="005E7954">
        <w:rPr>
          <w:rFonts w:ascii="Times New Roman" w:hAnsi="Times New Roman"/>
          <w:sz w:val="24"/>
          <w:szCs w:val="24"/>
        </w:rPr>
        <w:t xml:space="preserve">roční </w:t>
      </w:r>
      <w:r w:rsidRPr="005E7954">
        <w:rPr>
          <w:rFonts w:ascii="Times New Roman" w:hAnsi="Times New Roman"/>
          <w:sz w:val="24"/>
          <w:szCs w:val="24"/>
        </w:rPr>
        <w:t>náklady při výrobě jednotlivých výrobků?</w:t>
      </w:r>
      <w:r w:rsidR="0003245C" w:rsidRPr="005E7954">
        <w:rPr>
          <w:rFonts w:ascii="Times New Roman" w:hAnsi="Times New Roman"/>
          <w:sz w:val="24"/>
          <w:szCs w:val="24"/>
        </w:rPr>
        <w:t xml:space="preserve"> </w:t>
      </w:r>
    </w:p>
    <w:p w:rsidR="00360E83" w:rsidRPr="005E7954" w:rsidRDefault="00976348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>Jaký je výsledek hospodaření za tento rok?</w:t>
      </w:r>
      <w:r w:rsidR="0003245C" w:rsidRPr="005E7954">
        <w:rPr>
          <w:rFonts w:ascii="Times New Roman" w:hAnsi="Times New Roman"/>
          <w:sz w:val="24"/>
          <w:szCs w:val="24"/>
        </w:rPr>
        <w:t xml:space="preserve"> </w:t>
      </w:r>
    </w:p>
    <w:p w:rsidR="00E55E95" w:rsidRPr="005E7954" w:rsidRDefault="00E55E95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 xml:space="preserve">Při výrobě kolika kusů </w:t>
      </w:r>
      <w:r w:rsidR="005E7954" w:rsidRPr="005E7954">
        <w:rPr>
          <w:rFonts w:ascii="Times New Roman" w:hAnsi="Times New Roman"/>
          <w:sz w:val="24"/>
          <w:szCs w:val="24"/>
        </w:rPr>
        <w:t xml:space="preserve">za rok </w:t>
      </w:r>
      <w:r w:rsidRPr="005E7954">
        <w:rPr>
          <w:rFonts w:ascii="Times New Roman" w:hAnsi="Times New Roman"/>
          <w:sz w:val="24"/>
          <w:szCs w:val="24"/>
        </w:rPr>
        <w:t>výrobků dojde k bodu zvratu? (</w:t>
      </w:r>
      <w:r w:rsidR="005E7954" w:rsidRPr="005E7954">
        <w:rPr>
          <w:rFonts w:ascii="Times New Roman" w:hAnsi="Times New Roman"/>
          <w:sz w:val="24"/>
          <w:szCs w:val="24"/>
        </w:rPr>
        <w:t>vyberte si jakýkoliv výrobek</w:t>
      </w:r>
      <w:r w:rsidRPr="005E7954">
        <w:rPr>
          <w:rFonts w:ascii="Times New Roman" w:hAnsi="Times New Roman"/>
          <w:sz w:val="24"/>
          <w:szCs w:val="24"/>
        </w:rPr>
        <w:t>)</w:t>
      </w:r>
    </w:p>
    <w:p w:rsidR="005B4ACD" w:rsidRPr="005E7954" w:rsidRDefault="005B4ACD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>Jaká je rentabilita tržeb?</w:t>
      </w:r>
      <w:r w:rsidR="0003245C" w:rsidRPr="005E7954">
        <w:rPr>
          <w:rFonts w:ascii="Times New Roman" w:hAnsi="Times New Roman"/>
          <w:sz w:val="24"/>
          <w:szCs w:val="24"/>
        </w:rPr>
        <w:t xml:space="preserve"> </w:t>
      </w:r>
    </w:p>
    <w:p w:rsidR="005E7954" w:rsidRPr="005E7954" w:rsidRDefault="005E7954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>Jaký je příspěvek na úhradu na jednotku produkce jednotlivých výrobků?</w:t>
      </w:r>
    </w:p>
    <w:p w:rsidR="00976348" w:rsidRPr="005E7954" w:rsidRDefault="00976348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>Jaký je podíl tržeb výrobků těchto středisek na celkových tržbách společnosti?</w:t>
      </w:r>
    </w:p>
    <w:p w:rsidR="0034640D" w:rsidRPr="005E7954" w:rsidRDefault="003615AF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sz w:val="24"/>
          <w:szCs w:val="24"/>
        </w:rPr>
        <w:t>Jaký je celkový příspěvek na úhradu za firmu</w:t>
      </w:r>
      <w:r w:rsidR="00A91E0C" w:rsidRPr="005E7954">
        <w:rPr>
          <w:rFonts w:ascii="Times New Roman" w:hAnsi="Times New Roman"/>
          <w:sz w:val="24"/>
          <w:szCs w:val="24"/>
        </w:rPr>
        <w:t xml:space="preserve">, když poměr tržeb i </w:t>
      </w:r>
      <w:r w:rsidR="005B4ACD" w:rsidRPr="005E7954">
        <w:rPr>
          <w:rFonts w:ascii="Times New Roman" w:hAnsi="Times New Roman"/>
          <w:sz w:val="24"/>
          <w:szCs w:val="24"/>
        </w:rPr>
        <w:t xml:space="preserve">fixních </w:t>
      </w:r>
      <w:r w:rsidR="00A91E0C" w:rsidRPr="005E7954">
        <w:rPr>
          <w:rFonts w:ascii="Times New Roman" w:hAnsi="Times New Roman"/>
          <w:sz w:val="24"/>
          <w:szCs w:val="24"/>
        </w:rPr>
        <w:t xml:space="preserve">nákladů středisek </w:t>
      </w:r>
      <w:r w:rsidR="005E7954" w:rsidRPr="005E7954">
        <w:rPr>
          <w:rFonts w:ascii="Times New Roman" w:hAnsi="Times New Roman"/>
          <w:sz w:val="24"/>
          <w:szCs w:val="24"/>
        </w:rPr>
        <w:t>vůči celkovým hodnotám</w:t>
      </w:r>
      <w:r w:rsidR="00A91E0C" w:rsidRPr="005E7954">
        <w:rPr>
          <w:rFonts w:ascii="Times New Roman" w:hAnsi="Times New Roman"/>
          <w:sz w:val="24"/>
          <w:szCs w:val="24"/>
        </w:rPr>
        <w:t xml:space="preserve"> firmy je stejn</w:t>
      </w:r>
      <w:r w:rsidR="005B4ACD" w:rsidRPr="005E7954">
        <w:rPr>
          <w:rFonts w:ascii="Times New Roman" w:hAnsi="Times New Roman"/>
          <w:sz w:val="24"/>
          <w:szCs w:val="24"/>
        </w:rPr>
        <w:t>ý.</w:t>
      </w:r>
    </w:p>
    <w:p w:rsidR="0034640D" w:rsidRPr="005E7954" w:rsidRDefault="002C22AA" w:rsidP="0034640D">
      <w:pPr>
        <w:spacing w:after="60" w:line="276" w:lineRule="auto"/>
        <w:rPr>
          <w:rFonts w:ascii="Times New Roman" w:hAnsi="Times New Roman"/>
          <w:sz w:val="24"/>
          <w:szCs w:val="24"/>
        </w:rPr>
      </w:pPr>
      <w:r w:rsidRPr="005E7954">
        <w:rPr>
          <w:rFonts w:ascii="Times New Roman" w:hAnsi="Times New Roman"/>
          <w:i/>
          <w:sz w:val="24"/>
          <w:szCs w:val="24"/>
        </w:rPr>
        <w:t xml:space="preserve">Při jakém objemu produkce bude firma vykazovat rentabilitu </w:t>
      </w:r>
      <w:r w:rsidR="005E7954" w:rsidRPr="005E7954">
        <w:rPr>
          <w:rFonts w:ascii="Times New Roman" w:hAnsi="Times New Roman"/>
          <w:i/>
          <w:sz w:val="24"/>
          <w:szCs w:val="24"/>
        </w:rPr>
        <w:t>tržeb</w:t>
      </w:r>
      <w:r w:rsidRPr="005E7954">
        <w:rPr>
          <w:rFonts w:ascii="Times New Roman" w:hAnsi="Times New Roman"/>
          <w:i/>
          <w:sz w:val="24"/>
          <w:szCs w:val="24"/>
        </w:rPr>
        <w:t xml:space="preserve"> ve výši 19 %?</w:t>
      </w:r>
      <w:r w:rsidR="005E7954" w:rsidRPr="005E7954">
        <w:rPr>
          <w:rFonts w:ascii="Times New Roman" w:hAnsi="Times New Roman"/>
          <w:i/>
          <w:sz w:val="24"/>
          <w:szCs w:val="24"/>
        </w:rPr>
        <w:t xml:space="preserve"> (berte v potaz průměrné hodnoty)</w:t>
      </w:r>
    </w:p>
    <w:p w:rsidR="0034640D" w:rsidRDefault="0034640D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6110A5" w:rsidRDefault="006110A5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5E7954" w:rsidRDefault="005E7954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110A5" w:rsidRDefault="006110A5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8F4D61" w:rsidRDefault="008F4D61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</w:p>
    <w:p w:rsidR="0034640D" w:rsidRPr="00AC6632" w:rsidRDefault="0034640D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lastRenderedPageBreak/>
        <w:t>Knihkupectví „Livre, s. r. o.“ zaznamenalo v měsíci červenci loňského roku výsledek hospodaření v hodnotě 17 600 Kč; tržby v uvedeném období byly dle účetní evidence ve výši 240 000 Kč. V měsíci listopadu knihkupectví vykázalo kladný výsledek hospodaření 41 600 Kč při tržbách 320 000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:rsidR="0034640D" w:rsidRPr="00AC6632" w:rsidRDefault="0034640D" w:rsidP="0034640D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AC6632">
        <w:rPr>
          <w:rFonts w:ascii="Times New Roman" w:hAnsi="Times New Roman"/>
          <w:sz w:val="26"/>
          <w:szCs w:val="26"/>
        </w:rPr>
        <w:t>Na základě výše uvedených údajů stanovte:</w:t>
      </w:r>
    </w:p>
    <w:p w:rsidR="0034640D" w:rsidRPr="00AC6632" w:rsidRDefault="0034640D" w:rsidP="0034640D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Měsíční výši fixních nákladů v knihkupectví „Livre“</w:t>
      </w:r>
    </w:p>
    <w:p w:rsidR="0034640D" w:rsidRPr="00AC6632" w:rsidRDefault="0034640D" w:rsidP="0034640D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Výši tržeb, které zajistí dosažení bodu zvratu při měsíčním hodnocení.</w:t>
      </w:r>
    </w:p>
    <w:p w:rsidR="0034640D" w:rsidRDefault="0034640D" w:rsidP="0034640D">
      <w:pPr>
        <w:numPr>
          <w:ilvl w:val="0"/>
          <w:numId w:val="12"/>
        </w:numPr>
        <w:spacing w:before="0" w:after="60" w:line="276" w:lineRule="auto"/>
        <w:ind w:left="284" w:hanging="284"/>
        <w:rPr>
          <w:rFonts w:ascii="Times New Roman" w:hAnsi="Times New Roman"/>
          <w:i/>
          <w:sz w:val="26"/>
          <w:szCs w:val="26"/>
        </w:rPr>
      </w:pPr>
      <w:r w:rsidRPr="00AC6632">
        <w:rPr>
          <w:rFonts w:ascii="Times New Roman" w:hAnsi="Times New Roman"/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>
        <w:rPr>
          <w:rFonts w:ascii="Times New Roman" w:hAnsi="Times New Roman"/>
          <w:i/>
          <w:sz w:val="26"/>
          <w:szCs w:val="26"/>
        </w:rPr>
        <w:t xml:space="preserve"> otázky 1)</w:t>
      </w:r>
      <w:r w:rsidRPr="00AC6632">
        <w:rPr>
          <w:rFonts w:ascii="Times New Roman" w:hAnsi="Times New Roman"/>
          <w:i/>
          <w:sz w:val="26"/>
          <w:szCs w:val="26"/>
        </w:rPr>
        <w:t xml:space="preserve"> příkladu.</w:t>
      </w: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4640D" w:rsidRDefault="0034640D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</w:p>
    <w:p w:rsidR="003507FD" w:rsidRDefault="003507FD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3507FD" w:rsidRDefault="003507FD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A7206" w:rsidRPr="00CB46E3" w:rsidRDefault="008A7206" w:rsidP="008A7206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rPr>
          <w:rFonts w:ascii="Times New Roman" w:eastAsia="TT3D5350o00" w:hAnsi="Times New Roman"/>
          <w:i/>
          <w:sz w:val="24"/>
          <w:szCs w:val="24"/>
        </w:rPr>
      </w:pPr>
    </w:p>
    <w:p w:rsidR="008A7206" w:rsidRDefault="008A7206" w:rsidP="008A7206">
      <w:pPr>
        <w:tabs>
          <w:tab w:val="left" w:pos="-4962"/>
        </w:tabs>
        <w:spacing w:before="60" w:after="60" w:line="264" w:lineRule="auto"/>
        <w:ind w:left="284" w:hanging="284"/>
      </w:pPr>
    </w:p>
    <w:sectPr w:rsidR="008A7206" w:rsidSect="00A86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2E" w:rsidRDefault="00B01D2E" w:rsidP="007021D1">
      <w:pPr>
        <w:spacing w:before="0" w:after="0" w:line="240" w:lineRule="auto"/>
      </w:pPr>
      <w:r>
        <w:separator/>
      </w:r>
    </w:p>
  </w:endnote>
  <w:endnote w:type="continuationSeparator" w:id="0">
    <w:p w:rsidR="00B01D2E" w:rsidRDefault="00B01D2E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3D5350o00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D15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D158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D15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2E" w:rsidRDefault="00B01D2E" w:rsidP="007021D1">
      <w:pPr>
        <w:spacing w:before="0" w:after="0" w:line="240" w:lineRule="auto"/>
      </w:pPr>
      <w:r>
        <w:separator/>
      </w:r>
    </w:p>
  </w:footnote>
  <w:footnote w:type="continuationSeparator" w:id="0">
    <w:p w:rsidR="00B01D2E" w:rsidRDefault="00B01D2E" w:rsidP="007021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D158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632" w:rsidRDefault="00AC6632" w:rsidP="00795061">
    <w:pPr>
      <w:pStyle w:val="Zhlav"/>
    </w:pPr>
    <w:r w:rsidRPr="005408F5">
      <w:rPr>
        <w:rFonts w:ascii="Times New Roman" w:hAnsi="Times New Roman"/>
      </w:rPr>
      <w:tab/>
      <w:t xml:space="preserve">Seminář </w:t>
    </w:r>
    <w:r w:rsidR="00D158B6">
      <w:rPr>
        <w:rFonts w:ascii="Times New Roman" w:hAnsi="Times New Roman"/>
      </w:rPr>
      <w:t>č. 6</w:t>
    </w:r>
    <w:r w:rsidR="00D158B6">
      <w:rPr>
        <w:rFonts w:ascii="Times New Roman" w:hAnsi="Times New Roman"/>
      </w:rPr>
      <w:tab/>
    </w:r>
  </w:p>
  <w:p w:rsidR="00AC6632" w:rsidRPr="00795061" w:rsidRDefault="00AC6632" w:rsidP="007950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D15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278"/>
    <w:multiLevelType w:val="hybridMultilevel"/>
    <w:tmpl w:val="DF7AE0D6"/>
    <w:lvl w:ilvl="0" w:tplc="F3CED8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10"/>
    <w:multiLevelType w:val="hybridMultilevel"/>
    <w:tmpl w:val="6646F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D1"/>
    <w:rsid w:val="00001C81"/>
    <w:rsid w:val="00011635"/>
    <w:rsid w:val="0003245C"/>
    <w:rsid w:val="00057717"/>
    <w:rsid w:val="000941D3"/>
    <w:rsid w:val="000D3793"/>
    <w:rsid w:val="00126051"/>
    <w:rsid w:val="00134540"/>
    <w:rsid w:val="00181E2C"/>
    <w:rsid w:val="0023363C"/>
    <w:rsid w:val="002370D7"/>
    <w:rsid w:val="00255925"/>
    <w:rsid w:val="00283CBC"/>
    <w:rsid w:val="002B710A"/>
    <w:rsid w:val="002C22AA"/>
    <w:rsid w:val="003223D2"/>
    <w:rsid w:val="00327A55"/>
    <w:rsid w:val="0034640D"/>
    <w:rsid w:val="003507FD"/>
    <w:rsid w:val="00360E83"/>
    <w:rsid w:val="003615AF"/>
    <w:rsid w:val="003F0432"/>
    <w:rsid w:val="003F5D97"/>
    <w:rsid w:val="004056C6"/>
    <w:rsid w:val="00454ECA"/>
    <w:rsid w:val="004742F6"/>
    <w:rsid w:val="00481D7C"/>
    <w:rsid w:val="00481E9A"/>
    <w:rsid w:val="004C7502"/>
    <w:rsid w:val="004D004D"/>
    <w:rsid w:val="005068F7"/>
    <w:rsid w:val="005130A8"/>
    <w:rsid w:val="005B4ACD"/>
    <w:rsid w:val="005E7954"/>
    <w:rsid w:val="005F0D9E"/>
    <w:rsid w:val="006110A5"/>
    <w:rsid w:val="00690C03"/>
    <w:rsid w:val="006C0094"/>
    <w:rsid w:val="006C5C64"/>
    <w:rsid w:val="006D1278"/>
    <w:rsid w:val="006F1F21"/>
    <w:rsid w:val="006F20FB"/>
    <w:rsid w:val="006F6AE7"/>
    <w:rsid w:val="007021D1"/>
    <w:rsid w:val="007025D3"/>
    <w:rsid w:val="00763E3C"/>
    <w:rsid w:val="00795061"/>
    <w:rsid w:val="007D3232"/>
    <w:rsid w:val="007D455A"/>
    <w:rsid w:val="007D7B25"/>
    <w:rsid w:val="007F4253"/>
    <w:rsid w:val="008333D1"/>
    <w:rsid w:val="00876FAF"/>
    <w:rsid w:val="008806B2"/>
    <w:rsid w:val="008A7206"/>
    <w:rsid w:val="008C16B2"/>
    <w:rsid w:val="008D35FA"/>
    <w:rsid w:val="008F45B1"/>
    <w:rsid w:val="008F4D61"/>
    <w:rsid w:val="00904BD5"/>
    <w:rsid w:val="00976348"/>
    <w:rsid w:val="00A023DD"/>
    <w:rsid w:val="00A86ABD"/>
    <w:rsid w:val="00A87B79"/>
    <w:rsid w:val="00A91E0C"/>
    <w:rsid w:val="00A97A3F"/>
    <w:rsid w:val="00AA1E3B"/>
    <w:rsid w:val="00AC6632"/>
    <w:rsid w:val="00B01D2E"/>
    <w:rsid w:val="00B16E60"/>
    <w:rsid w:val="00B32AF9"/>
    <w:rsid w:val="00B417D2"/>
    <w:rsid w:val="00B90650"/>
    <w:rsid w:val="00BA17E7"/>
    <w:rsid w:val="00BA2B38"/>
    <w:rsid w:val="00C04F8D"/>
    <w:rsid w:val="00C1113E"/>
    <w:rsid w:val="00C131F1"/>
    <w:rsid w:val="00C13B78"/>
    <w:rsid w:val="00C15ADE"/>
    <w:rsid w:val="00C70309"/>
    <w:rsid w:val="00CB46E3"/>
    <w:rsid w:val="00CC47AA"/>
    <w:rsid w:val="00D158B6"/>
    <w:rsid w:val="00D26D56"/>
    <w:rsid w:val="00D27018"/>
    <w:rsid w:val="00D403B7"/>
    <w:rsid w:val="00D461EB"/>
    <w:rsid w:val="00D918B6"/>
    <w:rsid w:val="00DE0D1F"/>
    <w:rsid w:val="00E21A27"/>
    <w:rsid w:val="00E55E95"/>
    <w:rsid w:val="00E6568C"/>
    <w:rsid w:val="00E87969"/>
    <w:rsid w:val="00E90D21"/>
    <w:rsid w:val="00EA2419"/>
    <w:rsid w:val="00F14E57"/>
    <w:rsid w:val="00F33BF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12F0"/>
  <w15:docId w15:val="{F17FE138-27C4-4429-A940-C3E35C2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paragraph" w:customStyle="1" w:styleId="Tlotextu">
    <w:name w:val="Tělo textu"/>
    <w:basedOn w:val="Normln"/>
    <w:qFormat/>
    <w:rsid w:val="00F33BF8"/>
    <w:pPr>
      <w:spacing w:line="276" w:lineRule="auto"/>
      <w:ind w:firstLine="284"/>
    </w:pPr>
    <w:rPr>
      <w:rFonts w:ascii="Times New Roman" w:eastAsiaTheme="minorHAnsi" w:hAnsi="Times New Roman" w:cstheme="minorBidi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33BF8"/>
    <w:pPr>
      <w:spacing w:before="0" w:after="200" w:line="240" w:lineRule="auto"/>
      <w:jc w:val="left"/>
    </w:pPr>
    <w:rPr>
      <w:rFonts w:ascii="Times New Roman" w:eastAsiaTheme="minorHAnsi" w:hAnsi="Times New Roman" w:cstheme="minorBidi"/>
      <w:b/>
      <w:bCs/>
      <w:sz w:val="24"/>
      <w:szCs w:val="18"/>
    </w:rPr>
  </w:style>
  <w:style w:type="table" w:styleId="Mkatabulky">
    <w:name w:val="Table Grid"/>
    <w:basedOn w:val="Normlntabulka"/>
    <w:uiPriority w:val="39"/>
    <w:rsid w:val="0036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Stelmach</dc:creator>
  <cp:lastModifiedBy>Tomáš Pražák</cp:lastModifiedBy>
  <cp:revision>2</cp:revision>
  <dcterms:created xsi:type="dcterms:W3CDTF">2023-04-02T15:05:00Z</dcterms:created>
  <dcterms:modified xsi:type="dcterms:W3CDTF">2023-04-02T15:05:00Z</dcterms:modified>
</cp:coreProperties>
</file>