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D442" w14:textId="77777777" w:rsidR="009C774C" w:rsidRPr="009C774C" w:rsidRDefault="009C774C" w:rsidP="009C774C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  <w:r w:rsidRPr="009C774C">
        <w:rPr>
          <w:b/>
          <w:bCs/>
          <w:sz w:val="24"/>
          <w:szCs w:val="24"/>
          <w:lang w:val="en-US"/>
        </w:rPr>
        <w:t>Seminar 7.</w:t>
      </w:r>
    </w:p>
    <w:p w14:paraId="705CAF75" w14:textId="77777777" w:rsidR="009C774C" w:rsidRPr="009C774C" w:rsidRDefault="009C774C" w:rsidP="009C774C">
      <w:pPr>
        <w:pStyle w:val="Odstavecseseznamem"/>
        <w:tabs>
          <w:tab w:val="left" w:pos="233"/>
          <w:tab w:val="left" w:pos="851"/>
        </w:tabs>
        <w:ind w:left="67"/>
        <w:jc w:val="both"/>
        <w:rPr>
          <w:sz w:val="24"/>
          <w:szCs w:val="24"/>
          <w:lang w:val="en-US"/>
        </w:rPr>
      </w:pPr>
      <w:r w:rsidRPr="009C774C">
        <w:rPr>
          <w:b/>
          <w:sz w:val="24"/>
          <w:szCs w:val="24"/>
          <w:lang w:val="en-US"/>
        </w:rPr>
        <w:t>6.Cash plan</w:t>
      </w:r>
    </w:p>
    <w:p w14:paraId="31E85FAA" w14:textId="77777777" w:rsidR="009C774C" w:rsidRDefault="009C774C" w:rsidP="009C774C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62A56AE0" w14:textId="77777777" w:rsidR="009C774C" w:rsidRPr="009C774C" w:rsidRDefault="009C774C" w:rsidP="009C77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C774C">
        <w:rPr>
          <w:sz w:val="24"/>
          <w:szCs w:val="24"/>
          <w:lang w:val="en-US"/>
        </w:rPr>
        <w:t>Examples, when income can be =, &gt;, &lt; than cash inflow</w:t>
      </w:r>
      <w:r w:rsidRPr="009C774C">
        <w:rPr>
          <w:sz w:val="24"/>
          <w:szCs w:val="24"/>
        </w:rPr>
        <w:t xml:space="preserve">  </w:t>
      </w:r>
    </w:p>
    <w:p w14:paraId="7F01EDCF" w14:textId="77777777" w:rsidR="009C774C" w:rsidRPr="009C774C" w:rsidRDefault="009C774C" w:rsidP="009C77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C774C">
        <w:rPr>
          <w:sz w:val="24"/>
          <w:szCs w:val="24"/>
        </w:rPr>
        <w:t xml:space="preserve">Examples, when </w:t>
      </w:r>
      <w:r w:rsidRPr="009C774C">
        <w:rPr>
          <w:sz w:val="24"/>
          <w:szCs w:val="24"/>
          <w:lang w:val="en-US"/>
        </w:rPr>
        <w:t>expenses can be =, &gt;, &lt; than cash outflow</w:t>
      </w:r>
    </w:p>
    <w:p w14:paraId="080D279F" w14:textId="77777777" w:rsidR="009C774C" w:rsidRPr="009C774C" w:rsidRDefault="009C774C" w:rsidP="009C77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C774C">
        <w:rPr>
          <w:sz w:val="24"/>
          <w:szCs w:val="24"/>
        </w:rPr>
        <w:t xml:space="preserve">Budget of cash inflow from sale of finished products </w:t>
      </w:r>
    </w:p>
    <w:p w14:paraId="7BB5B754" w14:textId="77777777" w:rsidR="009C774C" w:rsidRPr="009C774C" w:rsidRDefault="009C774C" w:rsidP="009C77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C774C">
        <w:rPr>
          <w:sz w:val="24"/>
          <w:szCs w:val="24"/>
        </w:rPr>
        <w:t>Budget of doubtful debts</w:t>
      </w:r>
    </w:p>
    <w:p w14:paraId="0547170B" w14:textId="77777777" w:rsidR="009C774C" w:rsidRPr="009C774C" w:rsidRDefault="009C774C" w:rsidP="009C77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C774C">
        <w:rPr>
          <w:sz w:val="24"/>
          <w:szCs w:val="24"/>
        </w:rPr>
        <w:t>Budget of  cash outflow for the raw materials purchase</w:t>
      </w:r>
    </w:p>
    <w:p w14:paraId="134BA87D" w14:textId="77777777" w:rsidR="009C774C" w:rsidRPr="009C774C" w:rsidRDefault="009C774C" w:rsidP="009C774C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588B6C52" w14:textId="77777777" w:rsidR="009C774C" w:rsidRPr="009C774C" w:rsidRDefault="009C774C" w:rsidP="009C774C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77C7665E" w14:textId="77777777" w:rsidR="009C774C" w:rsidRPr="009C774C" w:rsidRDefault="009C774C" w:rsidP="009C774C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37AF2986" w14:textId="3C9ED01F" w:rsidR="009C774C" w:rsidRPr="009C774C" w:rsidRDefault="00455E0B" w:rsidP="009C774C">
      <w:pPr>
        <w:ind w:firstLine="301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</w:t>
      </w:r>
    </w:p>
    <w:p w14:paraId="55D8B971" w14:textId="77777777" w:rsidR="009C774C" w:rsidRPr="009C774C" w:rsidRDefault="009C774C" w:rsidP="009C774C">
      <w:pPr>
        <w:ind w:firstLine="301"/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 xml:space="preserve">Determine cash-inflow from financing and investing </w:t>
      </w:r>
      <w:r w:rsidRPr="009C774C">
        <w:rPr>
          <w:bCs/>
          <w:sz w:val="24"/>
          <w:szCs w:val="24"/>
          <w:lang w:val="en-US"/>
        </w:rPr>
        <w:t>activity</w:t>
      </w:r>
      <w:r w:rsidRPr="009C774C">
        <w:rPr>
          <w:sz w:val="24"/>
          <w:szCs w:val="24"/>
          <w:lang w:val="en-US"/>
        </w:rPr>
        <w:t>:</w:t>
      </w:r>
    </w:p>
    <w:p w14:paraId="764F13FE" w14:textId="77777777" w:rsidR="009C774C" w:rsidRPr="009C774C" w:rsidRDefault="009C774C" w:rsidP="009C774C">
      <w:pPr>
        <w:numPr>
          <w:ilvl w:val="0"/>
          <w:numId w:val="2"/>
        </w:numPr>
        <w:tabs>
          <w:tab w:val="num" w:pos="567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enterprise got credit 50 th.</w:t>
      </w:r>
    </w:p>
    <w:p w14:paraId="52BEDF59" w14:textId="77777777" w:rsidR="009C774C" w:rsidRPr="009C774C" w:rsidRDefault="009C774C" w:rsidP="009C774C">
      <w:pPr>
        <w:numPr>
          <w:ilvl w:val="0"/>
          <w:numId w:val="2"/>
        </w:numPr>
        <w:tabs>
          <w:tab w:val="num" w:pos="567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 xml:space="preserve">result of shares emission 100 th.., including registered capital 80 th.. and Additional paid-in capital 20 th. </w:t>
      </w:r>
    </w:p>
    <w:p w14:paraId="7F8B3EB5" w14:textId="77777777" w:rsidR="009C774C" w:rsidRPr="009C774C" w:rsidRDefault="009C774C" w:rsidP="009C774C">
      <w:pPr>
        <w:numPr>
          <w:ilvl w:val="0"/>
          <w:numId w:val="2"/>
        </w:numPr>
        <w:tabs>
          <w:tab w:val="num" w:pos="567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revenue from sales of production 350 th., including VAT .</w:t>
      </w:r>
    </w:p>
    <w:p w14:paraId="1BF19CBE" w14:textId="77777777" w:rsidR="009C774C" w:rsidRPr="009C774C" w:rsidRDefault="009C774C" w:rsidP="009C774C">
      <w:pPr>
        <w:numPr>
          <w:ilvl w:val="0"/>
          <w:numId w:val="2"/>
        </w:numPr>
        <w:tabs>
          <w:tab w:val="num" w:pos="567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enterprise received dividends — 20 th..</w:t>
      </w:r>
    </w:p>
    <w:p w14:paraId="1F16E996" w14:textId="77777777" w:rsidR="009C774C" w:rsidRPr="009C774C" w:rsidRDefault="009C774C" w:rsidP="009C774C">
      <w:pPr>
        <w:numPr>
          <w:ilvl w:val="0"/>
          <w:numId w:val="2"/>
        </w:numPr>
        <w:tabs>
          <w:tab w:val="num" w:pos="567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enterprise sold government bond — 40 th..</w:t>
      </w:r>
    </w:p>
    <w:p w14:paraId="4D0BDAAF" w14:textId="77777777" w:rsidR="009C774C" w:rsidRPr="009C774C" w:rsidRDefault="009C774C" w:rsidP="009C774C">
      <w:pPr>
        <w:tabs>
          <w:tab w:val="left" w:pos="510"/>
        </w:tabs>
        <w:rPr>
          <w:b/>
          <w:sz w:val="24"/>
          <w:szCs w:val="24"/>
          <w:lang w:val="en-US"/>
        </w:rPr>
      </w:pPr>
    </w:p>
    <w:p w14:paraId="5AD15872" w14:textId="33A2F9AC" w:rsidR="009C774C" w:rsidRPr="009C774C" w:rsidRDefault="009C774C" w:rsidP="009C774C">
      <w:pPr>
        <w:tabs>
          <w:tab w:val="left" w:pos="510"/>
        </w:tabs>
        <w:rPr>
          <w:b/>
          <w:sz w:val="24"/>
          <w:szCs w:val="24"/>
          <w:lang w:val="en-US"/>
        </w:rPr>
      </w:pPr>
      <w:r w:rsidRPr="009C774C">
        <w:rPr>
          <w:b/>
          <w:sz w:val="24"/>
          <w:szCs w:val="24"/>
          <w:lang w:val="en-US"/>
        </w:rPr>
        <w:t>7</w:t>
      </w:r>
    </w:p>
    <w:p w14:paraId="2C3AE455" w14:textId="77777777" w:rsidR="009C774C" w:rsidRPr="009C774C" w:rsidRDefault="009C774C" w:rsidP="009C774C">
      <w:pPr>
        <w:tabs>
          <w:tab w:val="left" w:pos="510"/>
        </w:tabs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 xml:space="preserve">Determine </w:t>
      </w:r>
      <w:r w:rsidRPr="009C774C">
        <w:rPr>
          <w:bCs/>
          <w:sz w:val="24"/>
          <w:szCs w:val="24"/>
          <w:lang w:val="en-US"/>
        </w:rPr>
        <w:t>Cash flow from financing activities</w:t>
      </w:r>
      <w:r w:rsidRPr="009C774C">
        <w:rPr>
          <w:sz w:val="24"/>
          <w:szCs w:val="24"/>
          <w:lang w:val="en-US"/>
        </w:rPr>
        <w:t xml:space="preserve"> For the reporting period:</w:t>
      </w:r>
    </w:p>
    <w:p w14:paraId="6A565F54" w14:textId="77777777" w:rsidR="009C774C" w:rsidRPr="009C774C" w:rsidRDefault="009C774C" w:rsidP="009C774C">
      <w:pPr>
        <w:numPr>
          <w:ilvl w:val="0"/>
          <w:numId w:val="3"/>
        </w:numPr>
        <w:tabs>
          <w:tab w:val="left" w:pos="510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The financial result before taxation — 100 th.</w:t>
      </w:r>
    </w:p>
    <w:p w14:paraId="0E93FA2D" w14:textId="77777777" w:rsidR="009C774C" w:rsidRPr="009C774C" w:rsidRDefault="009C774C" w:rsidP="009C774C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 xml:space="preserve">result of shares emission 250 th., including registered capital 200 th. </w:t>
      </w:r>
    </w:p>
    <w:p w14:paraId="5DF14FF6" w14:textId="77777777" w:rsidR="009C774C" w:rsidRPr="009C774C" w:rsidRDefault="009C774C" w:rsidP="009C774C">
      <w:pPr>
        <w:numPr>
          <w:ilvl w:val="0"/>
          <w:numId w:val="3"/>
        </w:numPr>
        <w:tabs>
          <w:tab w:val="left" w:pos="510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result of bonds emission — 50 th.</w:t>
      </w:r>
    </w:p>
    <w:p w14:paraId="0D957260" w14:textId="77777777" w:rsidR="009C774C" w:rsidRPr="009C774C" w:rsidRDefault="009C774C" w:rsidP="009C774C">
      <w:pPr>
        <w:numPr>
          <w:ilvl w:val="0"/>
          <w:numId w:val="3"/>
        </w:numPr>
        <w:tabs>
          <w:tab w:val="left" w:pos="510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enterprise defined amount of dividends 40 th.</w:t>
      </w:r>
    </w:p>
    <w:p w14:paraId="395196D4" w14:textId="77777777" w:rsidR="009C774C" w:rsidRPr="009C774C" w:rsidRDefault="009C774C" w:rsidP="009C774C">
      <w:pPr>
        <w:numPr>
          <w:ilvl w:val="0"/>
          <w:numId w:val="3"/>
        </w:numPr>
        <w:tabs>
          <w:tab w:val="left" w:pos="510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Cost of production sold— 800 th., including depreciation  — 20 th.</w:t>
      </w:r>
    </w:p>
    <w:p w14:paraId="0A142793" w14:textId="77777777" w:rsidR="009C774C" w:rsidRPr="009C774C" w:rsidRDefault="009C774C" w:rsidP="009C774C">
      <w:pPr>
        <w:tabs>
          <w:tab w:val="left" w:pos="510"/>
        </w:tabs>
        <w:rPr>
          <w:b/>
          <w:sz w:val="24"/>
          <w:szCs w:val="24"/>
          <w:lang w:val="en-US"/>
        </w:rPr>
      </w:pPr>
    </w:p>
    <w:p w14:paraId="423EDCBD" w14:textId="56BD4D8F" w:rsidR="009C774C" w:rsidRPr="009C774C" w:rsidRDefault="00455E0B" w:rsidP="009C774C">
      <w:pPr>
        <w:tabs>
          <w:tab w:val="left" w:pos="51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</w:t>
      </w:r>
    </w:p>
    <w:p w14:paraId="00A70A31" w14:textId="77777777" w:rsidR="009C774C" w:rsidRPr="009C774C" w:rsidRDefault="009C774C" w:rsidP="009C774C">
      <w:pPr>
        <w:tabs>
          <w:tab w:val="left" w:pos="510"/>
        </w:tabs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 xml:space="preserve">Determine </w:t>
      </w:r>
      <w:r w:rsidRPr="009C774C">
        <w:rPr>
          <w:bCs/>
          <w:sz w:val="24"/>
          <w:szCs w:val="24"/>
          <w:lang w:val="en-US"/>
        </w:rPr>
        <w:t>Cash flow from investing activities</w:t>
      </w:r>
      <w:r w:rsidRPr="009C774C">
        <w:rPr>
          <w:sz w:val="24"/>
          <w:szCs w:val="24"/>
          <w:lang w:val="en-US"/>
        </w:rPr>
        <w:t xml:space="preserve"> For the reporting period:</w:t>
      </w:r>
    </w:p>
    <w:p w14:paraId="233EB0E0" w14:textId="77777777" w:rsidR="009C774C" w:rsidRPr="009C774C" w:rsidRDefault="009C774C" w:rsidP="009C774C">
      <w:pPr>
        <w:numPr>
          <w:ilvl w:val="0"/>
          <w:numId w:val="4"/>
        </w:numPr>
        <w:tabs>
          <w:tab w:val="left" w:pos="510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cash inflow from sale of other company shares— 50 th.</w:t>
      </w:r>
    </w:p>
    <w:p w14:paraId="37144842" w14:textId="77777777" w:rsidR="009C774C" w:rsidRPr="009C774C" w:rsidRDefault="009C774C" w:rsidP="009C774C">
      <w:pPr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result of shares emission 250 th., including registered capital 200 th.</w:t>
      </w:r>
    </w:p>
    <w:p w14:paraId="2024EAE0" w14:textId="77777777" w:rsidR="009C774C" w:rsidRPr="009C774C" w:rsidRDefault="009C774C" w:rsidP="009C774C">
      <w:pPr>
        <w:numPr>
          <w:ilvl w:val="0"/>
          <w:numId w:val="4"/>
        </w:numPr>
        <w:tabs>
          <w:tab w:val="left" w:pos="510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result of bonds emission — 60 th.</w:t>
      </w:r>
    </w:p>
    <w:p w14:paraId="43535BE8" w14:textId="77777777" w:rsidR="009C774C" w:rsidRPr="009C774C" w:rsidRDefault="009C774C" w:rsidP="009C774C">
      <w:pPr>
        <w:numPr>
          <w:ilvl w:val="0"/>
          <w:numId w:val="4"/>
        </w:numPr>
        <w:tabs>
          <w:tab w:val="left" w:pos="510"/>
        </w:tabs>
        <w:jc w:val="both"/>
        <w:rPr>
          <w:spacing w:val="4"/>
          <w:sz w:val="24"/>
          <w:szCs w:val="24"/>
          <w:lang w:val="en-US"/>
        </w:rPr>
      </w:pPr>
      <w:r w:rsidRPr="009C774C">
        <w:rPr>
          <w:spacing w:val="4"/>
          <w:sz w:val="24"/>
          <w:szCs w:val="24"/>
          <w:lang w:val="en-US"/>
        </w:rPr>
        <w:t>paid dividends 40 </w:t>
      </w:r>
      <w:r w:rsidRPr="009C774C">
        <w:rPr>
          <w:sz w:val="24"/>
          <w:szCs w:val="24"/>
          <w:lang w:val="en-US"/>
        </w:rPr>
        <w:t>th.</w:t>
      </w:r>
    </w:p>
    <w:p w14:paraId="6FF9A686" w14:textId="77777777" w:rsidR="009C774C" w:rsidRPr="009C774C" w:rsidRDefault="009C774C" w:rsidP="009C774C">
      <w:pPr>
        <w:numPr>
          <w:ilvl w:val="0"/>
          <w:numId w:val="4"/>
        </w:numPr>
        <w:tabs>
          <w:tab w:val="left" w:pos="510"/>
        </w:tabs>
        <w:jc w:val="both"/>
        <w:rPr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Cost of production sold— 800 th., including depreciation  — 20 th.</w:t>
      </w:r>
    </w:p>
    <w:p w14:paraId="57765B50" w14:textId="77777777" w:rsidR="009C774C" w:rsidRPr="009C774C" w:rsidRDefault="009C774C" w:rsidP="009C774C">
      <w:pPr>
        <w:numPr>
          <w:ilvl w:val="0"/>
          <w:numId w:val="4"/>
        </w:numPr>
        <w:tabs>
          <w:tab w:val="left" w:pos="510"/>
        </w:tabs>
        <w:jc w:val="both"/>
        <w:rPr>
          <w:spacing w:val="-2"/>
          <w:sz w:val="24"/>
          <w:szCs w:val="24"/>
          <w:lang w:val="en-US"/>
        </w:rPr>
      </w:pPr>
      <w:r w:rsidRPr="009C774C">
        <w:rPr>
          <w:sz w:val="24"/>
          <w:szCs w:val="24"/>
          <w:lang w:val="en-US"/>
        </w:rPr>
        <w:t>cash outflow for tangible assets purchase</w:t>
      </w:r>
      <w:r w:rsidRPr="009C774C">
        <w:rPr>
          <w:spacing w:val="-2"/>
          <w:sz w:val="24"/>
          <w:szCs w:val="24"/>
          <w:lang w:val="en-US"/>
        </w:rPr>
        <w:t xml:space="preserve"> — 70 </w:t>
      </w:r>
      <w:r w:rsidRPr="009C774C">
        <w:rPr>
          <w:sz w:val="24"/>
          <w:szCs w:val="24"/>
          <w:lang w:val="en-US"/>
        </w:rPr>
        <w:t>th.</w:t>
      </w:r>
    </w:p>
    <w:p w14:paraId="3E5D83AC" w14:textId="77777777" w:rsidR="00E02D14" w:rsidRPr="009C774C" w:rsidRDefault="00E02D14" w:rsidP="009C774C">
      <w:pPr>
        <w:rPr>
          <w:sz w:val="24"/>
          <w:szCs w:val="24"/>
          <w:lang w:val="en-US"/>
        </w:rPr>
      </w:pPr>
    </w:p>
    <w:sectPr w:rsidR="00E02D14" w:rsidRPr="009C7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DBB"/>
    <w:multiLevelType w:val="hybridMultilevel"/>
    <w:tmpl w:val="9086FE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FF32D5"/>
    <w:multiLevelType w:val="singleLevel"/>
    <w:tmpl w:val="ECF04A8E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sz w:val="23"/>
      </w:rPr>
    </w:lvl>
  </w:abstractNum>
  <w:abstractNum w:abstractNumId="2" w15:restartNumberingAfterBreak="0">
    <w:nsid w:val="534C4449"/>
    <w:multiLevelType w:val="singleLevel"/>
    <w:tmpl w:val="FBB03A14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1"/>
        <w:u w:val="none"/>
        <w:effect w:val="none"/>
        <w:vertAlign w:val="baseline"/>
        <w:specVanish w:val="0"/>
      </w:rPr>
    </w:lvl>
  </w:abstractNum>
  <w:abstractNum w:abstractNumId="3" w15:restartNumberingAfterBreak="0">
    <w:nsid w:val="78BA5A14"/>
    <w:multiLevelType w:val="singleLevel"/>
    <w:tmpl w:val="FBB03A14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1"/>
        <w:u w:val="none"/>
        <w:effect w:val="none"/>
        <w:vertAlign w:val="baseline"/>
        <w:specVanish w:val="0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C"/>
    <w:rsid w:val="00455E0B"/>
    <w:rsid w:val="009C774C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B407"/>
  <w15:chartTrackingRefBased/>
  <w15:docId w15:val="{FEA78F2C-8F61-46DF-8E89-CE3011F3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7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9C774C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9C774C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3</cp:revision>
  <dcterms:created xsi:type="dcterms:W3CDTF">2024-01-03T10:46:00Z</dcterms:created>
  <dcterms:modified xsi:type="dcterms:W3CDTF">2024-01-03T10:48:00Z</dcterms:modified>
</cp:coreProperties>
</file>