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05" w:rsidRPr="00382430" w:rsidRDefault="00226741" w:rsidP="00411A05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82430">
        <w:rPr>
          <w:rFonts w:ascii="Times New Roman" w:hAnsi="Times New Roman" w:cs="Times New Roman"/>
          <w:b/>
          <w:sz w:val="24"/>
          <w:u w:val="single"/>
        </w:rPr>
        <w:t>Exam Test of Managerial Accounting</w:t>
      </w:r>
    </w:p>
    <w:p w:rsidR="00411A05" w:rsidRPr="00382430" w:rsidRDefault="00411A05" w:rsidP="00411A05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11A05" w:rsidRPr="00382430" w:rsidRDefault="00226741" w:rsidP="00411A05">
      <w:pPr>
        <w:tabs>
          <w:tab w:val="left" w:pos="1740"/>
        </w:tabs>
        <w:rPr>
          <w:rFonts w:ascii="Times New Roman" w:hAnsi="Times New Roman" w:cs="Times New Roman"/>
          <w:b/>
          <w:sz w:val="24"/>
        </w:rPr>
      </w:pPr>
      <w:r w:rsidRPr="00382430">
        <w:rPr>
          <w:rFonts w:ascii="Times New Roman" w:hAnsi="Times New Roman" w:cs="Times New Roman"/>
          <w:b/>
          <w:sz w:val="24"/>
        </w:rPr>
        <w:t xml:space="preserve">Name </w:t>
      </w:r>
      <w:r w:rsidR="00382430">
        <w:rPr>
          <w:rFonts w:ascii="Times New Roman" w:hAnsi="Times New Roman" w:cs="Times New Roman"/>
          <w:b/>
          <w:sz w:val="24"/>
        </w:rPr>
        <w:t>and Surname</w:t>
      </w:r>
      <w:proofErr w:type="gramStart"/>
      <w:r w:rsidR="00382430">
        <w:rPr>
          <w:rFonts w:ascii="Times New Roman" w:hAnsi="Times New Roman" w:cs="Times New Roman"/>
          <w:b/>
          <w:sz w:val="24"/>
        </w:rPr>
        <w:t>:………………………</w:t>
      </w:r>
      <w:proofErr w:type="gramEnd"/>
      <w:r w:rsidR="00382430">
        <w:rPr>
          <w:rFonts w:ascii="Times New Roman" w:hAnsi="Times New Roman" w:cs="Times New Roman"/>
          <w:b/>
          <w:sz w:val="24"/>
        </w:rPr>
        <w:tab/>
        <w:t>ID number</w:t>
      </w:r>
      <w:proofErr w:type="gramStart"/>
      <w:r w:rsidR="00411A05" w:rsidRPr="00382430">
        <w:rPr>
          <w:rFonts w:ascii="Times New Roman" w:hAnsi="Times New Roman" w:cs="Times New Roman"/>
          <w:b/>
          <w:sz w:val="24"/>
        </w:rPr>
        <w:t>:…………………..</w:t>
      </w:r>
      <w:proofErr w:type="gramEnd"/>
    </w:p>
    <w:p w:rsidR="00DF5556" w:rsidRPr="00382430" w:rsidRDefault="00226741" w:rsidP="000C1C2E">
      <w:pPr>
        <w:rPr>
          <w:rFonts w:ascii="Times New Roman" w:hAnsi="Times New Roman" w:cs="Times New Roman"/>
          <w:szCs w:val="24"/>
        </w:rPr>
      </w:pPr>
      <w:r w:rsidRPr="00382430">
        <w:rPr>
          <w:rFonts w:ascii="Times New Roman" w:hAnsi="Times New Roman" w:cs="Times New Roman"/>
          <w:szCs w:val="24"/>
        </w:rPr>
        <w:t xml:space="preserve">Select the correct answer </w:t>
      </w:r>
      <w:r w:rsidR="00DF5556" w:rsidRPr="00382430">
        <w:rPr>
          <w:rFonts w:ascii="Times New Roman" w:hAnsi="Times New Roman" w:cs="Times New Roman"/>
          <w:szCs w:val="24"/>
        </w:rPr>
        <w:t xml:space="preserve">(5 x </w:t>
      </w:r>
      <w:r w:rsidR="00B124B2" w:rsidRPr="00382430">
        <w:rPr>
          <w:rFonts w:ascii="Times New Roman" w:hAnsi="Times New Roman" w:cs="Times New Roman"/>
          <w:szCs w:val="24"/>
        </w:rPr>
        <w:t>2</w:t>
      </w:r>
      <w:r w:rsidR="00DF5556" w:rsidRPr="00382430">
        <w:rPr>
          <w:rFonts w:ascii="Times New Roman" w:hAnsi="Times New Roman" w:cs="Times New Roman"/>
          <w:szCs w:val="24"/>
        </w:rPr>
        <w:t xml:space="preserve"> </w:t>
      </w:r>
      <w:r w:rsidRPr="00382430">
        <w:rPr>
          <w:rFonts w:ascii="Times New Roman" w:hAnsi="Times New Roman" w:cs="Times New Roman"/>
          <w:szCs w:val="24"/>
        </w:rPr>
        <w:t>point</w:t>
      </w:r>
      <w:r w:rsidR="00DF5556" w:rsidRPr="00382430">
        <w:rPr>
          <w:rFonts w:ascii="Times New Roman" w:hAnsi="Times New Roman" w:cs="Times New Roman"/>
          <w:szCs w:val="24"/>
        </w:rPr>
        <w:t>)</w:t>
      </w:r>
    </w:p>
    <w:p w:rsidR="00E97F57" w:rsidRPr="00382430" w:rsidRDefault="00E97F57" w:rsidP="00E97F57">
      <w:pPr>
        <w:pStyle w:val="Odstavecseseznamem"/>
        <w:numPr>
          <w:ilvl w:val="0"/>
          <w:numId w:val="14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Management accounting shall be governed by:</w:t>
      </w:r>
    </w:p>
    <w:p w:rsidR="00E97F57" w:rsidRPr="00382430" w:rsidRDefault="00E97F57" w:rsidP="00E97F57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a) </w:t>
      </w:r>
      <w:proofErr w:type="gramStart"/>
      <w:r w:rsidRPr="00382430">
        <w:rPr>
          <w:rFonts w:cs="Times New Roman"/>
          <w:szCs w:val="24"/>
          <w:lang w:val="en-GB"/>
        </w:rPr>
        <w:t>no</w:t>
      </w:r>
      <w:proofErr w:type="gramEnd"/>
      <w:r w:rsidRPr="00382430">
        <w:rPr>
          <w:rFonts w:cs="Times New Roman"/>
          <w:szCs w:val="24"/>
          <w:lang w:val="en-GB"/>
        </w:rPr>
        <w:t xml:space="preserve"> law</w:t>
      </w:r>
    </w:p>
    <w:p w:rsidR="00E97F57" w:rsidRPr="00382430" w:rsidRDefault="00E97F57" w:rsidP="00E97F57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b) </w:t>
      </w:r>
      <w:proofErr w:type="gramStart"/>
      <w:r w:rsidRPr="00382430">
        <w:rPr>
          <w:rFonts w:cs="Times New Roman"/>
          <w:szCs w:val="24"/>
          <w:lang w:val="en-GB"/>
        </w:rPr>
        <w:t>the</w:t>
      </w:r>
      <w:proofErr w:type="gramEnd"/>
      <w:r w:rsidRPr="00382430">
        <w:rPr>
          <w:rFonts w:cs="Times New Roman"/>
          <w:szCs w:val="24"/>
          <w:lang w:val="en-GB"/>
        </w:rPr>
        <w:t xml:space="preserve"> Act on Accounting</w:t>
      </w:r>
    </w:p>
    <w:p w:rsidR="00E97F57" w:rsidRPr="00382430" w:rsidRDefault="00E97F57" w:rsidP="00E97F57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c) </w:t>
      </w:r>
      <w:proofErr w:type="gramStart"/>
      <w:r w:rsidRPr="00382430">
        <w:rPr>
          <w:rFonts w:cs="Times New Roman"/>
          <w:szCs w:val="24"/>
          <w:lang w:val="en-GB"/>
        </w:rPr>
        <w:t>the</w:t>
      </w:r>
      <w:proofErr w:type="gramEnd"/>
      <w:r w:rsidRPr="00382430">
        <w:rPr>
          <w:rFonts w:cs="Times New Roman"/>
          <w:szCs w:val="24"/>
          <w:lang w:val="en-GB"/>
        </w:rPr>
        <w:t xml:space="preserve"> Income Tax Act</w:t>
      </w:r>
    </w:p>
    <w:p w:rsidR="000C1C2E" w:rsidRPr="00382430" w:rsidRDefault="000C1C2E" w:rsidP="000A78E3">
      <w:pPr>
        <w:pStyle w:val="Odstavecseseznamem"/>
        <w:ind w:left="1080"/>
        <w:rPr>
          <w:rFonts w:cs="Times New Roman"/>
          <w:color w:val="FF0000"/>
          <w:szCs w:val="24"/>
          <w:lang w:val="en-GB"/>
        </w:rPr>
      </w:pPr>
    </w:p>
    <w:p w:rsidR="00E97F57" w:rsidRPr="00382430" w:rsidRDefault="00E97F57" w:rsidP="00E97F57">
      <w:pPr>
        <w:pStyle w:val="Odstavecseseznamem"/>
        <w:numPr>
          <w:ilvl w:val="0"/>
          <w:numId w:val="14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The economic concept of costs works with:</w:t>
      </w:r>
    </w:p>
    <w:p w:rsidR="00E97F57" w:rsidRPr="00382430" w:rsidRDefault="00E97F57" w:rsidP="00E97F57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(a) </w:t>
      </w:r>
      <w:proofErr w:type="gramStart"/>
      <w:r w:rsidRPr="00382430">
        <w:rPr>
          <w:rFonts w:cs="Times New Roman"/>
          <w:szCs w:val="24"/>
          <w:lang w:val="en-GB"/>
        </w:rPr>
        <w:t>opportunistic</w:t>
      </w:r>
      <w:proofErr w:type="gramEnd"/>
      <w:r w:rsidRPr="00382430">
        <w:rPr>
          <w:rFonts w:cs="Times New Roman"/>
          <w:szCs w:val="24"/>
          <w:lang w:val="en-GB"/>
        </w:rPr>
        <w:t xml:space="preserve"> costs</w:t>
      </w:r>
    </w:p>
    <w:p w:rsidR="00E97F57" w:rsidRPr="00382430" w:rsidRDefault="00E97F57" w:rsidP="00E97F57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(b) </w:t>
      </w:r>
      <w:proofErr w:type="gramStart"/>
      <w:r w:rsidRPr="00382430">
        <w:rPr>
          <w:rFonts w:cs="Times New Roman"/>
          <w:szCs w:val="24"/>
          <w:lang w:val="en-GB"/>
        </w:rPr>
        <w:t>fixed</w:t>
      </w:r>
      <w:proofErr w:type="gramEnd"/>
      <w:r w:rsidRPr="00382430">
        <w:rPr>
          <w:rFonts w:cs="Times New Roman"/>
          <w:szCs w:val="24"/>
          <w:lang w:val="en-GB"/>
        </w:rPr>
        <w:t xml:space="preserve"> costs</w:t>
      </w:r>
    </w:p>
    <w:p w:rsidR="0064734B" w:rsidRPr="00382430" w:rsidRDefault="0064734B" w:rsidP="0064734B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(c) </w:t>
      </w:r>
      <w:proofErr w:type="gramStart"/>
      <w:r w:rsidRPr="00382430">
        <w:rPr>
          <w:rFonts w:cs="Times New Roman"/>
          <w:szCs w:val="24"/>
          <w:lang w:val="en-GB"/>
        </w:rPr>
        <w:t>variable</w:t>
      </w:r>
      <w:proofErr w:type="gramEnd"/>
      <w:r w:rsidRPr="00382430">
        <w:rPr>
          <w:rFonts w:cs="Times New Roman"/>
          <w:szCs w:val="24"/>
          <w:lang w:val="en-GB"/>
        </w:rPr>
        <w:t xml:space="preserve"> costs</w:t>
      </w:r>
    </w:p>
    <w:p w:rsidR="0064734B" w:rsidRPr="00382430" w:rsidRDefault="0064734B" w:rsidP="0064734B">
      <w:pPr>
        <w:pStyle w:val="Odstavecseseznamem"/>
        <w:rPr>
          <w:rFonts w:cs="Times New Roman"/>
          <w:szCs w:val="24"/>
          <w:lang w:val="en-GB"/>
        </w:rPr>
      </w:pPr>
    </w:p>
    <w:p w:rsidR="000D5F44" w:rsidRPr="00382430" w:rsidRDefault="0064734B" w:rsidP="0064734B">
      <w:pPr>
        <w:pStyle w:val="Odstavecseseznamem"/>
        <w:numPr>
          <w:ilvl w:val="0"/>
          <w:numId w:val="14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Cost classifications for assigning costs to cost objects include </w:t>
      </w:r>
    </w:p>
    <w:p w:rsidR="000D5F44" w:rsidRPr="00382430" w:rsidRDefault="0064734B" w:rsidP="000D5F44">
      <w:pPr>
        <w:pStyle w:val="Odstavecseseznamem"/>
        <w:numPr>
          <w:ilvl w:val="0"/>
          <w:numId w:val="25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manufacturing costs and nonmanufacturing costs</w:t>
      </w:r>
    </w:p>
    <w:p w:rsidR="00951114" w:rsidRPr="00382430" w:rsidRDefault="0064734B" w:rsidP="000D5F44">
      <w:pPr>
        <w:pStyle w:val="Odstavecseseznamem"/>
        <w:numPr>
          <w:ilvl w:val="0"/>
          <w:numId w:val="25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direct costs and indirect costs</w:t>
      </w:r>
    </w:p>
    <w:p w:rsidR="0064734B" w:rsidRPr="00382430" w:rsidRDefault="0064734B" w:rsidP="000D5F44">
      <w:pPr>
        <w:pStyle w:val="Odstavecseseznamem"/>
        <w:numPr>
          <w:ilvl w:val="0"/>
          <w:numId w:val="25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operating costs and financial costs</w:t>
      </w:r>
    </w:p>
    <w:p w:rsidR="000D5F44" w:rsidRPr="00382430" w:rsidRDefault="000D5F44" w:rsidP="000D5F44">
      <w:pPr>
        <w:pStyle w:val="Odstavecseseznamem"/>
        <w:ind w:left="1080"/>
        <w:rPr>
          <w:rFonts w:cs="Times New Roman"/>
          <w:color w:val="FF0000"/>
          <w:szCs w:val="24"/>
          <w:lang w:val="en-GB"/>
        </w:rPr>
      </w:pPr>
    </w:p>
    <w:p w:rsidR="00F3593C" w:rsidRPr="00382430" w:rsidRDefault="00F3593C" w:rsidP="00F3593C">
      <w:pPr>
        <w:pStyle w:val="Odstavecseseznamem"/>
        <w:numPr>
          <w:ilvl w:val="0"/>
          <w:numId w:val="14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The price at which business performance between internal </w:t>
      </w:r>
      <w:proofErr w:type="spellStart"/>
      <w:r w:rsidRPr="00382430">
        <w:rPr>
          <w:rFonts w:cs="Times New Roman"/>
          <w:szCs w:val="24"/>
          <w:lang w:val="en-GB"/>
        </w:rPr>
        <w:t>centers</w:t>
      </w:r>
      <w:proofErr w:type="spellEnd"/>
      <w:r w:rsidRPr="00382430">
        <w:rPr>
          <w:rFonts w:cs="Times New Roman"/>
          <w:szCs w:val="24"/>
          <w:lang w:val="en-GB"/>
        </w:rPr>
        <w:t xml:space="preserve"> is valued in the production process is called:</w:t>
      </w:r>
    </w:p>
    <w:p w:rsidR="00F3593C" w:rsidRPr="00382430" w:rsidRDefault="00F3593C" w:rsidP="00F3593C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(a) </w:t>
      </w:r>
      <w:proofErr w:type="gramStart"/>
      <w:r w:rsidRPr="00382430">
        <w:rPr>
          <w:rFonts w:cs="Times New Roman"/>
          <w:szCs w:val="24"/>
          <w:lang w:val="en-GB"/>
        </w:rPr>
        <w:t>transfer</w:t>
      </w:r>
      <w:proofErr w:type="gramEnd"/>
      <w:r w:rsidRPr="00382430">
        <w:rPr>
          <w:rFonts w:cs="Times New Roman"/>
          <w:szCs w:val="24"/>
          <w:lang w:val="en-GB"/>
        </w:rPr>
        <w:t xml:space="preserve"> price (internal price)</w:t>
      </w:r>
    </w:p>
    <w:p w:rsidR="00F3593C" w:rsidRPr="00382430" w:rsidRDefault="00F3593C" w:rsidP="00F3593C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(b) </w:t>
      </w:r>
      <w:proofErr w:type="gramStart"/>
      <w:r w:rsidRPr="00382430">
        <w:rPr>
          <w:rFonts w:cs="Times New Roman"/>
          <w:szCs w:val="24"/>
          <w:lang w:val="en-GB"/>
        </w:rPr>
        <w:t>the</w:t>
      </w:r>
      <w:proofErr w:type="gramEnd"/>
      <w:r w:rsidRPr="00382430">
        <w:rPr>
          <w:rFonts w:cs="Times New Roman"/>
          <w:szCs w:val="24"/>
          <w:lang w:val="en-GB"/>
        </w:rPr>
        <w:t xml:space="preserve"> selling price</w:t>
      </w:r>
    </w:p>
    <w:p w:rsidR="00C428BF" w:rsidRPr="00382430" w:rsidRDefault="00F3593C" w:rsidP="00F3593C">
      <w:pPr>
        <w:pStyle w:val="Odstavecseseznamem"/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(c) </w:t>
      </w:r>
      <w:proofErr w:type="gramStart"/>
      <w:r w:rsidRPr="00382430">
        <w:rPr>
          <w:rFonts w:cs="Times New Roman"/>
          <w:szCs w:val="24"/>
          <w:lang w:val="en-GB"/>
        </w:rPr>
        <w:t>market</w:t>
      </w:r>
      <w:proofErr w:type="gramEnd"/>
      <w:r w:rsidRPr="00382430">
        <w:rPr>
          <w:rFonts w:cs="Times New Roman"/>
          <w:szCs w:val="24"/>
          <w:lang w:val="en-GB"/>
        </w:rPr>
        <w:t xml:space="preserve"> price</w:t>
      </w:r>
    </w:p>
    <w:p w:rsidR="00951114" w:rsidRPr="00382430" w:rsidRDefault="00951114" w:rsidP="007A1631">
      <w:pPr>
        <w:pStyle w:val="Odstavecseseznamem"/>
        <w:ind w:left="1080"/>
        <w:rPr>
          <w:rFonts w:cs="Times New Roman"/>
          <w:szCs w:val="24"/>
          <w:lang w:val="en-GB"/>
        </w:rPr>
      </w:pPr>
    </w:p>
    <w:p w:rsidR="007A1631" w:rsidRPr="00382430" w:rsidRDefault="00D9250E" w:rsidP="00D9250E">
      <w:pPr>
        <w:pStyle w:val="Odstavecseseznamem"/>
        <w:numPr>
          <w:ilvl w:val="0"/>
          <w:numId w:val="14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Profit is not </w:t>
      </w:r>
      <w:r w:rsidR="001627FB" w:rsidRPr="00382430">
        <w:rPr>
          <w:rFonts w:cs="Times New Roman"/>
          <w:szCs w:val="24"/>
          <w:lang w:val="en-GB"/>
        </w:rPr>
        <w:t>affected</w:t>
      </w:r>
      <w:r w:rsidRPr="00382430">
        <w:rPr>
          <w:rFonts w:cs="Times New Roman"/>
          <w:szCs w:val="24"/>
          <w:lang w:val="en-GB"/>
        </w:rPr>
        <w:t xml:space="preserve"> by</w:t>
      </w:r>
      <w:r w:rsidR="007A1631" w:rsidRPr="00382430">
        <w:rPr>
          <w:rFonts w:cs="Times New Roman"/>
          <w:szCs w:val="24"/>
          <w:lang w:val="en-GB"/>
        </w:rPr>
        <w:t>:</w:t>
      </w:r>
    </w:p>
    <w:p w:rsidR="007A1631" w:rsidRPr="00382430" w:rsidRDefault="00D9250E" w:rsidP="007A1631">
      <w:pPr>
        <w:pStyle w:val="Odstavecseseznamem"/>
        <w:numPr>
          <w:ilvl w:val="0"/>
          <w:numId w:val="27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revenues</w:t>
      </w:r>
      <w:r w:rsidR="007A1631" w:rsidRPr="00382430">
        <w:rPr>
          <w:rFonts w:cs="Times New Roman"/>
          <w:szCs w:val="24"/>
          <w:lang w:val="en-GB"/>
        </w:rPr>
        <w:t xml:space="preserve"> </w:t>
      </w:r>
    </w:p>
    <w:p w:rsidR="007A1631" w:rsidRPr="00382430" w:rsidRDefault="00D9250E" w:rsidP="007A1631">
      <w:pPr>
        <w:pStyle w:val="Odstavecseseznamem"/>
        <w:numPr>
          <w:ilvl w:val="0"/>
          <w:numId w:val="27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expenses</w:t>
      </w:r>
      <w:r w:rsidR="007A1631" w:rsidRPr="00382430">
        <w:rPr>
          <w:rFonts w:cs="Times New Roman"/>
          <w:szCs w:val="24"/>
          <w:lang w:val="en-GB"/>
        </w:rPr>
        <w:t xml:space="preserve"> </w:t>
      </w:r>
    </w:p>
    <w:p w:rsidR="00951114" w:rsidRPr="00382430" w:rsidRDefault="00D9250E" w:rsidP="007A1631">
      <w:pPr>
        <w:pStyle w:val="Odstavecseseznamem"/>
        <w:numPr>
          <w:ilvl w:val="0"/>
          <w:numId w:val="27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income</w:t>
      </w:r>
    </w:p>
    <w:p w:rsidR="000C1C2E" w:rsidRPr="00382430" w:rsidRDefault="000C1C2E" w:rsidP="007A1631">
      <w:pPr>
        <w:pStyle w:val="Odstavecseseznamem"/>
        <w:ind w:left="1080"/>
        <w:rPr>
          <w:rFonts w:cs="Times New Roman"/>
          <w:color w:val="FF0000"/>
          <w:szCs w:val="24"/>
          <w:lang w:val="en-GB"/>
        </w:rPr>
      </w:pPr>
    </w:p>
    <w:p w:rsidR="00A84D95" w:rsidRPr="00382430" w:rsidRDefault="00226741" w:rsidP="000C1C2E">
      <w:pPr>
        <w:rPr>
          <w:rFonts w:ascii="Times New Roman" w:hAnsi="Times New Roman" w:cs="Times New Roman"/>
          <w:sz w:val="24"/>
          <w:szCs w:val="24"/>
        </w:rPr>
      </w:pPr>
      <w:r w:rsidRPr="00382430">
        <w:rPr>
          <w:rFonts w:ascii="Times New Roman" w:hAnsi="Times New Roman" w:cs="Times New Roman"/>
          <w:sz w:val="24"/>
          <w:szCs w:val="24"/>
        </w:rPr>
        <w:t xml:space="preserve">Fill in the correct answer </w:t>
      </w:r>
      <w:r w:rsidR="00A84D95" w:rsidRPr="00382430">
        <w:rPr>
          <w:rFonts w:ascii="Times New Roman" w:hAnsi="Times New Roman" w:cs="Times New Roman"/>
          <w:sz w:val="24"/>
          <w:szCs w:val="24"/>
        </w:rPr>
        <w:t xml:space="preserve">(5 x 2 </w:t>
      </w:r>
      <w:r w:rsidRPr="00382430">
        <w:rPr>
          <w:rFonts w:ascii="Times New Roman" w:hAnsi="Times New Roman" w:cs="Times New Roman"/>
          <w:sz w:val="24"/>
          <w:szCs w:val="24"/>
        </w:rPr>
        <w:t>points)</w:t>
      </w:r>
    </w:p>
    <w:p w:rsidR="00E70F87" w:rsidRPr="00382430" w:rsidRDefault="00F3593C" w:rsidP="00F3593C">
      <w:pPr>
        <w:pStyle w:val="Odstavecseseznamem"/>
        <w:numPr>
          <w:ilvl w:val="0"/>
          <w:numId w:val="21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Among the external users of accounting information we can include, for example 1</w:t>
      </w:r>
      <w:proofErr w:type="gramStart"/>
      <w:r w:rsidR="003A4E17" w:rsidRPr="00382430">
        <w:rPr>
          <w:rFonts w:cs="Times New Roman"/>
          <w:szCs w:val="24"/>
          <w:lang w:val="en-GB"/>
        </w:rPr>
        <w:t>…………</w:t>
      </w:r>
      <w:r w:rsidRPr="00382430">
        <w:rPr>
          <w:rFonts w:cs="Times New Roman"/>
          <w:szCs w:val="24"/>
          <w:lang w:val="en-GB"/>
        </w:rPr>
        <w:t>.</w:t>
      </w:r>
      <w:r w:rsidR="003A4E17" w:rsidRPr="00382430">
        <w:rPr>
          <w:rFonts w:cs="Times New Roman"/>
          <w:szCs w:val="24"/>
          <w:lang w:val="en-GB"/>
        </w:rPr>
        <w:t>…</w:t>
      </w:r>
      <w:r w:rsidRPr="00382430">
        <w:rPr>
          <w:rFonts w:cs="Times New Roman"/>
          <w:szCs w:val="24"/>
          <w:lang w:val="en-GB"/>
        </w:rPr>
        <w:t>……..</w:t>
      </w:r>
      <w:r w:rsidR="003A4E17" w:rsidRPr="00382430">
        <w:rPr>
          <w:rFonts w:cs="Times New Roman"/>
          <w:szCs w:val="24"/>
          <w:lang w:val="en-GB"/>
        </w:rPr>
        <w:t>………,</w:t>
      </w:r>
      <w:proofErr w:type="gramEnd"/>
      <w:r w:rsidR="003A4E17" w:rsidRPr="00382430">
        <w:rPr>
          <w:rFonts w:cs="Times New Roman"/>
          <w:szCs w:val="24"/>
          <w:lang w:val="en-GB"/>
        </w:rPr>
        <w:t xml:space="preserve"> </w:t>
      </w:r>
      <w:r w:rsidRPr="00382430">
        <w:rPr>
          <w:rFonts w:cs="Times New Roman"/>
          <w:szCs w:val="24"/>
          <w:lang w:val="en-GB"/>
        </w:rPr>
        <w:t>2</w:t>
      </w:r>
      <w:r w:rsidR="003A4E17" w:rsidRPr="00382430">
        <w:rPr>
          <w:rFonts w:cs="Times New Roman"/>
          <w:szCs w:val="24"/>
          <w:lang w:val="en-GB"/>
        </w:rPr>
        <w:t>………</w:t>
      </w:r>
      <w:r w:rsidRPr="00382430">
        <w:rPr>
          <w:rFonts w:cs="Times New Roman"/>
          <w:szCs w:val="24"/>
          <w:lang w:val="en-GB"/>
        </w:rPr>
        <w:t>….…..</w:t>
      </w:r>
      <w:r w:rsidR="003A4E17" w:rsidRPr="00382430">
        <w:rPr>
          <w:rFonts w:cs="Times New Roman"/>
          <w:szCs w:val="24"/>
          <w:lang w:val="en-GB"/>
        </w:rPr>
        <w:t xml:space="preserve">………….. </w:t>
      </w:r>
      <w:proofErr w:type="gramStart"/>
      <w:r w:rsidR="003A4E17" w:rsidRPr="00382430">
        <w:rPr>
          <w:rFonts w:cs="Times New Roman"/>
          <w:szCs w:val="24"/>
          <w:lang w:val="en-GB"/>
        </w:rPr>
        <w:t>a</w:t>
      </w:r>
      <w:r w:rsidR="000D7A3E" w:rsidRPr="00382430">
        <w:rPr>
          <w:rFonts w:cs="Times New Roman"/>
          <w:szCs w:val="24"/>
          <w:lang w:val="en-GB"/>
        </w:rPr>
        <w:t>nd</w:t>
      </w:r>
      <w:proofErr w:type="gramEnd"/>
      <w:r w:rsidR="003A4E17" w:rsidRPr="00382430">
        <w:rPr>
          <w:rFonts w:cs="Times New Roman"/>
          <w:szCs w:val="24"/>
          <w:lang w:val="en-GB"/>
        </w:rPr>
        <w:t xml:space="preserve"> </w:t>
      </w:r>
      <w:r w:rsidRPr="00382430">
        <w:rPr>
          <w:rFonts w:cs="Times New Roman"/>
          <w:szCs w:val="24"/>
          <w:lang w:val="en-GB"/>
        </w:rPr>
        <w:t>3…………..</w:t>
      </w:r>
      <w:r w:rsidR="000D7A3E" w:rsidRPr="00382430">
        <w:rPr>
          <w:rFonts w:cs="Times New Roman"/>
          <w:szCs w:val="24"/>
          <w:lang w:val="en-GB"/>
        </w:rPr>
        <w:t>……………</w:t>
      </w:r>
    </w:p>
    <w:p w:rsidR="00293C58" w:rsidRPr="00382430" w:rsidRDefault="00293C58" w:rsidP="00293C58">
      <w:pPr>
        <w:pStyle w:val="Odstavecseseznamem"/>
        <w:rPr>
          <w:rFonts w:cs="Times New Roman"/>
          <w:szCs w:val="24"/>
          <w:lang w:val="en-GB"/>
        </w:rPr>
      </w:pPr>
    </w:p>
    <w:p w:rsidR="00E70F87" w:rsidRPr="00382430" w:rsidRDefault="00511638" w:rsidP="00511638">
      <w:pPr>
        <w:pStyle w:val="Odstavecseseznamem"/>
        <w:numPr>
          <w:ilvl w:val="0"/>
          <w:numId w:val="21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The company is at a break-even point. The cost is CZK 40,000. What is the amount of income and profit?</w:t>
      </w:r>
    </w:p>
    <w:p w:rsidR="00511638" w:rsidRPr="00382430" w:rsidRDefault="00511638" w:rsidP="00511638">
      <w:pPr>
        <w:rPr>
          <w:rFonts w:cs="Times New Roman"/>
          <w:szCs w:val="24"/>
        </w:rPr>
      </w:pPr>
    </w:p>
    <w:p w:rsidR="001D2FC5" w:rsidRPr="00382430" w:rsidRDefault="001D2FC5" w:rsidP="001D2FC5">
      <w:pPr>
        <w:pStyle w:val="Odstavecseseznamem"/>
        <w:numPr>
          <w:ilvl w:val="0"/>
          <w:numId w:val="21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……………………………………………………is a detailed plan for the future that is usually expressed in formal quantitative terms.</w:t>
      </w:r>
    </w:p>
    <w:p w:rsidR="00E70F87" w:rsidRPr="00382430" w:rsidRDefault="00E70F87" w:rsidP="00E70F87">
      <w:pPr>
        <w:pStyle w:val="Odstavecseseznamem"/>
        <w:rPr>
          <w:rFonts w:cs="Times New Roman"/>
          <w:szCs w:val="24"/>
          <w:lang w:val="en-GB"/>
        </w:rPr>
      </w:pPr>
    </w:p>
    <w:p w:rsidR="00E70F87" w:rsidRPr="00382430" w:rsidRDefault="00F3593C" w:rsidP="00675E19">
      <w:pPr>
        <w:pStyle w:val="Odstavecseseznamem"/>
        <w:numPr>
          <w:ilvl w:val="0"/>
          <w:numId w:val="21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 xml:space="preserve">Three pillars of managerial accounting are: </w:t>
      </w:r>
      <w:proofErr w:type="gramStart"/>
      <w:r w:rsidRPr="00382430">
        <w:rPr>
          <w:rFonts w:cs="Times New Roman"/>
          <w:szCs w:val="24"/>
          <w:lang w:val="en-GB"/>
        </w:rPr>
        <w:t>1.……………………………….,</w:t>
      </w:r>
      <w:proofErr w:type="gramEnd"/>
      <w:r w:rsidRPr="00382430">
        <w:rPr>
          <w:rFonts w:cs="Times New Roman"/>
          <w:szCs w:val="24"/>
          <w:lang w:val="en-GB"/>
        </w:rPr>
        <w:t xml:space="preserve"> 2…………………………………….. </w:t>
      </w:r>
      <w:proofErr w:type="gramStart"/>
      <w:r w:rsidRPr="00382430">
        <w:rPr>
          <w:rFonts w:cs="Times New Roman"/>
          <w:szCs w:val="24"/>
          <w:lang w:val="en-GB"/>
        </w:rPr>
        <w:t>and</w:t>
      </w:r>
      <w:proofErr w:type="gramEnd"/>
      <w:r w:rsidRPr="00382430">
        <w:rPr>
          <w:rFonts w:cs="Times New Roman"/>
          <w:szCs w:val="24"/>
          <w:lang w:val="en-GB"/>
        </w:rPr>
        <w:t xml:space="preserve"> 3…………………………………………….</w:t>
      </w:r>
    </w:p>
    <w:p w:rsidR="00F3593C" w:rsidRPr="00382430" w:rsidRDefault="00F3593C" w:rsidP="00F3593C">
      <w:pPr>
        <w:rPr>
          <w:rFonts w:cs="Times New Roman"/>
          <w:szCs w:val="24"/>
        </w:rPr>
      </w:pPr>
    </w:p>
    <w:p w:rsidR="006C0B96" w:rsidRPr="00382430" w:rsidRDefault="006C0B96" w:rsidP="006C0B96">
      <w:pPr>
        <w:pStyle w:val="Odstavecseseznamem"/>
        <w:numPr>
          <w:ilvl w:val="0"/>
          <w:numId w:val="21"/>
        </w:numPr>
        <w:rPr>
          <w:rFonts w:cs="Times New Roman"/>
          <w:szCs w:val="24"/>
          <w:lang w:val="en-GB"/>
        </w:rPr>
      </w:pPr>
      <w:r w:rsidRPr="00382430">
        <w:rPr>
          <w:rFonts w:cs="Times New Roman"/>
          <w:szCs w:val="24"/>
          <w:lang w:val="en-GB"/>
        </w:rPr>
        <w:t>…………………………………………………… is the amount remaining from sales revenue after variable expenses have been deducted</w:t>
      </w:r>
    </w:p>
    <w:p w:rsidR="004C7D3E" w:rsidRPr="00382430" w:rsidRDefault="004C7D3E" w:rsidP="004C7D3E">
      <w:pPr>
        <w:pStyle w:val="Odstavecseseznamem"/>
        <w:rPr>
          <w:rFonts w:cs="Times New Roman"/>
          <w:szCs w:val="24"/>
          <w:lang w:val="en-GB"/>
        </w:rPr>
      </w:pPr>
    </w:p>
    <w:p w:rsidR="004C7D3E" w:rsidRPr="00A2743D" w:rsidRDefault="00A2743D" w:rsidP="00A2743D">
      <w:pPr>
        <w:pStyle w:val="Odst"/>
        <w:spacing w:line="360" w:lineRule="auto"/>
        <w:ind w:firstLine="0"/>
        <w:rPr>
          <w:b/>
          <w:sz w:val="24"/>
          <w:szCs w:val="24"/>
          <w:u w:val="single"/>
          <w:lang w:val="en-GB"/>
        </w:rPr>
      </w:pPr>
      <w:r w:rsidRPr="00A2743D">
        <w:rPr>
          <w:b/>
          <w:sz w:val="24"/>
          <w:szCs w:val="24"/>
          <w:u w:val="single"/>
          <w:lang w:val="en-GB"/>
        </w:rPr>
        <w:lastRenderedPageBreak/>
        <w:t>Exercise 1</w:t>
      </w:r>
    </w:p>
    <w:p w:rsidR="00A2743D" w:rsidRPr="00F93F3F" w:rsidRDefault="00A2743D" w:rsidP="00A2743D">
      <w:pPr>
        <w:pStyle w:val="Odst"/>
        <w:spacing w:line="360" w:lineRule="auto"/>
        <w:ind w:firstLine="0"/>
        <w:rPr>
          <w:sz w:val="24"/>
          <w:szCs w:val="24"/>
          <w:lang w:val="en-GB"/>
        </w:rPr>
      </w:pPr>
      <w:r w:rsidRPr="00F93F3F">
        <w:rPr>
          <w:sz w:val="24"/>
          <w:szCs w:val="24"/>
          <w:lang w:val="en-GB"/>
        </w:rPr>
        <w:t>P</w:t>
      </w:r>
      <w:r w:rsidR="00193CA5">
        <w:rPr>
          <w:sz w:val="24"/>
          <w:szCs w:val="24"/>
          <w:lang w:val="en-GB"/>
        </w:rPr>
        <w:t>roduction costs are CZK 200, 000. The company produced 30, 000 products and sold 2</w:t>
      </w:r>
      <w:r w:rsidRPr="00F93F3F">
        <w:rPr>
          <w:sz w:val="24"/>
          <w:szCs w:val="24"/>
          <w:lang w:val="en-GB"/>
        </w:rPr>
        <w:t xml:space="preserve">0,000 products. Total sales are CZK </w:t>
      </w:r>
      <w:r w:rsidR="00193CA5">
        <w:rPr>
          <w:sz w:val="24"/>
          <w:szCs w:val="24"/>
          <w:lang w:val="en-GB"/>
        </w:rPr>
        <w:t>300</w:t>
      </w:r>
      <w:r w:rsidRPr="00F93F3F">
        <w:rPr>
          <w:sz w:val="24"/>
          <w:szCs w:val="24"/>
          <w:lang w:val="en-GB"/>
        </w:rPr>
        <w:t xml:space="preserve">, 000. </w:t>
      </w:r>
    </w:p>
    <w:p w:rsidR="00A2743D" w:rsidRPr="00F93F3F" w:rsidRDefault="00A2743D" w:rsidP="00A2743D">
      <w:pPr>
        <w:pStyle w:val="Odst"/>
        <w:numPr>
          <w:ilvl w:val="0"/>
          <w:numId w:val="44"/>
        </w:numPr>
        <w:spacing w:line="360" w:lineRule="auto"/>
        <w:rPr>
          <w:sz w:val="24"/>
          <w:lang w:val="en-GB"/>
        </w:rPr>
      </w:pPr>
      <w:r w:rsidRPr="00F93F3F">
        <w:rPr>
          <w:sz w:val="24"/>
          <w:szCs w:val="24"/>
          <w:lang w:val="en-GB"/>
        </w:rPr>
        <w:t xml:space="preserve">calculate the company's profit or loss, return on costs and return on sales </w:t>
      </w:r>
    </w:p>
    <w:p w:rsidR="00BD1D29" w:rsidRPr="00382430" w:rsidRDefault="00BD1D29" w:rsidP="003D1A06">
      <w:pPr>
        <w:spacing w:line="360" w:lineRule="auto"/>
      </w:pPr>
    </w:p>
    <w:p w:rsidR="00A2743D" w:rsidRPr="00BD038C" w:rsidRDefault="00A2743D" w:rsidP="00A2743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D038C">
        <w:rPr>
          <w:rFonts w:ascii="Times New Roman" w:hAnsi="Times New Roman" w:cs="Times New Roman"/>
          <w:b/>
          <w:sz w:val="24"/>
          <w:u w:val="single"/>
        </w:rPr>
        <w:t>Exercise 2</w:t>
      </w:r>
    </w:p>
    <w:p w:rsidR="00A2743D" w:rsidRPr="00BD038C" w:rsidRDefault="00A2743D" w:rsidP="00A2743D">
      <w:pPr>
        <w:rPr>
          <w:rFonts w:ascii="Times New Roman" w:hAnsi="Times New Roman" w:cs="Times New Roman"/>
          <w:sz w:val="24"/>
        </w:rPr>
      </w:pPr>
      <w:r w:rsidRPr="00BD038C">
        <w:rPr>
          <w:rFonts w:ascii="Times New Roman" w:hAnsi="Times New Roman" w:cs="Times New Roman"/>
          <w:sz w:val="24"/>
        </w:rPr>
        <w:t>The following unit cost calculation (CZK / pc) is currently valid for the ABC product in the company: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743D" w:rsidRPr="00BD038C" w:rsidTr="0037231E">
        <w:tc>
          <w:tcPr>
            <w:tcW w:w="9062" w:type="dxa"/>
            <w:gridSpan w:val="2"/>
          </w:tcPr>
          <w:p w:rsidR="00A2743D" w:rsidRPr="00BD038C" w:rsidRDefault="00A2743D" w:rsidP="00A27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038C">
              <w:rPr>
                <w:rFonts w:ascii="Times New Roman" w:hAnsi="Times New Roman" w:cs="Times New Roman"/>
                <w:b/>
                <w:sz w:val="24"/>
              </w:rPr>
              <w:t>CZK/unit (piece)</w:t>
            </w:r>
          </w:p>
        </w:tc>
      </w:tr>
      <w:tr w:rsidR="00A2743D" w:rsidRPr="00BD038C" w:rsidTr="0037231E">
        <w:tc>
          <w:tcPr>
            <w:tcW w:w="4531" w:type="dxa"/>
          </w:tcPr>
          <w:p w:rsidR="00A2743D" w:rsidRPr="00BD038C" w:rsidRDefault="00A2743D" w:rsidP="00A274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D038C">
              <w:rPr>
                <w:rFonts w:ascii="Times New Roman" w:hAnsi="Times New Roman" w:cs="Times New Roman"/>
                <w:sz w:val="24"/>
              </w:rPr>
              <w:t>Sales price of the product</w:t>
            </w:r>
          </w:p>
        </w:tc>
        <w:tc>
          <w:tcPr>
            <w:tcW w:w="4531" w:type="dxa"/>
          </w:tcPr>
          <w:p w:rsidR="00A2743D" w:rsidRPr="00BD038C" w:rsidRDefault="00193CA5" w:rsidP="00A2743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</w:t>
            </w:r>
            <w:r w:rsidR="00A2743D" w:rsidRPr="00BD038C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A2743D" w:rsidRPr="00BD038C" w:rsidTr="0037231E">
        <w:tc>
          <w:tcPr>
            <w:tcW w:w="4531" w:type="dxa"/>
          </w:tcPr>
          <w:p w:rsidR="00A2743D" w:rsidRPr="00BD038C" w:rsidRDefault="00A2743D" w:rsidP="00A2743D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cs="Times New Roman"/>
                <w:lang w:val="en-GB"/>
              </w:rPr>
            </w:pPr>
            <w:r w:rsidRPr="00BD038C">
              <w:rPr>
                <w:rFonts w:cs="Times New Roman"/>
                <w:lang w:val="en-GB"/>
              </w:rPr>
              <w:t>Variable costs</w:t>
            </w:r>
          </w:p>
        </w:tc>
        <w:tc>
          <w:tcPr>
            <w:tcW w:w="4531" w:type="dxa"/>
          </w:tcPr>
          <w:p w:rsidR="00A2743D" w:rsidRPr="00BD038C" w:rsidRDefault="00193CA5" w:rsidP="00A2743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2743D" w:rsidRPr="00BD038C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A2743D" w:rsidRPr="00BD038C" w:rsidTr="0037231E">
        <w:tc>
          <w:tcPr>
            <w:tcW w:w="4531" w:type="dxa"/>
          </w:tcPr>
          <w:p w:rsidR="00A2743D" w:rsidRPr="00BD038C" w:rsidRDefault="00A2743D" w:rsidP="00A274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D038C">
              <w:rPr>
                <w:rFonts w:ascii="Times New Roman" w:hAnsi="Times New Roman" w:cs="Times New Roman"/>
                <w:sz w:val="24"/>
              </w:rPr>
              <w:t>= Payment allowance</w:t>
            </w:r>
          </w:p>
        </w:tc>
        <w:tc>
          <w:tcPr>
            <w:tcW w:w="4531" w:type="dxa"/>
          </w:tcPr>
          <w:p w:rsidR="00A2743D" w:rsidRPr="00BD038C" w:rsidRDefault="00193CA5" w:rsidP="00A2743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2743D" w:rsidRPr="00BD038C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A2743D" w:rsidRPr="00BD038C" w:rsidTr="0037231E">
        <w:tc>
          <w:tcPr>
            <w:tcW w:w="4531" w:type="dxa"/>
          </w:tcPr>
          <w:p w:rsidR="00A2743D" w:rsidRPr="00BD038C" w:rsidRDefault="00A2743D" w:rsidP="00A2743D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cs="Times New Roman"/>
                <w:lang w:val="en-GB"/>
              </w:rPr>
            </w:pPr>
            <w:r w:rsidRPr="00BD038C">
              <w:rPr>
                <w:rFonts w:cs="Times New Roman"/>
                <w:lang w:val="en-GB"/>
              </w:rPr>
              <w:t>Fixed costs allocated to the product</w:t>
            </w:r>
          </w:p>
        </w:tc>
        <w:tc>
          <w:tcPr>
            <w:tcW w:w="4531" w:type="dxa"/>
          </w:tcPr>
          <w:p w:rsidR="00A2743D" w:rsidRPr="00BD038C" w:rsidRDefault="00193CA5" w:rsidP="00193C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A2743D" w:rsidRPr="00BD038C" w:rsidTr="0037231E">
        <w:tc>
          <w:tcPr>
            <w:tcW w:w="4531" w:type="dxa"/>
          </w:tcPr>
          <w:p w:rsidR="00A2743D" w:rsidRPr="00BD038C" w:rsidRDefault="00A2743D" w:rsidP="00A274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D038C">
              <w:rPr>
                <w:rFonts w:ascii="Times New Roman" w:hAnsi="Times New Roman" w:cs="Times New Roman"/>
                <w:sz w:val="24"/>
              </w:rPr>
              <w:t>= Profit per product</w:t>
            </w:r>
          </w:p>
        </w:tc>
        <w:tc>
          <w:tcPr>
            <w:tcW w:w="4531" w:type="dxa"/>
          </w:tcPr>
          <w:p w:rsidR="00A2743D" w:rsidRPr="00BD038C" w:rsidRDefault="00193CA5" w:rsidP="00A2743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</w:tr>
    </w:tbl>
    <w:p w:rsidR="00A2743D" w:rsidRPr="00BD038C" w:rsidRDefault="00A2743D" w:rsidP="00A2743D">
      <w:pPr>
        <w:rPr>
          <w:rFonts w:ascii="Times New Roman" w:hAnsi="Times New Roman" w:cs="Times New Roman"/>
          <w:sz w:val="24"/>
        </w:rPr>
      </w:pPr>
    </w:p>
    <w:p w:rsidR="00A2743D" w:rsidRPr="00BD038C" w:rsidRDefault="00A2743D" w:rsidP="00A2743D">
      <w:pPr>
        <w:jc w:val="both"/>
        <w:rPr>
          <w:rFonts w:ascii="Times New Roman" w:hAnsi="Times New Roman" w:cs="Times New Roman"/>
          <w:sz w:val="24"/>
        </w:rPr>
      </w:pPr>
      <w:r w:rsidRPr="00BD038C">
        <w:rPr>
          <w:rFonts w:ascii="Times New Roman" w:hAnsi="Times New Roman" w:cs="Times New Roman"/>
          <w:sz w:val="24"/>
        </w:rPr>
        <w:t>This calculation is val</w:t>
      </w:r>
      <w:r w:rsidR="00193CA5">
        <w:rPr>
          <w:rFonts w:ascii="Times New Roman" w:hAnsi="Times New Roman" w:cs="Times New Roman"/>
          <w:sz w:val="24"/>
        </w:rPr>
        <w:t>id for a product (and sale) of 10</w:t>
      </w:r>
      <w:r w:rsidRPr="00BD038C">
        <w:rPr>
          <w:rFonts w:ascii="Times New Roman" w:hAnsi="Times New Roman" w:cs="Times New Roman"/>
          <w:sz w:val="24"/>
        </w:rPr>
        <w:t>0,000 products.</w:t>
      </w:r>
    </w:p>
    <w:p w:rsidR="00A2743D" w:rsidRPr="00BD038C" w:rsidRDefault="00A2743D" w:rsidP="00A2743D">
      <w:pPr>
        <w:jc w:val="both"/>
        <w:rPr>
          <w:rFonts w:ascii="Times New Roman" w:hAnsi="Times New Roman" w:cs="Times New Roman"/>
          <w:sz w:val="24"/>
        </w:rPr>
      </w:pPr>
      <w:r w:rsidRPr="00BD038C">
        <w:rPr>
          <w:rFonts w:ascii="Times New Roman" w:hAnsi="Times New Roman" w:cs="Times New Roman"/>
          <w:sz w:val="24"/>
        </w:rPr>
        <w:t>The company's management is considering a new situation where we managed to acquire a new large customer and agree with existing customers to increase deliveries, which could lead to a doubling of the number of manufactured pieces. However, the condition</w:t>
      </w:r>
      <w:r w:rsidR="00193CA5">
        <w:rPr>
          <w:rFonts w:ascii="Times New Roman" w:hAnsi="Times New Roman" w:cs="Times New Roman"/>
          <w:sz w:val="24"/>
        </w:rPr>
        <w:t xml:space="preserve"> is to reduce the price to CZK 8</w:t>
      </w:r>
      <w:r w:rsidRPr="00BD038C">
        <w:rPr>
          <w:rFonts w:ascii="Times New Roman" w:hAnsi="Times New Roman" w:cs="Times New Roman"/>
          <w:sz w:val="24"/>
        </w:rPr>
        <w:t>00 / pc.</w:t>
      </w:r>
    </w:p>
    <w:p w:rsidR="00A2743D" w:rsidRPr="00BD038C" w:rsidRDefault="00A2743D" w:rsidP="00A2743D">
      <w:pPr>
        <w:jc w:val="both"/>
        <w:rPr>
          <w:rFonts w:ascii="Times New Roman" w:hAnsi="Times New Roman" w:cs="Times New Roman"/>
          <w:sz w:val="24"/>
        </w:rPr>
      </w:pPr>
      <w:r w:rsidRPr="00BD038C">
        <w:rPr>
          <w:rFonts w:ascii="Times New Roman" w:hAnsi="Times New Roman" w:cs="Times New Roman"/>
          <w:sz w:val="24"/>
        </w:rPr>
        <w:t>The increase in production necessitated an increase in total fixed costs by 50</w:t>
      </w:r>
      <w:r w:rsidR="00193CA5">
        <w:rPr>
          <w:rFonts w:ascii="Times New Roman" w:hAnsi="Times New Roman" w:cs="Times New Roman"/>
          <w:sz w:val="24"/>
        </w:rPr>
        <w:t xml:space="preserve"> </w:t>
      </w:r>
      <w:r w:rsidRPr="00BD038C">
        <w:rPr>
          <w:rFonts w:ascii="Times New Roman" w:hAnsi="Times New Roman" w:cs="Times New Roman"/>
          <w:sz w:val="24"/>
        </w:rPr>
        <w:t xml:space="preserve">%, mainly due to the necessary expansion and modernization of production. Increasing production and modernizing the process (volume discounts and increasing </w:t>
      </w:r>
      <w:proofErr w:type="spellStart"/>
      <w:r w:rsidRPr="00BD038C">
        <w:rPr>
          <w:rFonts w:ascii="Times New Roman" w:hAnsi="Times New Roman" w:cs="Times New Roman"/>
          <w:sz w:val="24"/>
        </w:rPr>
        <w:t>labor</w:t>
      </w:r>
      <w:proofErr w:type="spellEnd"/>
      <w:r w:rsidRPr="00BD038C">
        <w:rPr>
          <w:rFonts w:ascii="Times New Roman" w:hAnsi="Times New Roman" w:cs="Times New Roman"/>
          <w:sz w:val="24"/>
        </w:rPr>
        <w:t xml:space="preserve"> productivity) will also have an impact on reducing unit variable costs by 20</w:t>
      </w:r>
      <w:r w:rsidR="00193CA5">
        <w:rPr>
          <w:rFonts w:ascii="Times New Roman" w:hAnsi="Times New Roman" w:cs="Times New Roman"/>
          <w:sz w:val="24"/>
        </w:rPr>
        <w:t xml:space="preserve"> </w:t>
      </w:r>
      <w:r w:rsidRPr="00BD038C">
        <w:rPr>
          <w:rFonts w:ascii="Times New Roman" w:hAnsi="Times New Roman" w:cs="Times New Roman"/>
          <w:sz w:val="24"/>
        </w:rPr>
        <w:t>%.</w:t>
      </w:r>
    </w:p>
    <w:p w:rsidR="00A2743D" w:rsidRPr="00BD038C" w:rsidRDefault="00A2743D" w:rsidP="00A2743D">
      <w:pPr>
        <w:rPr>
          <w:rFonts w:ascii="Times New Roman" w:hAnsi="Times New Roman" w:cs="Times New Roman"/>
          <w:sz w:val="24"/>
        </w:rPr>
      </w:pPr>
    </w:p>
    <w:p w:rsidR="00A2743D" w:rsidRPr="00BD038C" w:rsidRDefault="00A2743D" w:rsidP="00A2743D">
      <w:pPr>
        <w:jc w:val="both"/>
        <w:rPr>
          <w:rFonts w:ascii="Times New Roman" w:hAnsi="Times New Roman" w:cs="Times New Roman"/>
          <w:b/>
          <w:sz w:val="24"/>
        </w:rPr>
      </w:pPr>
      <w:r w:rsidRPr="00BD038C">
        <w:rPr>
          <w:rFonts w:ascii="Times New Roman" w:hAnsi="Times New Roman" w:cs="Times New Roman"/>
          <w:b/>
          <w:sz w:val="24"/>
        </w:rPr>
        <w:t>Assignment:</w:t>
      </w:r>
    </w:p>
    <w:p w:rsidR="00A2743D" w:rsidRPr="00BD038C" w:rsidRDefault="00A2743D" w:rsidP="00A2743D">
      <w:pPr>
        <w:pStyle w:val="Odstavecseseznamem"/>
        <w:numPr>
          <w:ilvl w:val="0"/>
          <w:numId w:val="45"/>
        </w:numPr>
        <w:spacing w:after="200" w:line="276" w:lineRule="auto"/>
        <w:rPr>
          <w:rFonts w:cs="Times New Roman"/>
          <w:lang w:val="en-GB"/>
        </w:rPr>
      </w:pPr>
      <w:r w:rsidRPr="00BD038C">
        <w:rPr>
          <w:rFonts w:cs="Times New Roman"/>
          <w:lang w:val="en-GB"/>
        </w:rPr>
        <w:t>Determine a unit calculation for the new situation</w:t>
      </w:r>
    </w:p>
    <w:p w:rsidR="00A2743D" w:rsidRPr="00BD038C" w:rsidRDefault="00A2743D" w:rsidP="00A2743D">
      <w:pPr>
        <w:pStyle w:val="Odstavecseseznamem"/>
        <w:numPr>
          <w:ilvl w:val="0"/>
          <w:numId w:val="45"/>
        </w:numPr>
        <w:spacing w:after="200" w:line="276" w:lineRule="auto"/>
        <w:rPr>
          <w:rFonts w:cs="Times New Roman"/>
          <w:lang w:val="en-GB"/>
        </w:rPr>
      </w:pPr>
      <w:r w:rsidRPr="00BD038C">
        <w:rPr>
          <w:rFonts w:cs="Times New Roman"/>
          <w:lang w:val="en-GB"/>
        </w:rPr>
        <w:t>Determine the original total profit.</w:t>
      </w:r>
    </w:p>
    <w:p w:rsidR="00A2743D" w:rsidRPr="00BD038C" w:rsidRDefault="00A2743D" w:rsidP="00A2743D">
      <w:pPr>
        <w:pStyle w:val="Odstavecseseznamem"/>
        <w:numPr>
          <w:ilvl w:val="0"/>
          <w:numId w:val="45"/>
        </w:numPr>
        <w:spacing w:after="200" w:line="276" w:lineRule="auto"/>
        <w:rPr>
          <w:rFonts w:cs="Times New Roman"/>
          <w:lang w:val="en-GB"/>
        </w:rPr>
      </w:pPr>
      <w:r w:rsidRPr="00BD038C">
        <w:rPr>
          <w:rFonts w:cs="Times New Roman"/>
          <w:lang w:val="en-GB"/>
        </w:rPr>
        <w:t>Determine the new total profit.</w:t>
      </w:r>
    </w:p>
    <w:p w:rsidR="00A2743D" w:rsidRPr="00BD038C" w:rsidRDefault="00A2743D" w:rsidP="00A2743D">
      <w:pPr>
        <w:pStyle w:val="Odstavecseseznamem"/>
        <w:numPr>
          <w:ilvl w:val="0"/>
          <w:numId w:val="45"/>
        </w:numPr>
        <w:spacing w:after="200" w:line="276" w:lineRule="auto"/>
        <w:rPr>
          <w:rFonts w:cs="Times New Roman"/>
          <w:lang w:val="en-GB"/>
        </w:rPr>
      </w:pPr>
      <w:r w:rsidRPr="00BD038C">
        <w:rPr>
          <w:rFonts w:cs="Times New Roman"/>
          <w:lang w:val="en-GB"/>
        </w:rPr>
        <w:t>Determine the change in total profit.</w:t>
      </w:r>
    </w:p>
    <w:p w:rsidR="00A2743D" w:rsidRPr="00BD038C" w:rsidRDefault="00A2743D" w:rsidP="00A2743D">
      <w:pPr>
        <w:pStyle w:val="Odstavecseseznamem"/>
        <w:numPr>
          <w:ilvl w:val="0"/>
          <w:numId w:val="45"/>
        </w:numPr>
        <w:spacing w:after="200" w:line="276" w:lineRule="auto"/>
        <w:rPr>
          <w:rFonts w:cs="Times New Roman"/>
          <w:lang w:val="en-GB"/>
        </w:rPr>
      </w:pPr>
      <w:r w:rsidRPr="00BD038C">
        <w:rPr>
          <w:rFonts w:cs="Times New Roman"/>
          <w:lang w:val="en-GB"/>
        </w:rPr>
        <w:t>Calculate the original break-even point.</w:t>
      </w:r>
    </w:p>
    <w:p w:rsidR="00A2743D" w:rsidRPr="00BD038C" w:rsidRDefault="00A2743D" w:rsidP="00A2743D">
      <w:pPr>
        <w:pStyle w:val="Odstavecseseznamem"/>
        <w:numPr>
          <w:ilvl w:val="0"/>
          <w:numId w:val="45"/>
        </w:numPr>
        <w:spacing w:after="200" w:line="276" w:lineRule="auto"/>
        <w:rPr>
          <w:rFonts w:cs="Times New Roman"/>
          <w:lang w:val="en-GB"/>
        </w:rPr>
      </w:pPr>
      <w:r w:rsidRPr="00BD038C">
        <w:rPr>
          <w:rFonts w:cs="Times New Roman"/>
          <w:lang w:val="en-GB"/>
        </w:rPr>
        <w:t>Calculate the new break-even point.</w:t>
      </w:r>
    </w:p>
    <w:p w:rsidR="00A2743D" w:rsidRPr="00BD038C" w:rsidRDefault="00A2743D" w:rsidP="00A2743D">
      <w:pPr>
        <w:pStyle w:val="Odstavecseseznamem"/>
        <w:numPr>
          <w:ilvl w:val="0"/>
          <w:numId w:val="45"/>
        </w:numPr>
        <w:spacing w:after="200" w:line="276" w:lineRule="auto"/>
        <w:rPr>
          <w:rFonts w:cs="Times New Roman"/>
          <w:lang w:val="en-GB"/>
        </w:rPr>
      </w:pPr>
      <w:r w:rsidRPr="00BD038C">
        <w:rPr>
          <w:rFonts w:cs="Times New Roman"/>
          <w:lang w:val="en-GB"/>
        </w:rPr>
        <w:t>Calculate the break-even point change.</w:t>
      </w:r>
    </w:p>
    <w:p w:rsidR="00BD1D29" w:rsidRPr="00382430" w:rsidRDefault="00BD1D29" w:rsidP="003D1A06">
      <w:pPr>
        <w:spacing w:line="360" w:lineRule="auto"/>
      </w:pPr>
    </w:p>
    <w:p w:rsidR="00BD1D29" w:rsidRPr="00382430" w:rsidRDefault="00BD1D29" w:rsidP="003D1A06">
      <w:pPr>
        <w:spacing w:line="360" w:lineRule="auto"/>
      </w:pPr>
    </w:p>
    <w:p w:rsidR="001C1520" w:rsidRPr="00382430" w:rsidRDefault="001C1520" w:rsidP="003D1A06">
      <w:pPr>
        <w:spacing w:line="360" w:lineRule="auto"/>
      </w:pPr>
    </w:p>
    <w:p w:rsidR="00A2743D" w:rsidRPr="00E172F4" w:rsidRDefault="00A2743D" w:rsidP="00A2743D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Exercise 3</w:t>
      </w:r>
    </w:p>
    <w:p w:rsidR="00A2743D" w:rsidRPr="00E172F4" w:rsidRDefault="00A2743D" w:rsidP="00A2743D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2F4">
        <w:rPr>
          <w:rFonts w:ascii="Times New Roman" w:hAnsi="Times New Roman" w:cs="Times New Roman"/>
          <w:sz w:val="24"/>
          <w:szCs w:val="24"/>
        </w:rPr>
        <w:t xml:space="preserve">ABC </w:t>
      </w:r>
      <w:proofErr w:type="gramStart"/>
      <w:r w:rsidRPr="00E172F4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E172F4">
        <w:rPr>
          <w:rFonts w:ascii="Times New Roman" w:hAnsi="Times New Roman" w:cs="Times New Roman"/>
          <w:sz w:val="24"/>
          <w:szCs w:val="24"/>
        </w:rPr>
        <w:t xml:space="preserve"> produces special jackets. Th</w:t>
      </w:r>
      <w:r w:rsidR="00193CA5">
        <w:rPr>
          <w:rFonts w:ascii="Times New Roman" w:hAnsi="Times New Roman" w:cs="Times New Roman"/>
          <w:sz w:val="24"/>
          <w:szCs w:val="24"/>
        </w:rPr>
        <w:t>e price of one jacket is CZK 2 6</w:t>
      </w:r>
      <w:r w:rsidRPr="00E172F4">
        <w:rPr>
          <w:rFonts w:ascii="Times New Roman" w:hAnsi="Times New Roman" w:cs="Times New Roman"/>
          <w:sz w:val="24"/>
          <w:szCs w:val="24"/>
        </w:rPr>
        <w:t>00 a</w:t>
      </w:r>
      <w:r w:rsidR="00193CA5">
        <w:rPr>
          <w:rFonts w:ascii="Times New Roman" w:hAnsi="Times New Roman" w:cs="Times New Roman"/>
          <w:sz w:val="24"/>
          <w:szCs w:val="24"/>
        </w:rPr>
        <w:t>nd its production requires CZK 900 of unit material, CZK 240 of unit wages, CZK 190</w:t>
      </w:r>
      <w:r w:rsidRPr="00E172F4">
        <w:rPr>
          <w:rFonts w:ascii="Times New Roman" w:hAnsi="Times New Roman" w:cs="Times New Roman"/>
          <w:sz w:val="24"/>
          <w:szCs w:val="24"/>
        </w:rPr>
        <w:t xml:space="preserve"> for variable</w:t>
      </w:r>
      <w:r w:rsidR="00193CA5">
        <w:rPr>
          <w:rFonts w:ascii="Times New Roman" w:hAnsi="Times New Roman" w:cs="Times New Roman"/>
          <w:sz w:val="24"/>
          <w:szCs w:val="24"/>
        </w:rPr>
        <w:t xml:space="preserve"> production overheads and CZK 130</w:t>
      </w:r>
      <w:r w:rsidRPr="00E172F4">
        <w:rPr>
          <w:rFonts w:ascii="Times New Roman" w:hAnsi="Times New Roman" w:cs="Times New Roman"/>
          <w:sz w:val="24"/>
          <w:szCs w:val="24"/>
        </w:rPr>
        <w:t xml:space="preserve"> for variable sales overheads. The budgeted fixed overhead costs of the company are: production fixed overheads CZK </w:t>
      </w:r>
      <w:r w:rsidR="00193CA5">
        <w:rPr>
          <w:rFonts w:ascii="Times New Roman" w:hAnsi="Times New Roman" w:cs="Times New Roman"/>
          <w:sz w:val="24"/>
          <w:szCs w:val="24"/>
        </w:rPr>
        <w:t>2,4</w:t>
      </w:r>
      <w:r w:rsidRPr="00E172F4">
        <w:rPr>
          <w:rFonts w:ascii="Times New Roman" w:hAnsi="Times New Roman" w:cs="Times New Roman"/>
          <w:sz w:val="24"/>
          <w:szCs w:val="24"/>
        </w:rPr>
        <w:t>00,00</w:t>
      </w:r>
      <w:r w:rsidR="00193CA5">
        <w:rPr>
          <w:rFonts w:ascii="Times New Roman" w:hAnsi="Times New Roman" w:cs="Times New Roman"/>
          <w:sz w:val="24"/>
          <w:szCs w:val="24"/>
        </w:rPr>
        <w:t>0 and sales fixed overheads CZK 1,90</w:t>
      </w:r>
      <w:r w:rsidRPr="00E172F4">
        <w:rPr>
          <w:rFonts w:ascii="Times New Roman" w:hAnsi="Times New Roman" w:cs="Times New Roman"/>
          <w:sz w:val="24"/>
          <w:szCs w:val="24"/>
        </w:rPr>
        <w:t>0,000.</w:t>
      </w:r>
    </w:p>
    <w:p w:rsidR="00A2743D" w:rsidRPr="00E172F4" w:rsidRDefault="00A2743D" w:rsidP="00A2743D">
      <w:pPr>
        <w:pStyle w:val="Odstavecseseznamem"/>
        <w:numPr>
          <w:ilvl w:val="0"/>
          <w:numId w:val="46"/>
        </w:numPr>
        <w:tabs>
          <w:tab w:val="left" w:pos="5475"/>
        </w:tabs>
        <w:spacing w:after="200" w:line="276" w:lineRule="auto"/>
        <w:rPr>
          <w:rFonts w:cs="Times New Roman"/>
          <w:szCs w:val="24"/>
          <w:lang w:val="en-GB"/>
        </w:rPr>
      </w:pPr>
      <w:r w:rsidRPr="00E172F4">
        <w:rPr>
          <w:rFonts w:cs="Times New Roman"/>
          <w:szCs w:val="24"/>
          <w:lang w:val="en-GB"/>
        </w:rPr>
        <w:t xml:space="preserve">Establish a </w:t>
      </w:r>
      <w:r>
        <w:rPr>
          <w:rFonts w:cs="Times New Roman"/>
          <w:szCs w:val="24"/>
          <w:lang w:val="en-GB"/>
        </w:rPr>
        <w:t>sales</w:t>
      </w:r>
      <w:r w:rsidRPr="00E172F4">
        <w:rPr>
          <w:rFonts w:cs="Times New Roman"/>
          <w:szCs w:val="24"/>
          <w:lang w:val="en-GB"/>
        </w:rPr>
        <w:t>, cost and profit budget fo</w:t>
      </w:r>
      <w:r w:rsidR="00193CA5">
        <w:rPr>
          <w:rFonts w:cs="Times New Roman"/>
          <w:szCs w:val="24"/>
          <w:lang w:val="en-GB"/>
        </w:rPr>
        <w:t>r an estimated sales volume of 10</w:t>
      </w:r>
      <w:r w:rsidRPr="00E172F4">
        <w:rPr>
          <w:rFonts w:cs="Times New Roman"/>
          <w:szCs w:val="24"/>
          <w:lang w:val="en-GB"/>
        </w:rPr>
        <w:t>,000 jackets.</w:t>
      </w:r>
    </w:p>
    <w:p w:rsidR="00CF6BCE" w:rsidRPr="00382430" w:rsidRDefault="00CF6BCE" w:rsidP="003D1A06">
      <w:pPr>
        <w:spacing w:line="360" w:lineRule="auto"/>
      </w:pPr>
    </w:p>
    <w:p w:rsidR="00BC6843" w:rsidRPr="00BC6843" w:rsidRDefault="00BC6843" w:rsidP="00BC6843">
      <w:pPr>
        <w:tabs>
          <w:tab w:val="left" w:pos="547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843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Exercise </w:t>
      </w:r>
      <w:r w:rsidRPr="00BC684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BC6843" w:rsidRPr="00BC6843" w:rsidRDefault="00BC6843" w:rsidP="00BC6843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843">
        <w:rPr>
          <w:rFonts w:ascii="Times New Roman" w:hAnsi="Times New Roman" w:cs="Times New Roman"/>
          <w:sz w:val="24"/>
          <w:szCs w:val="24"/>
        </w:rPr>
        <w:t>The administrator of Azalea Hills Hospital would like a cost formula linking the administrative costs involved in admitting patients to the number of patients admitted during a month. The Admitting Department’s costs and the number of patients admitted during the immediately preceding eight months are given in the following table:</w:t>
      </w:r>
    </w:p>
    <w:p w:rsidR="00BC6843" w:rsidRDefault="00BC6843" w:rsidP="00BC6843">
      <w:pPr>
        <w:tabs>
          <w:tab w:val="left" w:pos="1480"/>
        </w:tabs>
        <w:jc w:val="center"/>
      </w:pPr>
      <w:r>
        <w:rPr>
          <w:noProof/>
        </w:rPr>
        <w:drawing>
          <wp:inline distT="0" distB="0" distL="0" distR="0" wp14:anchorId="26C0F22D" wp14:editId="531782EF">
            <wp:extent cx="4569221" cy="2254250"/>
            <wp:effectExtent l="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13" cy="22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43" w:rsidRDefault="00BC6843" w:rsidP="00BC6843">
      <w:pPr>
        <w:tabs>
          <w:tab w:val="left" w:pos="1480"/>
        </w:tabs>
        <w:jc w:val="both"/>
      </w:pPr>
    </w:p>
    <w:p w:rsidR="00BC6843" w:rsidRPr="00BC6843" w:rsidRDefault="00BC6843" w:rsidP="00BC6843">
      <w:pPr>
        <w:pStyle w:val="Odstavecseseznamem"/>
        <w:numPr>
          <w:ilvl w:val="0"/>
          <w:numId w:val="47"/>
        </w:numPr>
        <w:tabs>
          <w:tab w:val="left" w:pos="1480"/>
        </w:tabs>
        <w:spacing w:after="160" w:line="259" w:lineRule="auto"/>
        <w:rPr>
          <w:rFonts w:cs="Times New Roman"/>
          <w:szCs w:val="24"/>
          <w:lang w:val="en-GB"/>
        </w:rPr>
      </w:pPr>
      <w:r w:rsidRPr="00BC6843">
        <w:rPr>
          <w:rFonts w:cs="Times New Roman"/>
          <w:szCs w:val="24"/>
          <w:lang w:val="en-GB"/>
        </w:rPr>
        <w:t>(1) Use the high-low method to estimate the fixed and variable components of admitting costs.</w:t>
      </w:r>
    </w:p>
    <w:p w:rsidR="00BC6843" w:rsidRPr="00BC6843" w:rsidRDefault="00BC6843" w:rsidP="00BC6843">
      <w:pPr>
        <w:tabs>
          <w:tab w:val="left" w:pos="1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6843" w:rsidRPr="00BC6843" w:rsidRDefault="00BC6843" w:rsidP="00BC6843">
      <w:pPr>
        <w:pStyle w:val="Odstavecseseznamem"/>
        <w:numPr>
          <w:ilvl w:val="0"/>
          <w:numId w:val="47"/>
        </w:numPr>
        <w:tabs>
          <w:tab w:val="left" w:pos="1480"/>
        </w:tabs>
        <w:spacing w:after="160" w:line="259" w:lineRule="auto"/>
        <w:rPr>
          <w:rFonts w:cs="Times New Roman"/>
          <w:szCs w:val="24"/>
          <w:lang w:val="en-GB"/>
        </w:rPr>
      </w:pPr>
      <w:r w:rsidRPr="00BC6843">
        <w:rPr>
          <w:rFonts w:cs="Times New Roman"/>
          <w:szCs w:val="24"/>
          <w:lang w:val="en-GB"/>
        </w:rPr>
        <w:t xml:space="preserve">(2) Express the fixed and variable components of admitting costs as a cost formula in the form   </w:t>
      </w:r>
    </w:p>
    <w:p w:rsidR="00CF6BCE" w:rsidRPr="00BC6843" w:rsidRDefault="00CF6BCE" w:rsidP="003D1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BCE" w:rsidRPr="00BC6843" w:rsidRDefault="00CF6BCE" w:rsidP="003D1A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BCE" w:rsidRPr="00382430" w:rsidRDefault="00CF6BCE" w:rsidP="003D1A06">
      <w:pPr>
        <w:spacing w:line="360" w:lineRule="auto"/>
      </w:pPr>
      <w:bookmarkStart w:id="0" w:name="_GoBack"/>
      <w:bookmarkEnd w:id="0"/>
    </w:p>
    <w:sectPr w:rsidR="00CF6BCE" w:rsidRPr="0038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E0F"/>
    <w:multiLevelType w:val="hybridMultilevel"/>
    <w:tmpl w:val="998E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F93"/>
    <w:multiLevelType w:val="hybridMultilevel"/>
    <w:tmpl w:val="523E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11B"/>
    <w:multiLevelType w:val="hybridMultilevel"/>
    <w:tmpl w:val="09B4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3DAA"/>
    <w:multiLevelType w:val="hybridMultilevel"/>
    <w:tmpl w:val="7FBA767A"/>
    <w:lvl w:ilvl="0" w:tplc="AE0A2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B5FD2"/>
    <w:multiLevelType w:val="hybridMultilevel"/>
    <w:tmpl w:val="66347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B121E"/>
    <w:multiLevelType w:val="hybridMultilevel"/>
    <w:tmpl w:val="17D6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07D59"/>
    <w:multiLevelType w:val="hybridMultilevel"/>
    <w:tmpl w:val="7B284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475EE7"/>
    <w:multiLevelType w:val="hybridMultilevel"/>
    <w:tmpl w:val="4A24D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69DE"/>
    <w:multiLevelType w:val="hybridMultilevel"/>
    <w:tmpl w:val="A7A4E7EE"/>
    <w:lvl w:ilvl="0" w:tplc="F6361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DB7E25"/>
    <w:multiLevelType w:val="hybridMultilevel"/>
    <w:tmpl w:val="AC9C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EE1"/>
    <w:multiLevelType w:val="hybridMultilevel"/>
    <w:tmpl w:val="F81E1CC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286B4B5F"/>
    <w:multiLevelType w:val="hybridMultilevel"/>
    <w:tmpl w:val="4A24D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0676B"/>
    <w:multiLevelType w:val="hybridMultilevel"/>
    <w:tmpl w:val="1C38FB5C"/>
    <w:lvl w:ilvl="0" w:tplc="43BE5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E4B2A"/>
    <w:multiLevelType w:val="hybridMultilevel"/>
    <w:tmpl w:val="AE54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B08F1"/>
    <w:multiLevelType w:val="hybridMultilevel"/>
    <w:tmpl w:val="6A6AF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56D0F"/>
    <w:multiLevelType w:val="hybridMultilevel"/>
    <w:tmpl w:val="D51C22AC"/>
    <w:lvl w:ilvl="0" w:tplc="06E83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2E1A87"/>
    <w:multiLevelType w:val="hybridMultilevel"/>
    <w:tmpl w:val="FD3A2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452FA"/>
    <w:multiLevelType w:val="hybridMultilevel"/>
    <w:tmpl w:val="DA4A0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E1D5C"/>
    <w:multiLevelType w:val="hybridMultilevel"/>
    <w:tmpl w:val="2474F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46EB2"/>
    <w:multiLevelType w:val="hybridMultilevel"/>
    <w:tmpl w:val="9E0CB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050DB"/>
    <w:multiLevelType w:val="hybridMultilevel"/>
    <w:tmpl w:val="57722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900DF"/>
    <w:multiLevelType w:val="hybridMultilevel"/>
    <w:tmpl w:val="E20ECCBC"/>
    <w:lvl w:ilvl="0" w:tplc="533A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5E33FD"/>
    <w:multiLevelType w:val="hybridMultilevel"/>
    <w:tmpl w:val="64AA4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2381B"/>
    <w:multiLevelType w:val="hybridMultilevel"/>
    <w:tmpl w:val="55307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B1D3B"/>
    <w:multiLevelType w:val="hybridMultilevel"/>
    <w:tmpl w:val="4872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B0B74"/>
    <w:multiLevelType w:val="hybridMultilevel"/>
    <w:tmpl w:val="BEA65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06913"/>
    <w:multiLevelType w:val="hybridMultilevel"/>
    <w:tmpl w:val="AAC281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76941"/>
    <w:multiLevelType w:val="hybridMultilevel"/>
    <w:tmpl w:val="5ED8F872"/>
    <w:lvl w:ilvl="0" w:tplc="30B03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C0267F"/>
    <w:multiLevelType w:val="hybridMultilevel"/>
    <w:tmpl w:val="3DC87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95D44"/>
    <w:multiLevelType w:val="hybridMultilevel"/>
    <w:tmpl w:val="4AE0D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253BB"/>
    <w:multiLevelType w:val="hybridMultilevel"/>
    <w:tmpl w:val="4C525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52762"/>
    <w:multiLevelType w:val="hybridMultilevel"/>
    <w:tmpl w:val="45BA82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F055D"/>
    <w:multiLevelType w:val="hybridMultilevel"/>
    <w:tmpl w:val="55307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C485A"/>
    <w:multiLevelType w:val="hybridMultilevel"/>
    <w:tmpl w:val="4FF0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7F06"/>
    <w:multiLevelType w:val="hybridMultilevel"/>
    <w:tmpl w:val="CE48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42"/>
  </w:num>
  <w:num w:numId="4">
    <w:abstractNumId w:val="24"/>
  </w:num>
  <w:num w:numId="5">
    <w:abstractNumId w:val="25"/>
  </w:num>
  <w:num w:numId="6">
    <w:abstractNumId w:val="4"/>
  </w:num>
  <w:num w:numId="7">
    <w:abstractNumId w:val="38"/>
  </w:num>
  <w:num w:numId="8">
    <w:abstractNumId w:val="2"/>
  </w:num>
  <w:num w:numId="9">
    <w:abstractNumId w:val="34"/>
  </w:num>
  <w:num w:numId="10">
    <w:abstractNumId w:val="18"/>
  </w:num>
  <w:num w:numId="11">
    <w:abstractNumId w:val="9"/>
  </w:num>
  <w:num w:numId="12">
    <w:abstractNumId w:val="43"/>
  </w:num>
  <w:num w:numId="13">
    <w:abstractNumId w:val="20"/>
  </w:num>
  <w:num w:numId="14">
    <w:abstractNumId w:val="32"/>
  </w:num>
  <w:num w:numId="15">
    <w:abstractNumId w:val="40"/>
  </w:num>
  <w:num w:numId="16">
    <w:abstractNumId w:val="23"/>
  </w:num>
  <w:num w:numId="17">
    <w:abstractNumId w:val="41"/>
  </w:num>
  <w:num w:numId="18">
    <w:abstractNumId w:val="8"/>
  </w:num>
  <w:num w:numId="19">
    <w:abstractNumId w:val="16"/>
  </w:num>
  <w:num w:numId="20">
    <w:abstractNumId w:val="3"/>
  </w:num>
  <w:num w:numId="21">
    <w:abstractNumId w:val="14"/>
  </w:num>
  <w:num w:numId="22">
    <w:abstractNumId w:val="30"/>
  </w:num>
  <w:num w:numId="23">
    <w:abstractNumId w:val="11"/>
  </w:num>
  <w:num w:numId="24">
    <w:abstractNumId w:val="19"/>
  </w:num>
  <w:num w:numId="25">
    <w:abstractNumId w:val="36"/>
  </w:num>
  <w:num w:numId="26">
    <w:abstractNumId w:val="27"/>
  </w:num>
  <w:num w:numId="27">
    <w:abstractNumId w:val="5"/>
  </w:num>
  <w:num w:numId="28">
    <w:abstractNumId w:val="15"/>
  </w:num>
  <w:num w:numId="29">
    <w:abstractNumId w:val="45"/>
  </w:num>
  <w:num w:numId="30">
    <w:abstractNumId w:val="29"/>
  </w:num>
  <w:num w:numId="31">
    <w:abstractNumId w:val="31"/>
  </w:num>
  <w:num w:numId="32">
    <w:abstractNumId w:val="44"/>
  </w:num>
  <w:num w:numId="33">
    <w:abstractNumId w:val="12"/>
  </w:num>
  <w:num w:numId="34">
    <w:abstractNumId w:val="21"/>
  </w:num>
  <w:num w:numId="35">
    <w:abstractNumId w:val="39"/>
  </w:num>
  <w:num w:numId="36">
    <w:abstractNumId w:val="35"/>
  </w:num>
  <w:num w:numId="37">
    <w:abstractNumId w:val="37"/>
  </w:num>
  <w:num w:numId="38">
    <w:abstractNumId w:val="33"/>
  </w:num>
  <w:num w:numId="39">
    <w:abstractNumId w:val="10"/>
  </w:num>
  <w:num w:numId="40">
    <w:abstractNumId w:val="0"/>
  </w:num>
  <w:num w:numId="41">
    <w:abstractNumId w:val="13"/>
  </w:num>
  <w:num w:numId="42">
    <w:abstractNumId w:val="6"/>
  </w:num>
  <w:num w:numId="43">
    <w:abstractNumId w:val="17"/>
  </w:num>
  <w:num w:numId="44">
    <w:abstractNumId w:val="26"/>
  </w:num>
  <w:num w:numId="45">
    <w:abstractNumId w:val="1"/>
  </w:num>
  <w:num w:numId="46">
    <w:abstractNumId w:val="22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AF"/>
    <w:rsid w:val="00010FF6"/>
    <w:rsid w:val="00012901"/>
    <w:rsid w:val="000324A3"/>
    <w:rsid w:val="00036A9B"/>
    <w:rsid w:val="00047C19"/>
    <w:rsid w:val="000671BF"/>
    <w:rsid w:val="000A4F8B"/>
    <w:rsid w:val="000A78E3"/>
    <w:rsid w:val="000C1093"/>
    <w:rsid w:val="000C1C2E"/>
    <w:rsid w:val="000D11EC"/>
    <w:rsid w:val="000D5F44"/>
    <w:rsid w:val="000D7A3E"/>
    <w:rsid w:val="00101E3E"/>
    <w:rsid w:val="00117546"/>
    <w:rsid w:val="001215F8"/>
    <w:rsid w:val="00152C1D"/>
    <w:rsid w:val="00157B90"/>
    <w:rsid w:val="001627FB"/>
    <w:rsid w:val="001848BD"/>
    <w:rsid w:val="00184F1B"/>
    <w:rsid w:val="00193CA5"/>
    <w:rsid w:val="001954A8"/>
    <w:rsid w:val="001A7C0D"/>
    <w:rsid w:val="001B4D9E"/>
    <w:rsid w:val="001C11DE"/>
    <w:rsid w:val="001C1520"/>
    <w:rsid w:val="001C437C"/>
    <w:rsid w:val="001D2FC5"/>
    <w:rsid w:val="001E3BF7"/>
    <w:rsid w:val="002029B6"/>
    <w:rsid w:val="002065C1"/>
    <w:rsid w:val="00226741"/>
    <w:rsid w:val="0023255D"/>
    <w:rsid w:val="00261DD4"/>
    <w:rsid w:val="00271588"/>
    <w:rsid w:val="0027205C"/>
    <w:rsid w:val="00293C58"/>
    <w:rsid w:val="002B6E3D"/>
    <w:rsid w:val="002E1D1D"/>
    <w:rsid w:val="002E3B2D"/>
    <w:rsid w:val="00310813"/>
    <w:rsid w:val="00315324"/>
    <w:rsid w:val="0032107A"/>
    <w:rsid w:val="00333063"/>
    <w:rsid w:val="00336472"/>
    <w:rsid w:val="00345E57"/>
    <w:rsid w:val="003541EC"/>
    <w:rsid w:val="00361CB0"/>
    <w:rsid w:val="00364344"/>
    <w:rsid w:val="00366D5D"/>
    <w:rsid w:val="00382430"/>
    <w:rsid w:val="003906DF"/>
    <w:rsid w:val="003A4E17"/>
    <w:rsid w:val="003B0140"/>
    <w:rsid w:val="003D1A06"/>
    <w:rsid w:val="003E2346"/>
    <w:rsid w:val="003F7B1E"/>
    <w:rsid w:val="0040242C"/>
    <w:rsid w:val="00403AA8"/>
    <w:rsid w:val="00411A05"/>
    <w:rsid w:val="00415E06"/>
    <w:rsid w:val="00453BF3"/>
    <w:rsid w:val="00453E71"/>
    <w:rsid w:val="00454D34"/>
    <w:rsid w:val="0046059C"/>
    <w:rsid w:val="004758F6"/>
    <w:rsid w:val="00485A7A"/>
    <w:rsid w:val="004A7A39"/>
    <w:rsid w:val="004A7BB2"/>
    <w:rsid w:val="004B2A20"/>
    <w:rsid w:val="004C7D3E"/>
    <w:rsid w:val="004F2BF0"/>
    <w:rsid w:val="004F3BA5"/>
    <w:rsid w:val="00507A27"/>
    <w:rsid w:val="00511638"/>
    <w:rsid w:val="00552CDC"/>
    <w:rsid w:val="00553273"/>
    <w:rsid w:val="00581838"/>
    <w:rsid w:val="00587AD4"/>
    <w:rsid w:val="005920EA"/>
    <w:rsid w:val="005940A0"/>
    <w:rsid w:val="005C16D0"/>
    <w:rsid w:val="00633C09"/>
    <w:rsid w:val="00645752"/>
    <w:rsid w:val="0064734B"/>
    <w:rsid w:val="0065467E"/>
    <w:rsid w:val="00660904"/>
    <w:rsid w:val="00680EA1"/>
    <w:rsid w:val="00683F8D"/>
    <w:rsid w:val="00685092"/>
    <w:rsid w:val="0069596B"/>
    <w:rsid w:val="006A19C0"/>
    <w:rsid w:val="006C0B96"/>
    <w:rsid w:val="006D27CF"/>
    <w:rsid w:val="006D6BA7"/>
    <w:rsid w:val="00706DBE"/>
    <w:rsid w:val="0073620F"/>
    <w:rsid w:val="0074320F"/>
    <w:rsid w:val="00765385"/>
    <w:rsid w:val="00782FCE"/>
    <w:rsid w:val="0078723E"/>
    <w:rsid w:val="007A1631"/>
    <w:rsid w:val="007B3BE1"/>
    <w:rsid w:val="007E29C5"/>
    <w:rsid w:val="0081717B"/>
    <w:rsid w:val="008319F7"/>
    <w:rsid w:val="00834D77"/>
    <w:rsid w:val="0084579B"/>
    <w:rsid w:val="008557AF"/>
    <w:rsid w:val="008641F4"/>
    <w:rsid w:val="00875767"/>
    <w:rsid w:val="008814BD"/>
    <w:rsid w:val="008A3259"/>
    <w:rsid w:val="008B7EC7"/>
    <w:rsid w:val="008E0A27"/>
    <w:rsid w:val="008E31D4"/>
    <w:rsid w:val="008E3BE0"/>
    <w:rsid w:val="00900D5A"/>
    <w:rsid w:val="00927810"/>
    <w:rsid w:val="00951114"/>
    <w:rsid w:val="00964226"/>
    <w:rsid w:val="0098668C"/>
    <w:rsid w:val="009C67DB"/>
    <w:rsid w:val="009F7C69"/>
    <w:rsid w:val="00A1036C"/>
    <w:rsid w:val="00A11DBE"/>
    <w:rsid w:val="00A12417"/>
    <w:rsid w:val="00A2743D"/>
    <w:rsid w:val="00A708A9"/>
    <w:rsid w:val="00A71FB1"/>
    <w:rsid w:val="00A75CF5"/>
    <w:rsid w:val="00A84D95"/>
    <w:rsid w:val="00AB4BA3"/>
    <w:rsid w:val="00AC5108"/>
    <w:rsid w:val="00AE6B1D"/>
    <w:rsid w:val="00AF0E85"/>
    <w:rsid w:val="00B072D8"/>
    <w:rsid w:val="00B11F7A"/>
    <w:rsid w:val="00B124B2"/>
    <w:rsid w:val="00B54B92"/>
    <w:rsid w:val="00B640BC"/>
    <w:rsid w:val="00B74313"/>
    <w:rsid w:val="00B93E18"/>
    <w:rsid w:val="00BB20CF"/>
    <w:rsid w:val="00BC6843"/>
    <w:rsid w:val="00BD1D29"/>
    <w:rsid w:val="00BF545A"/>
    <w:rsid w:val="00BF6A13"/>
    <w:rsid w:val="00C027CB"/>
    <w:rsid w:val="00C24C0F"/>
    <w:rsid w:val="00C35B47"/>
    <w:rsid w:val="00C428BF"/>
    <w:rsid w:val="00C46699"/>
    <w:rsid w:val="00C46C39"/>
    <w:rsid w:val="00C51E55"/>
    <w:rsid w:val="00C7198D"/>
    <w:rsid w:val="00C71B2B"/>
    <w:rsid w:val="00C94F38"/>
    <w:rsid w:val="00C97090"/>
    <w:rsid w:val="00CA7902"/>
    <w:rsid w:val="00CB6021"/>
    <w:rsid w:val="00CF46D9"/>
    <w:rsid w:val="00CF6BCE"/>
    <w:rsid w:val="00D14456"/>
    <w:rsid w:val="00D34D00"/>
    <w:rsid w:val="00D46BED"/>
    <w:rsid w:val="00D60B35"/>
    <w:rsid w:val="00D63546"/>
    <w:rsid w:val="00D74089"/>
    <w:rsid w:val="00D851E3"/>
    <w:rsid w:val="00D85E50"/>
    <w:rsid w:val="00D9250E"/>
    <w:rsid w:val="00D94895"/>
    <w:rsid w:val="00D95146"/>
    <w:rsid w:val="00DC2381"/>
    <w:rsid w:val="00DC451F"/>
    <w:rsid w:val="00DD72BC"/>
    <w:rsid w:val="00DF36E6"/>
    <w:rsid w:val="00DF5556"/>
    <w:rsid w:val="00E01F77"/>
    <w:rsid w:val="00E20936"/>
    <w:rsid w:val="00E257D4"/>
    <w:rsid w:val="00E30C2F"/>
    <w:rsid w:val="00E40A06"/>
    <w:rsid w:val="00E50656"/>
    <w:rsid w:val="00E57C2E"/>
    <w:rsid w:val="00E60920"/>
    <w:rsid w:val="00E654A9"/>
    <w:rsid w:val="00E70F87"/>
    <w:rsid w:val="00E75925"/>
    <w:rsid w:val="00E97F57"/>
    <w:rsid w:val="00F16122"/>
    <w:rsid w:val="00F2503B"/>
    <w:rsid w:val="00F33689"/>
    <w:rsid w:val="00F3593C"/>
    <w:rsid w:val="00F808F2"/>
    <w:rsid w:val="00F94030"/>
    <w:rsid w:val="00FC3D0E"/>
    <w:rsid w:val="00FE330B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73316-BFDD-4AF0-A1E7-AF550DFC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5F8"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15F8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5F8"/>
    <w:rPr>
      <w:rFonts w:ascii="Tahoma" w:hAnsi="Tahoma" w:cs="Tahoma"/>
      <w:sz w:val="16"/>
      <w:szCs w:val="16"/>
      <w:lang w:val="en-GB"/>
    </w:rPr>
  </w:style>
  <w:style w:type="paragraph" w:customStyle="1" w:styleId="Tlotextu">
    <w:name w:val="Tělo textu"/>
    <w:basedOn w:val="Normln"/>
    <w:qFormat/>
    <w:rsid w:val="00310813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NadpisSeznamuTucny">
    <w:name w:val="parNadpisSeznamuTucny"/>
    <w:basedOn w:val="Normln"/>
    <w:qFormat/>
    <w:rsid w:val="00310813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  <w:style w:type="paragraph" w:customStyle="1" w:styleId="Odst">
    <w:name w:val="Odst"/>
    <w:basedOn w:val="Normln"/>
    <w:rsid w:val="003D1A06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967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46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5440-673E-4A1A-BE09-0E4332B0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Vymetal</cp:lastModifiedBy>
  <cp:revision>9</cp:revision>
  <cp:lastPrinted>2020-01-06T10:54:00Z</cp:lastPrinted>
  <dcterms:created xsi:type="dcterms:W3CDTF">2021-01-04T12:31:00Z</dcterms:created>
  <dcterms:modified xsi:type="dcterms:W3CDTF">2021-01-04T12:46:00Z</dcterms:modified>
</cp:coreProperties>
</file>