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055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72FCF">
        <w:rPr>
          <w:rFonts w:ascii="Times New Roman" w:hAnsi="Times New Roman" w:cs="Times New Roman"/>
          <w:b/>
          <w:sz w:val="28"/>
          <w:szCs w:val="28"/>
        </w:rPr>
        <w:t>Příklady – opakování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Pomocí přístupu základního indikátoru vypočítejte kapitálový požadavek k operačnímu riziku Wüstenrot hypoteční banky:</w:t>
      </w:r>
    </w:p>
    <w:p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275"/>
        <w:gridCol w:w="1276"/>
        <w:gridCol w:w="1418"/>
      </w:tblGrid>
      <w:tr w:rsidR="00616C71" w:rsidTr="00616C71">
        <w:tc>
          <w:tcPr>
            <w:tcW w:w="4503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C71"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2552700" cy="2628900"/>
                  <wp:effectExtent l="19050" t="0" r="0" b="0"/>
                  <wp:docPr id="1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2628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784860" cy="2621280"/>
                  <wp:effectExtent l="19050" t="0" r="0" b="0"/>
                  <wp:docPr id="15" name="obráze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2621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541020" cy="2567940"/>
                  <wp:effectExtent l="19050" t="0" r="0" b="0"/>
                  <wp:docPr id="16" name="obráze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2567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</w:tcPr>
          <w:p w:rsidR="00616C71" w:rsidRDefault="00616C71" w:rsidP="00872F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cs-CZ"/>
              </w:rPr>
              <w:drawing>
                <wp:inline distT="0" distB="0" distL="0" distR="0">
                  <wp:extent cx="662940" cy="2583180"/>
                  <wp:effectExtent l="19050" t="0" r="3810" b="0"/>
                  <wp:docPr id="17" name="obráze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2583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16C71" w:rsidRDefault="00616C7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72FCF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72FC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F63DC" w:rsidRPr="00790653" w:rsidRDefault="00143CCA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 xml:space="preserve">Máte k dispozici aktiva a pasiva </w:t>
      </w:r>
      <w:r w:rsidR="00790653">
        <w:rPr>
          <w:rFonts w:ascii="Times New Roman" w:hAnsi="Times New Roman" w:cs="Times New Roman"/>
          <w:sz w:val="24"/>
          <w:szCs w:val="24"/>
        </w:rPr>
        <w:t>Modré pyramidy, stavební spořitelny</w:t>
      </w:r>
      <w:r w:rsidRPr="00790653">
        <w:rPr>
          <w:rFonts w:ascii="Times New Roman" w:hAnsi="Times New Roman" w:cs="Times New Roman"/>
          <w:sz w:val="24"/>
          <w:szCs w:val="24"/>
        </w:rPr>
        <w:t>. Vypočítejte následující ukazatele likvidity k 31. 12. 2016 a k 31. 12. 2017: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rychle likvidních aktiv na aktivech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úvěrů na aktivech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úvěrů na vkladech</w:t>
      </w:r>
    </w:p>
    <w:p w:rsidR="00CF63DC" w:rsidRPr="00790653" w:rsidRDefault="00143CCA" w:rsidP="00790653">
      <w:pPr>
        <w:numPr>
          <w:ilvl w:val="1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podíl čisté pozice na mezibankovním trhu na celkových aktivech</w:t>
      </w:r>
    </w:p>
    <w:p w:rsidR="00790653" w:rsidRDefault="00790653" w:rsidP="00790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0653">
        <w:rPr>
          <w:rFonts w:ascii="Times New Roman" w:hAnsi="Times New Roman" w:cs="Times New Roman"/>
          <w:sz w:val="24"/>
          <w:szCs w:val="24"/>
        </w:rPr>
        <w:t>Výsledné hodnoty ukazatelů komentujte v kontextu českého bankovního sektoru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0653" w:rsidRDefault="00790653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>
            <wp:extent cx="5760720" cy="4123348"/>
            <wp:effectExtent l="1905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2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653" w:rsidRDefault="00790653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4657720"/>
            <wp:effectExtent l="1905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65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:rsidR="008B20E1" w:rsidRPr="008B20E1" w:rsidRDefault="008B20E1" w:rsidP="008B20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Banka má následující strukturu aktiv a pasiv: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4680"/>
        <w:gridCol w:w="1080"/>
        <w:gridCol w:w="1440"/>
      </w:tblGrid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Druh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Úvěry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Depozita</w:t>
            </w:r>
          </w:p>
        </w:tc>
      </w:tr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Úročené fixní úrokovou sazbou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Úročené pohyblivou úrokovou sazbou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8B20E1" w:rsidRPr="008B20E1" w:rsidTr="008B20E1">
        <w:tc>
          <w:tcPr>
            <w:tcW w:w="46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108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40" w:type="dxa"/>
          </w:tcPr>
          <w:p w:rsidR="008B20E1" w:rsidRPr="008B20E1" w:rsidRDefault="008B20E1" w:rsidP="008B20E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20E1"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</w:p>
        </w:tc>
      </w:tr>
    </w:tbl>
    <w:p w:rsidR="008B20E1" w:rsidRDefault="008B20E1" w:rsidP="008B20E1">
      <w:pPr>
        <w:tabs>
          <w:tab w:val="num" w:pos="426"/>
          <w:tab w:val="num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E1" w:rsidRPr="008B20E1" w:rsidRDefault="008B20E1" w:rsidP="008B20E1">
      <w:pPr>
        <w:pStyle w:val="Odstavecseseznamem"/>
        <w:numPr>
          <w:ilvl w:val="0"/>
          <w:numId w:val="9"/>
        </w:numPr>
        <w:tabs>
          <w:tab w:val="num" w:pos="426"/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Vypočítejte likvidní a úrokový gap a komen</w:t>
      </w:r>
      <w:r w:rsidRPr="008B20E1">
        <w:rPr>
          <w:rFonts w:ascii="Times New Roman" w:hAnsi="Times New Roman" w:cs="Times New Roman"/>
          <w:sz w:val="24"/>
          <w:szCs w:val="24"/>
        </w:rPr>
        <w:t>tujte vypočtené hodnoty.</w:t>
      </w:r>
    </w:p>
    <w:p w:rsidR="008B20E1" w:rsidRPr="008B20E1" w:rsidRDefault="008B20E1" w:rsidP="008B20E1">
      <w:pPr>
        <w:pStyle w:val="Odstavecseseznamem"/>
        <w:numPr>
          <w:ilvl w:val="0"/>
          <w:numId w:val="9"/>
        </w:numPr>
        <w:tabs>
          <w:tab w:val="num" w:pos="426"/>
          <w:tab w:val="num" w:pos="108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>Banka se rozhodla likvidní gap řešit na mezibankovním trhu – jak? Jak může dosáhnout toho, aby touto operací zároveň vyřešila i úrokové riziko (tzn. aby úrokový gap byl</w:t>
      </w:r>
      <w:r w:rsidRPr="008B20E1">
        <w:rPr>
          <w:rFonts w:ascii="Times New Roman" w:hAnsi="Times New Roman" w:cs="Times New Roman"/>
          <w:sz w:val="24"/>
          <w:szCs w:val="24"/>
        </w:rPr>
        <w:t xml:space="preserve"> roven nule)?</w:t>
      </w:r>
    </w:p>
    <w:p w:rsidR="008B20E1" w:rsidRDefault="008B20E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E1" w:rsidRDefault="008B20E1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FCF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872FCF">
        <w:rPr>
          <w:rFonts w:ascii="Times New Roman" w:hAnsi="Times New Roman" w:cs="Times New Roman"/>
          <w:b/>
          <w:sz w:val="24"/>
          <w:szCs w:val="24"/>
        </w:rPr>
        <w:t>:</w:t>
      </w:r>
    </w:p>
    <w:p w:rsidR="008B20E1" w:rsidRPr="008B20E1" w:rsidRDefault="008B20E1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Banka má </w:t>
      </w:r>
      <w:r>
        <w:rPr>
          <w:rFonts w:ascii="Times New Roman" w:hAnsi="Times New Roman" w:cs="Times New Roman"/>
          <w:sz w:val="24"/>
          <w:szCs w:val="24"/>
        </w:rPr>
        <w:t>v daném časovém pásmu 6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00 mld. Kč úvěrů úročených pohyblivou sazbou a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00 mld. Kč depozit úročených pohyblivou sazbou. Jak se změní čistý úrokový výnos banky, když úrokové sazby </w:t>
      </w:r>
      <w:r>
        <w:rPr>
          <w:rFonts w:ascii="Times New Roman" w:hAnsi="Times New Roman" w:cs="Times New Roman"/>
          <w:sz w:val="24"/>
          <w:szCs w:val="24"/>
        </w:rPr>
        <w:t>klesnou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20E1">
        <w:rPr>
          <w:rFonts w:ascii="Times New Roman" w:eastAsia="Calibri" w:hAnsi="Times New Roman" w:cs="Times New Roman"/>
          <w:sz w:val="24"/>
          <w:szCs w:val="24"/>
        </w:rPr>
        <w:t xml:space="preserve"> procentní bod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8B20E1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72FCF" w:rsidRPr="00872FCF" w:rsidRDefault="00872FCF" w:rsidP="00872F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0E1" w:rsidRPr="00872FCF" w:rsidRDefault="008B20E1" w:rsidP="008B20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2FCF" w:rsidRPr="006B45D6" w:rsidRDefault="00872FCF" w:rsidP="006B45D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B45D6">
        <w:rPr>
          <w:rFonts w:ascii="Times New Roman" w:hAnsi="Times New Roman" w:cs="Times New Roman"/>
          <w:b/>
          <w:bCs/>
          <w:sz w:val="24"/>
          <w:szCs w:val="24"/>
        </w:rPr>
        <w:t>Příklad</w:t>
      </w:r>
      <w:r w:rsidR="006B45D6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6B45D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77A71" w:rsidRDefault="00077A71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Vypočítejte </w:t>
      </w:r>
      <w:proofErr w:type="spellStart"/>
      <w:r w:rsidRPr="00077A71">
        <w:rPr>
          <w:rFonts w:ascii="Times New Roman" w:eastAsia="Calibri" w:hAnsi="Times New Roman" w:cs="Times New Roman"/>
          <w:sz w:val="24"/>
          <w:szCs w:val="24"/>
        </w:rPr>
        <w:t>duraci</w:t>
      </w:r>
      <w:proofErr w:type="spellEnd"/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portfolia pasiv, skládá-li se z depozit na viděnou v celkové výši </w:t>
      </w:r>
      <w:r w:rsidR="00471BEC">
        <w:rPr>
          <w:rFonts w:ascii="Times New Roman" w:hAnsi="Times New Roman" w:cs="Times New Roman"/>
          <w:sz w:val="24"/>
          <w:szCs w:val="24"/>
        </w:rPr>
        <w:t>2</w:t>
      </w:r>
      <w:r w:rsidRPr="00077A71">
        <w:rPr>
          <w:rFonts w:ascii="Times New Roman" w:eastAsia="Calibri" w:hAnsi="Times New Roman" w:cs="Times New Roman"/>
          <w:sz w:val="24"/>
          <w:szCs w:val="24"/>
        </w:rPr>
        <w:t>00 mld. Kč s </w:t>
      </w:r>
      <w:proofErr w:type="spellStart"/>
      <w:r w:rsidRPr="00077A71">
        <w:rPr>
          <w:rFonts w:ascii="Times New Roman" w:eastAsia="Calibri" w:hAnsi="Times New Roman" w:cs="Times New Roman"/>
          <w:sz w:val="24"/>
          <w:szCs w:val="24"/>
        </w:rPr>
        <w:t>durací</w:t>
      </w:r>
      <w:proofErr w:type="spellEnd"/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79F3">
        <w:rPr>
          <w:rFonts w:ascii="Times New Roman" w:hAnsi="Times New Roman" w:cs="Times New Roman"/>
          <w:sz w:val="24"/>
          <w:szCs w:val="24"/>
        </w:rPr>
        <w:t>1</w:t>
      </w:r>
      <w:r w:rsidRPr="00077A71">
        <w:rPr>
          <w:rFonts w:ascii="Times New Roman" w:eastAsia="Calibri" w:hAnsi="Times New Roman" w:cs="Times New Roman"/>
          <w:sz w:val="24"/>
          <w:szCs w:val="24"/>
        </w:rPr>
        <w:t>,7 a z depozit termínovaných ve výši 260 ml. Kč s průměrnou dobou splatnost</w:t>
      </w:r>
      <w:r w:rsidR="00CD79F3">
        <w:rPr>
          <w:rFonts w:ascii="Times New Roman" w:hAnsi="Times New Roman" w:cs="Times New Roman"/>
          <w:sz w:val="24"/>
          <w:szCs w:val="24"/>
        </w:rPr>
        <w:t>í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1,8. Dále vypočítejte, jak se změní tržní hodnota kapitálu banky v důsledku </w:t>
      </w:r>
      <w:r w:rsidR="00CD79F3">
        <w:rPr>
          <w:rFonts w:ascii="Times New Roman" w:hAnsi="Times New Roman" w:cs="Times New Roman"/>
          <w:sz w:val="24"/>
          <w:szCs w:val="24"/>
        </w:rPr>
        <w:t>zvýš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ení úrokové sazby o </w:t>
      </w:r>
      <w:r w:rsidR="00CD79F3">
        <w:rPr>
          <w:rFonts w:ascii="Times New Roman" w:hAnsi="Times New Roman" w:cs="Times New Roman"/>
          <w:sz w:val="24"/>
          <w:szCs w:val="24"/>
        </w:rPr>
        <w:t>jeden</w:t>
      </w:r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procentní bod, je-li tržní hodnota aktiv 500 mld. Kč, tržní hodnota závazků banky 460 mld. Kč, kapitál banky 40 mld. Kč a </w:t>
      </w:r>
      <w:proofErr w:type="spellStart"/>
      <w:r w:rsidRPr="00077A71">
        <w:rPr>
          <w:rFonts w:ascii="Times New Roman" w:eastAsia="Calibri" w:hAnsi="Times New Roman" w:cs="Times New Roman"/>
          <w:sz w:val="24"/>
          <w:szCs w:val="24"/>
        </w:rPr>
        <w:t>durace</w:t>
      </w:r>
      <w:proofErr w:type="spellEnd"/>
      <w:r w:rsidRPr="00077A71">
        <w:rPr>
          <w:rFonts w:ascii="Times New Roman" w:eastAsia="Calibri" w:hAnsi="Times New Roman" w:cs="Times New Roman"/>
          <w:sz w:val="24"/>
          <w:szCs w:val="24"/>
        </w:rPr>
        <w:t xml:space="preserve"> aktiv je 5,1.</w:t>
      </w:r>
    </w:p>
    <w:p w:rsidR="006B45D6" w:rsidRDefault="006B45D6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CCA" w:rsidRPr="006B45D6" w:rsidRDefault="00143CCA" w:rsidP="006B45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3CCA" w:rsidRPr="006B45D6" w:rsidSect="00296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664EC"/>
    <w:multiLevelType w:val="hybridMultilevel"/>
    <w:tmpl w:val="FB0A72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35684"/>
    <w:multiLevelType w:val="hybridMultilevel"/>
    <w:tmpl w:val="AA9EFC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717B36"/>
    <w:multiLevelType w:val="hybridMultilevel"/>
    <w:tmpl w:val="4D0400BE"/>
    <w:lvl w:ilvl="0" w:tplc="76144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6F0CA3"/>
    <w:multiLevelType w:val="hybridMultilevel"/>
    <w:tmpl w:val="D3C0E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400E3"/>
    <w:multiLevelType w:val="hybridMultilevel"/>
    <w:tmpl w:val="7BF001D4"/>
    <w:lvl w:ilvl="0" w:tplc="714ABA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22C40"/>
    <w:multiLevelType w:val="hybridMultilevel"/>
    <w:tmpl w:val="8B7487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02035D"/>
    <w:multiLevelType w:val="hybridMultilevel"/>
    <w:tmpl w:val="6EFEA5AE"/>
    <w:lvl w:ilvl="0" w:tplc="B50CFF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249ECE">
      <w:start w:val="12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001F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01D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70CD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6E1C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0496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0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C86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0B30188"/>
    <w:multiLevelType w:val="hybridMultilevel"/>
    <w:tmpl w:val="F8E63B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BE4DC2"/>
    <w:multiLevelType w:val="hybridMultilevel"/>
    <w:tmpl w:val="C58E4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234E4"/>
    <w:multiLevelType w:val="hybridMultilevel"/>
    <w:tmpl w:val="29C6DE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F7A85"/>
    <w:multiLevelType w:val="hybridMultilevel"/>
    <w:tmpl w:val="113CA130"/>
    <w:lvl w:ilvl="0" w:tplc="D9F4DD4E">
      <w:start w:val="1"/>
      <w:numFmt w:val="low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76903469"/>
    <w:multiLevelType w:val="hybridMultilevel"/>
    <w:tmpl w:val="D4BCD4FC"/>
    <w:lvl w:ilvl="0" w:tplc="0405000F">
      <w:start w:val="1"/>
      <w:numFmt w:val="decimal"/>
      <w:lvlText w:val="%1."/>
      <w:lvlJc w:val="left"/>
      <w:pPr>
        <w:ind w:left="2880" w:hanging="360"/>
      </w:pPr>
    </w:lvl>
    <w:lvl w:ilvl="1" w:tplc="04050019" w:tentative="1">
      <w:start w:val="1"/>
      <w:numFmt w:val="lowerLetter"/>
      <w:lvlText w:val="%2."/>
      <w:lvlJc w:val="left"/>
      <w:pPr>
        <w:ind w:left="3600" w:hanging="360"/>
      </w:pPr>
    </w:lvl>
    <w:lvl w:ilvl="2" w:tplc="0405001B" w:tentative="1">
      <w:start w:val="1"/>
      <w:numFmt w:val="lowerRoman"/>
      <w:lvlText w:val="%3."/>
      <w:lvlJc w:val="right"/>
      <w:pPr>
        <w:ind w:left="4320" w:hanging="180"/>
      </w:pPr>
    </w:lvl>
    <w:lvl w:ilvl="3" w:tplc="0405000F" w:tentative="1">
      <w:start w:val="1"/>
      <w:numFmt w:val="decimal"/>
      <w:lvlText w:val="%4."/>
      <w:lvlJc w:val="left"/>
      <w:pPr>
        <w:ind w:left="5040" w:hanging="360"/>
      </w:pPr>
    </w:lvl>
    <w:lvl w:ilvl="4" w:tplc="04050019" w:tentative="1">
      <w:start w:val="1"/>
      <w:numFmt w:val="lowerLetter"/>
      <w:lvlText w:val="%5."/>
      <w:lvlJc w:val="left"/>
      <w:pPr>
        <w:ind w:left="5760" w:hanging="360"/>
      </w:pPr>
    </w:lvl>
    <w:lvl w:ilvl="5" w:tplc="0405001B" w:tentative="1">
      <w:start w:val="1"/>
      <w:numFmt w:val="lowerRoman"/>
      <w:lvlText w:val="%6."/>
      <w:lvlJc w:val="right"/>
      <w:pPr>
        <w:ind w:left="6480" w:hanging="180"/>
      </w:pPr>
    </w:lvl>
    <w:lvl w:ilvl="6" w:tplc="0405000F" w:tentative="1">
      <w:start w:val="1"/>
      <w:numFmt w:val="decimal"/>
      <w:lvlText w:val="%7."/>
      <w:lvlJc w:val="left"/>
      <w:pPr>
        <w:ind w:left="7200" w:hanging="360"/>
      </w:pPr>
    </w:lvl>
    <w:lvl w:ilvl="7" w:tplc="04050019" w:tentative="1">
      <w:start w:val="1"/>
      <w:numFmt w:val="lowerLetter"/>
      <w:lvlText w:val="%8."/>
      <w:lvlJc w:val="left"/>
      <w:pPr>
        <w:ind w:left="7920" w:hanging="360"/>
      </w:pPr>
    </w:lvl>
    <w:lvl w:ilvl="8" w:tplc="0405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1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FCF"/>
    <w:rsid w:val="000427D6"/>
    <w:rsid w:val="00077A71"/>
    <w:rsid w:val="00143CCA"/>
    <w:rsid w:val="00296055"/>
    <w:rsid w:val="003872FB"/>
    <w:rsid w:val="003C1C2C"/>
    <w:rsid w:val="003D694C"/>
    <w:rsid w:val="0041462B"/>
    <w:rsid w:val="004248C2"/>
    <w:rsid w:val="00431B72"/>
    <w:rsid w:val="0044152A"/>
    <w:rsid w:val="00471BEC"/>
    <w:rsid w:val="00616C71"/>
    <w:rsid w:val="00636FA1"/>
    <w:rsid w:val="006B45D6"/>
    <w:rsid w:val="00790653"/>
    <w:rsid w:val="00872FCF"/>
    <w:rsid w:val="00883C76"/>
    <w:rsid w:val="008B0966"/>
    <w:rsid w:val="008B20E1"/>
    <w:rsid w:val="00A11900"/>
    <w:rsid w:val="00A478F5"/>
    <w:rsid w:val="00CD79F3"/>
    <w:rsid w:val="00CE26B5"/>
    <w:rsid w:val="00CF63DC"/>
    <w:rsid w:val="00D95DC4"/>
    <w:rsid w:val="00DC4A3A"/>
    <w:rsid w:val="00E005DE"/>
    <w:rsid w:val="00E64A39"/>
    <w:rsid w:val="00E64BFB"/>
    <w:rsid w:val="00ED07C1"/>
    <w:rsid w:val="00FD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420F4-09C2-40B6-BAFB-FA285642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605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16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6C7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16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B20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7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391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33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1203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120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79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vodova</dc:creator>
  <cp:lastModifiedBy>Pavla Klepková Vodová</cp:lastModifiedBy>
  <cp:revision>3</cp:revision>
  <dcterms:created xsi:type="dcterms:W3CDTF">2020-10-30T21:52:00Z</dcterms:created>
  <dcterms:modified xsi:type="dcterms:W3CDTF">2020-10-30T21:53:00Z</dcterms:modified>
</cp:coreProperties>
</file>