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56D" w:rsidRDefault="00E7356D" w:rsidP="004527E7">
      <w:pPr>
        <w:pStyle w:val="parNadpisPrvkuZeleny"/>
      </w:pPr>
    </w:p>
    <w:p w:rsidR="00CF0E82" w:rsidRPr="004527E7" w:rsidRDefault="00CF0E82" w:rsidP="004527E7">
      <w:pPr>
        <w:pStyle w:val="parNadpisPrvkuZeleny"/>
      </w:pPr>
      <w:r w:rsidRPr="004527E7">
        <w:t>Řešená úloha</w:t>
      </w:r>
      <w:r w:rsidR="00EA1A66" w:rsidRPr="004527E7">
        <w:t>:  rok</w:t>
      </w:r>
      <w:r w:rsidRPr="004527E7">
        <w:t xml:space="preserve"> </w:t>
      </w:r>
      <w:r w:rsidR="00A57E88">
        <w:t>2021</w:t>
      </w:r>
    </w:p>
    <w:p w:rsidR="00CF0E82" w:rsidRDefault="002C044B" w:rsidP="00CF0E82">
      <w:pPr>
        <w:pStyle w:val="Textbody"/>
      </w:pPr>
      <w:r>
        <w:rPr>
          <w:noProof/>
        </w:rPr>
        <mc:AlternateContent>
          <mc:Choice Requires="wps">
            <w:drawing>
              <wp:anchor distT="0" distB="0" distL="114300" distR="114300" simplePos="0" relativeHeight="251660288" behindDoc="0" locked="0" layoutInCell="1" allowOverlap="1">
                <wp:simplePos x="0" y="0"/>
                <wp:positionH relativeFrom="page">
                  <wp:posOffset>7309485</wp:posOffset>
                </wp:positionH>
                <wp:positionV relativeFrom="page">
                  <wp:posOffset>7639685</wp:posOffset>
                </wp:positionV>
                <wp:extent cx="248920" cy="360045"/>
                <wp:effectExtent l="3810" t="635" r="4445" b="1270"/>
                <wp:wrapNone/>
                <wp:docPr id="1" name="Rámec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8A7" w:rsidRDefault="00D658A7" w:rsidP="00CF0E82">
                            <w:pPr>
                              <w:pStyle w:val="Framecontents"/>
                            </w:pPr>
                          </w:p>
                        </w:txbxContent>
                      </wps:txbx>
                      <wps:bodyPr rot="0" vert="horz" wrap="non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ámec171" o:spid="_x0000_s1026" type="#_x0000_t202" style="position:absolute;left:0;text-align:left;margin-left:575.55pt;margin-top:601.55pt;width:19.6pt;height:28.3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" filled="f" stroked="f">
                <v:textbox inset="0,0,0,0">
                  <w:txbxContent>
                    <w:p w:rsidR="00D658A7" w:rsidRDefault="00D658A7" w:rsidP="00CF0E82">
                      <w:pPr>
                        <w:pStyle w:val="Framecontents"/>
                      </w:pPr>
                    </w:p>
                  </w:txbxContent>
                </v:textbox>
                <w10:wrap anchorx="page" anchory="page"/>
              </v:shape>
            </w:pict>
          </mc:Fallback>
        </mc:AlternateContent>
      </w:r>
      <w:r w:rsidR="00CF0E82">
        <w:t xml:space="preserve">V této úloze si porovnejte výši zdanění v případě OSVČ a v případě zdanění společnosti s ručením </w:t>
      </w:r>
      <w:r w:rsidR="00D501AA">
        <w:t>omezeným s jedním</w:t>
      </w:r>
      <w:r w:rsidR="00CF0E82">
        <w:t xml:space="preserve"> společníkem, včetně zdanění podílů společníka na zisku.</w:t>
      </w:r>
    </w:p>
    <w:p w:rsidR="00CF0E82" w:rsidRDefault="00CF0E82" w:rsidP="00CF0E82">
      <w:pPr>
        <w:pStyle w:val="Textbody"/>
      </w:pPr>
      <w:r>
        <w:t>(Fyzická osoba založí společnost s r. o. s jedním společníkem a čistý zisk společnosti je vyplacen jako podíl na zisku společníkovi.)</w:t>
      </w:r>
    </w:p>
    <w:p w:rsidR="0099488A" w:rsidRDefault="00CF0E82" w:rsidP="00CF0E82">
      <w:pPr>
        <w:pStyle w:val="Textbody"/>
      </w:pPr>
      <w:r>
        <w:t xml:space="preserve">V obou variantách je </w:t>
      </w:r>
      <w:r w:rsidRPr="00D658A7">
        <w:rPr>
          <w:highlight w:val="yellow"/>
        </w:rPr>
        <w:t>dosaženo základu daně 800 000 Kč</w:t>
      </w:r>
      <w:r>
        <w:t>. U fyzické osoby - OSVČ jde o rozdíl mezi zdanitelnými příjmy a daňovými výdaji, u společnosti s. r. o. jde o transformovaný výsledek hospodaření na základ daně z příjmů.</w:t>
      </w:r>
      <w:r w:rsidR="00AF6FA3">
        <w:t xml:space="preserve"> </w:t>
      </w:r>
    </w:p>
    <w:p w:rsidR="00CF0E82" w:rsidRDefault="00AF6FA3" w:rsidP="00CF0E82">
      <w:pPr>
        <w:pStyle w:val="Textbody"/>
      </w:pPr>
      <w:r>
        <w:t xml:space="preserve">Má dvě děti a úroky z hypotečního úvěru na bydlení činí 46 000 Kč. Platí si penzijní připojištění ve výši </w:t>
      </w:r>
      <w:r w:rsidR="007601AE">
        <w:t xml:space="preserve">24 000 </w:t>
      </w:r>
      <w:r>
        <w:t>ročně a životní ve výš</w:t>
      </w:r>
      <w:r w:rsidR="00AD002C">
        <w:t>i</w:t>
      </w:r>
      <w:r>
        <w:t xml:space="preserve"> </w:t>
      </w:r>
      <w:r w:rsidR="007601AE">
        <w:t xml:space="preserve">12 000 </w:t>
      </w:r>
      <w:r>
        <w:t>ročně.</w:t>
      </w:r>
    </w:p>
    <w:p w:rsidR="00AF6FA3" w:rsidRDefault="00E7356D" w:rsidP="00CF0E82">
      <w:pPr>
        <w:pStyle w:val="Textbody"/>
      </w:pPr>
      <w:r>
        <w:rPr>
          <w:noProof/>
        </w:rPr>
        <mc:AlternateContent>
          <mc:Choice Requires="wpi">
            <w:drawing>
              <wp:anchor distT="0" distB="0" distL="114300" distR="114300" simplePos="0" relativeHeight="251661312" behindDoc="0" locked="0" layoutInCell="1" allowOverlap="1">
                <wp:simplePos x="0" y="0"/>
                <wp:positionH relativeFrom="column">
                  <wp:posOffset>4705968</wp:posOffset>
                </wp:positionH>
                <wp:positionV relativeFrom="paragraph">
                  <wp:posOffset>129494</wp:posOffset>
                </wp:positionV>
                <wp:extent cx="360" cy="360"/>
                <wp:effectExtent l="57150" t="57150" r="57150" b="57150"/>
                <wp:wrapNone/>
                <wp:docPr id="2" name="Rukopis 2"/>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348E87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2" o:spid="_x0000_s1026" type="#_x0000_t75" style="position:absolute;margin-left:369.6pt;margin-top:9.25pt;width:1.95pt;height: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">
                <v:imagedata r:id="rId6" o:title=""/>
              </v:shape>
            </w:pict>
          </mc:Fallback>
        </mc:AlternateContent>
      </w:r>
      <w:r w:rsidR="00AF6FA3">
        <w:t>Navrhněte optimální formu podnikání vzhledem k daňové optimalizaci.</w:t>
      </w:r>
    </w:p>
    <w:p w:rsidR="00E7356D" w:rsidRDefault="00E7356D" w:rsidP="00CF0E82">
      <w:pPr>
        <w:pStyle w:val="Textbody"/>
      </w:pPr>
    </w:p>
    <w:tbl>
      <w:tblPr>
        <w:tblW w:w="9071" w:type="dxa"/>
        <w:tblInd w:w="45" w:type="dxa"/>
        <w:tblLayout w:type="fixed"/>
        <w:tblCellMar>
          <w:left w:w="10" w:type="dxa"/>
          <w:right w:w="10" w:type="dxa"/>
        </w:tblCellMar>
        <w:tblLook w:val="0000" w:firstRow="0" w:lastRow="0" w:firstColumn="0" w:lastColumn="0" w:noHBand="0" w:noVBand="0"/>
      </w:tblPr>
      <w:tblGrid>
        <w:gridCol w:w="6683"/>
        <w:gridCol w:w="2388"/>
      </w:tblGrid>
      <w:tr w:rsidR="00CF0E82" w:rsidTr="00D658A7">
        <w:tc>
          <w:tcPr>
            <w:tcW w:w="66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F0E82" w:rsidRDefault="00CF0E82" w:rsidP="00D658A7">
            <w:pPr>
              <w:pStyle w:val="TableContents"/>
              <w:rPr>
                <w:b/>
                <w:bCs/>
              </w:rPr>
            </w:pPr>
            <w:r>
              <w:rPr>
                <w:b/>
                <w:bCs/>
              </w:rPr>
              <w:t>OSVČ</w:t>
            </w:r>
            <w:r w:rsidR="0099488A">
              <w:rPr>
                <w:b/>
                <w:bCs/>
              </w:rPr>
              <w:t xml:space="preserve"> </w:t>
            </w:r>
            <w:r w:rsidR="0099488A" w:rsidRPr="0099488A">
              <w:rPr>
                <w:b/>
                <w:bCs/>
                <w:color w:val="FF0000"/>
              </w:rPr>
              <w:t>bez uplatnění § 15 a slevy na děti</w:t>
            </w:r>
          </w:p>
        </w:tc>
        <w:tc>
          <w:tcPr>
            <w:tcW w:w="23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0E82" w:rsidRDefault="00CF0E82" w:rsidP="00D658A7">
            <w:pPr>
              <w:pStyle w:val="TableContents"/>
              <w:jc w:val="right"/>
              <w:rPr>
                <w:b/>
                <w:bCs/>
              </w:rPr>
            </w:pPr>
            <w:r>
              <w:rPr>
                <w:b/>
                <w:bCs/>
              </w:rPr>
              <w:t>Kč</w:t>
            </w:r>
          </w:p>
        </w:tc>
      </w:tr>
      <w:tr w:rsidR="00CF0E82" w:rsidTr="0099488A">
        <w:tc>
          <w:tcPr>
            <w:tcW w:w="6683" w:type="dxa"/>
            <w:tcBorders>
              <w:left w:val="single" w:sz="2" w:space="0" w:color="000000"/>
              <w:bottom w:val="single" w:sz="2" w:space="0" w:color="000000"/>
            </w:tcBorders>
            <w:shd w:val="clear" w:color="auto" w:fill="auto"/>
            <w:tcMar>
              <w:top w:w="55" w:type="dxa"/>
              <w:left w:w="55" w:type="dxa"/>
              <w:bottom w:w="55" w:type="dxa"/>
              <w:right w:w="55" w:type="dxa"/>
            </w:tcMar>
          </w:tcPr>
          <w:p w:rsidR="00CF0E82" w:rsidRDefault="00CF0E82" w:rsidP="00D658A7">
            <w:pPr>
              <w:pStyle w:val="TableContents"/>
            </w:pPr>
            <w:r>
              <w:t>Základ daně</w:t>
            </w:r>
          </w:p>
        </w:tc>
        <w:tc>
          <w:tcPr>
            <w:tcW w:w="23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0E82" w:rsidRDefault="00CF0E82" w:rsidP="00D658A7">
            <w:pPr>
              <w:pStyle w:val="TableContents"/>
              <w:jc w:val="right"/>
            </w:pPr>
            <w:r>
              <w:t>800 000</w:t>
            </w:r>
          </w:p>
        </w:tc>
      </w:tr>
      <w:tr w:rsidR="00CF0E82" w:rsidTr="0099488A">
        <w:tc>
          <w:tcPr>
            <w:tcW w:w="6683" w:type="dxa"/>
            <w:tcBorders>
              <w:top w:val="single" w:sz="2" w:space="0" w:color="000000"/>
              <w:left w:val="single" w:sz="2" w:space="0" w:color="000000"/>
              <w:bottom w:val="single" w:sz="2" w:space="0" w:color="000000"/>
            </w:tcBorders>
            <w:shd w:val="clear" w:color="auto" w:fill="FDE9D9" w:themeFill="accent6" w:themeFillTint="33"/>
            <w:tcMar>
              <w:top w:w="55" w:type="dxa"/>
              <w:left w:w="55" w:type="dxa"/>
              <w:bottom w:w="55" w:type="dxa"/>
              <w:right w:w="55" w:type="dxa"/>
            </w:tcMar>
          </w:tcPr>
          <w:p w:rsidR="00CF0E82" w:rsidRDefault="00CF0E82" w:rsidP="00D658A7">
            <w:pPr>
              <w:pStyle w:val="TableContents"/>
            </w:pPr>
            <w:r>
              <w:t>Sociální pojištění (29,2 % z VZ)</w:t>
            </w:r>
          </w:p>
        </w:tc>
        <w:tc>
          <w:tcPr>
            <w:tcW w:w="238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Mar>
              <w:top w:w="55" w:type="dxa"/>
              <w:left w:w="55" w:type="dxa"/>
              <w:bottom w:w="55" w:type="dxa"/>
              <w:right w:w="55" w:type="dxa"/>
            </w:tcMar>
          </w:tcPr>
          <w:p w:rsidR="00CF0E82" w:rsidRDefault="00CF0E82" w:rsidP="00D658A7">
            <w:pPr>
              <w:pStyle w:val="TableContents"/>
              <w:jc w:val="right"/>
            </w:pPr>
            <w:r>
              <w:t>116 800</w:t>
            </w:r>
          </w:p>
        </w:tc>
      </w:tr>
      <w:tr w:rsidR="00CF0E82" w:rsidTr="0099488A">
        <w:tc>
          <w:tcPr>
            <w:tcW w:w="6683" w:type="dxa"/>
            <w:tcBorders>
              <w:top w:val="single" w:sz="2" w:space="0" w:color="000000"/>
              <w:left w:val="single" w:sz="2" w:space="0" w:color="000000"/>
              <w:bottom w:val="single" w:sz="2" w:space="0" w:color="000000"/>
            </w:tcBorders>
            <w:shd w:val="clear" w:color="auto" w:fill="FDE9D9" w:themeFill="accent6" w:themeFillTint="33"/>
            <w:tcMar>
              <w:top w:w="55" w:type="dxa"/>
              <w:left w:w="55" w:type="dxa"/>
              <w:bottom w:w="55" w:type="dxa"/>
              <w:right w:w="55" w:type="dxa"/>
            </w:tcMar>
          </w:tcPr>
          <w:p w:rsidR="00CF0E82" w:rsidRDefault="00CF0E82" w:rsidP="00D658A7">
            <w:pPr>
              <w:pStyle w:val="TableContents"/>
            </w:pPr>
            <w:r>
              <w:t>Zdravotní pojištění (13,5 % z VZ)</w:t>
            </w:r>
          </w:p>
        </w:tc>
        <w:tc>
          <w:tcPr>
            <w:tcW w:w="238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Mar>
              <w:top w:w="55" w:type="dxa"/>
              <w:left w:w="55" w:type="dxa"/>
              <w:bottom w:w="55" w:type="dxa"/>
              <w:right w:w="55" w:type="dxa"/>
            </w:tcMar>
          </w:tcPr>
          <w:p w:rsidR="00CF0E82" w:rsidRDefault="00CF0E82" w:rsidP="00D658A7">
            <w:pPr>
              <w:pStyle w:val="TableContents"/>
              <w:jc w:val="right"/>
            </w:pPr>
            <w:r>
              <w:t>54 000</w:t>
            </w:r>
          </w:p>
        </w:tc>
      </w:tr>
      <w:tr w:rsidR="00CF0E82" w:rsidTr="00D658A7">
        <w:tc>
          <w:tcPr>
            <w:tcW w:w="6683" w:type="dxa"/>
            <w:tcBorders>
              <w:left w:val="single" w:sz="2" w:space="0" w:color="000000"/>
              <w:bottom w:val="single" w:sz="2" w:space="0" w:color="000000"/>
            </w:tcBorders>
            <w:shd w:val="clear" w:color="auto" w:fill="auto"/>
            <w:tcMar>
              <w:top w:w="55" w:type="dxa"/>
              <w:left w:w="55" w:type="dxa"/>
              <w:bottom w:w="55" w:type="dxa"/>
              <w:right w:w="55" w:type="dxa"/>
            </w:tcMar>
          </w:tcPr>
          <w:p w:rsidR="00CF0E82" w:rsidRDefault="00CF0E82" w:rsidP="00D658A7">
            <w:pPr>
              <w:pStyle w:val="TableContents"/>
            </w:pPr>
            <w:r>
              <w:t>Daň z příjmů FO (15 %)</w:t>
            </w:r>
          </w:p>
        </w:tc>
        <w:tc>
          <w:tcPr>
            <w:tcW w:w="23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0E82" w:rsidRDefault="00CF0E82" w:rsidP="00D658A7">
            <w:pPr>
              <w:pStyle w:val="TableContents"/>
              <w:jc w:val="right"/>
            </w:pPr>
            <w:r>
              <w:t>120 000</w:t>
            </w:r>
          </w:p>
        </w:tc>
      </w:tr>
      <w:tr w:rsidR="00CF0E82" w:rsidTr="00D658A7">
        <w:tc>
          <w:tcPr>
            <w:tcW w:w="6683" w:type="dxa"/>
            <w:tcBorders>
              <w:left w:val="single" w:sz="2" w:space="0" w:color="000000"/>
              <w:bottom w:val="single" w:sz="2" w:space="0" w:color="000000"/>
            </w:tcBorders>
            <w:shd w:val="clear" w:color="auto" w:fill="auto"/>
            <w:tcMar>
              <w:top w:w="55" w:type="dxa"/>
              <w:left w:w="55" w:type="dxa"/>
              <w:bottom w:w="55" w:type="dxa"/>
              <w:right w:w="55" w:type="dxa"/>
            </w:tcMar>
          </w:tcPr>
          <w:p w:rsidR="00CF0E82" w:rsidRDefault="00CF0E82" w:rsidP="004527E7">
            <w:pPr>
              <w:pStyle w:val="TableContents"/>
            </w:pPr>
            <w:r>
              <w:t xml:space="preserve">Sleva na poplatníka </w:t>
            </w:r>
          </w:p>
        </w:tc>
        <w:tc>
          <w:tcPr>
            <w:tcW w:w="23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0E82" w:rsidRDefault="0099488A" w:rsidP="00A57E88">
            <w:pPr>
              <w:pStyle w:val="TableContents"/>
              <w:jc w:val="right"/>
            </w:pPr>
            <w:r>
              <w:t>2</w:t>
            </w:r>
            <w:r w:rsidR="00A57E88">
              <w:t>7</w:t>
            </w:r>
            <w:r>
              <w:t xml:space="preserve"> 840</w:t>
            </w:r>
          </w:p>
        </w:tc>
      </w:tr>
      <w:tr w:rsidR="00CF0E82" w:rsidTr="0099488A">
        <w:tc>
          <w:tcPr>
            <w:tcW w:w="6683" w:type="dxa"/>
            <w:tcBorders>
              <w:left w:val="single" w:sz="2" w:space="0" w:color="000000"/>
              <w:bottom w:val="single" w:sz="2" w:space="0" w:color="000000"/>
            </w:tcBorders>
            <w:shd w:val="clear" w:color="auto" w:fill="FDE9D9" w:themeFill="accent6" w:themeFillTint="33"/>
            <w:tcMar>
              <w:top w:w="55" w:type="dxa"/>
              <w:left w:w="55" w:type="dxa"/>
              <w:bottom w:w="55" w:type="dxa"/>
              <w:right w:w="55" w:type="dxa"/>
            </w:tcMar>
          </w:tcPr>
          <w:p w:rsidR="00CF0E82" w:rsidRDefault="00CF0E82" w:rsidP="00D658A7">
            <w:pPr>
              <w:pStyle w:val="TableContents"/>
            </w:pPr>
            <w:r>
              <w:t>Konečná daň</w:t>
            </w:r>
          </w:p>
        </w:tc>
        <w:tc>
          <w:tcPr>
            <w:tcW w:w="2388" w:type="dxa"/>
            <w:tcBorders>
              <w:left w:val="single" w:sz="2" w:space="0" w:color="000000"/>
              <w:bottom w:val="single" w:sz="2" w:space="0" w:color="000000"/>
              <w:right w:val="single" w:sz="2" w:space="0" w:color="000000"/>
            </w:tcBorders>
            <w:shd w:val="clear" w:color="auto" w:fill="FDE9D9" w:themeFill="accent6" w:themeFillTint="33"/>
            <w:tcMar>
              <w:top w:w="55" w:type="dxa"/>
              <w:left w:w="55" w:type="dxa"/>
              <w:bottom w:w="55" w:type="dxa"/>
              <w:right w:w="55" w:type="dxa"/>
            </w:tcMar>
          </w:tcPr>
          <w:p w:rsidR="00CF0E82" w:rsidRDefault="0099488A" w:rsidP="00A57E88">
            <w:pPr>
              <w:pStyle w:val="TableContents"/>
              <w:jc w:val="right"/>
            </w:pPr>
            <w:r>
              <w:t>9</w:t>
            </w:r>
            <w:r w:rsidR="00A57E88">
              <w:t>2</w:t>
            </w:r>
            <w:r>
              <w:t xml:space="preserve"> 160</w:t>
            </w:r>
          </w:p>
        </w:tc>
      </w:tr>
      <w:tr w:rsidR="00CF0E82" w:rsidRPr="0099488A" w:rsidTr="00D658A7">
        <w:tc>
          <w:tcPr>
            <w:tcW w:w="6683" w:type="dxa"/>
            <w:tcBorders>
              <w:left w:val="single" w:sz="2" w:space="0" w:color="000000"/>
              <w:bottom w:val="single" w:sz="2" w:space="0" w:color="000000"/>
            </w:tcBorders>
            <w:shd w:val="clear" w:color="auto" w:fill="auto"/>
            <w:tcMar>
              <w:top w:w="55" w:type="dxa"/>
              <w:left w:w="55" w:type="dxa"/>
              <w:bottom w:w="55" w:type="dxa"/>
              <w:right w:w="55" w:type="dxa"/>
            </w:tcMar>
          </w:tcPr>
          <w:p w:rsidR="00CF0E82" w:rsidRDefault="00CF0E82" w:rsidP="00D658A7">
            <w:pPr>
              <w:pStyle w:val="TableContents"/>
              <w:rPr>
                <w:b/>
                <w:bCs/>
                <w:i/>
                <w:iCs/>
              </w:rPr>
            </w:pPr>
            <w:r>
              <w:rPr>
                <w:b/>
                <w:bCs/>
                <w:i/>
                <w:iCs/>
              </w:rPr>
              <w:t>Disponibilní zisk OSVČ</w:t>
            </w:r>
          </w:p>
        </w:tc>
        <w:tc>
          <w:tcPr>
            <w:tcW w:w="23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0E82" w:rsidRPr="0099488A" w:rsidRDefault="00CF0E82" w:rsidP="00A57E88">
            <w:pPr>
              <w:pStyle w:val="TableContents"/>
              <w:jc w:val="right"/>
              <w:rPr>
                <w:b/>
                <w:bCs/>
                <w:iCs/>
              </w:rPr>
            </w:pPr>
            <w:r w:rsidRPr="0099488A">
              <w:rPr>
                <w:b/>
                <w:bCs/>
                <w:iCs/>
                <w:highlight w:val="yellow"/>
              </w:rPr>
              <w:t>53</w:t>
            </w:r>
            <w:r w:rsidR="00A57E88">
              <w:rPr>
                <w:b/>
                <w:bCs/>
                <w:iCs/>
                <w:highlight w:val="yellow"/>
              </w:rPr>
              <w:t>7</w:t>
            </w:r>
            <w:r w:rsidRPr="0099488A">
              <w:rPr>
                <w:b/>
                <w:bCs/>
                <w:iCs/>
                <w:highlight w:val="yellow"/>
              </w:rPr>
              <w:t xml:space="preserve"> </w:t>
            </w:r>
            <w:r w:rsidR="0099488A" w:rsidRPr="0099488A">
              <w:rPr>
                <w:b/>
                <w:bCs/>
                <w:iCs/>
                <w:highlight w:val="yellow"/>
              </w:rPr>
              <w:t>0</w:t>
            </w:r>
            <w:r w:rsidRPr="0099488A">
              <w:rPr>
                <w:b/>
                <w:bCs/>
                <w:iCs/>
                <w:highlight w:val="yellow"/>
              </w:rPr>
              <w:t>40</w:t>
            </w:r>
          </w:p>
        </w:tc>
      </w:tr>
    </w:tbl>
    <w:p w:rsidR="00CF0E82" w:rsidRDefault="00CF0E82" w:rsidP="00CF0E82">
      <w:pPr>
        <w:pStyle w:val="Textbody"/>
      </w:pPr>
      <w:r>
        <w:t>Poznámka:</w:t>
      </w:r>
    </w:p>
    <w:p w:rsidR="00CF0E82" w:rsidRDefault="00CF0E82" w:rsidP="00CF0E82">
      <w:pPr>
        <w:pStyle w:val="Textbody"/>
        <w:spacing w:before="28" w:after="28"/>
        <w:rPr>
          <w:i/>
          <w:iCs/>
        </w:rPr>
      </w:pPr>
      <w:r>
        <w:rPr>
          <w:i/>
          <w:iCs/>
        </w:rPr>
        <w:t>V případě OSVČ lze uplatnit mimo výše uvedený výpočet i další zvýhodnění. Jedná se o výhody související:</w:t>
      </w:r>
    </w:p>
    <w:p w:rsidR="00CF0E82" w:rsidRDefault="00CF0E82" w:rsidP="00CF0E82">
      <w:pPr>
        <w:pStyle w:val="parOdrazky01"/>
        <w:numPr>
          <w:ilvl w:val="0"/>
          <w:numId w:val="2"/>
        </w:numPr>
        <w:rPr>
          <w:i/>
          <w:iCs/>
        </w:rPr>
      </w:pPr>
      <w:r>
        <w:rPr>
          <w:i/>
          <w:iCs/>
        </w:rPr>
        <w:t>s § 15 ZDP (tj. odpočet úhrad na životní pojištění, penzijní připojištění, úroků z úvěru na bydlení atd.),</w:t>
      </w:r>
    </w:p>
    <w:p w:rsidR="00CF0E82" w:rsidRDefault="00CF0E82" w:rsidP="00CF0E82">
      <w:pPr>
        <w:pStyle w:val="parOdrazky01"/>
        <w:rPr>
          <w:i/>
          <w:iCs/>
        </w:rPr>
      </w:pPr>
      <w:r>
        <w:rPr>
          <w:i/>
          <w:iCs/>
        </w:rPr>
        <w:t>s možností uplatnění slev na dani a daňového zvýhodnění na dítě dle § 35ba a § 35c).</w:t>
      </w:r>
    </w:p>
    <w:p w:rsidR="00CF0E82" w:rsidRDefault="00CF0E82" w:rsidP="00CF0E82">
      <w:pPr>
        <w:pStyle w:val="Textbody"/>
        <w:rPr>
          <w:i/>
          <w:iCs/>
        </w:rPr>
      </w:pPr>
      <w:r>
        <w:rPr>
          <w:i/>
          <w:iCs/>
        </w:rPr>
        <w:t>VZ - vyměřovací základ</w:t>
      </w:r>
    </w:p>
    <w:p w:rsidR="00CF0E82" w:rsidRDefault="00CF0E82" w:rsidP="00CF0E82">
      <w:pPr>
        <w:pStyle w:val="Textbody"/>
        <w:rPr>
          <w:i/>
          <w:iCs/>
        </w:rPr>
      </w:pPr>
    </w:p>
    <w:p w:rsidR="00B45322" w:rsidRDefault="00B45322" w:rsidP="00CF0E82">
      <w:pPr>
        <w:pStyle w:val="Textbody"/>
        <w:rPr>
          <w:i/>
          <w:iCs/>
        </w:rPr>
      </w:pPr>
    </w:p>
    <w:p w:rsidR="00B45322" w:rsidRDefault="00B45322" w:rsidP="00CF0E82">
      <w:pPr>
        <w:pStyle w:val="Textbody"/>
        <w:rPr>
          <w:i/>
          <w:iCs/>
        </w:rPr>
      </w:pPr>
    </w:p>
    <w:p w:rsidR="00B45322" w:rsidRDefault="00B45322" w:rsidP="00CF0E82">
      <w:pPr>
        <w:pStyle w:val="Textbody"/>
        <w:rPr>
          <w:i/>
          <w:iCs/>
        </w:rPr>
      </w:pPr>
    </w:p>
    <w:p w:rsidR="00B45322" w:rsidRDefault="00B45322" w:rsidP="00CF0E82">
      <w:pPr>
        <w:pStyle w:val="Textbody"/>
        <w:rPr>
          <w:i/>
          <w:iCs/>
        </w:rPr>
      </w:pPr>
    </w:p>
    <w:p w:rsidR="00B45322" w:rsidRDefault="00B45322" w:rsidP="00CF0E82">
      <w:pPr>
        <w:pStyle w:val="Textbody"/>
        <w:rPr>
          <w:i/>
          <w:iCs/>
        </w:rPr>
      </w:pPr>
    </w:p>
    <w:p w:rsidR="00B45322" w:rsidRDefault="00B45322" w:rsidP="00CF0E82">
      <w:pPr>
        <w:pStyle w:val="Textbody"/>
        <w:rPr>
          <w:i/>
          <w:iCs/>
        </w:rPr>
      </w:pPr>
    </w:p>
    <w:p w:rsidR="00B45322" w:rsidRDefault="00B45322" w:rsidP="00CF0E82">
      <w:pPr>
        <w:pStyle w:val="Textbody"/>
        <w:rPr>
          <w:i/>
          <w:iCs/>
        </w:rPr>
      </w:pPr>
    </w:p>
    <w:p w:rsidR="00B45322" w:rsidRDefault="00B45322" w:rsidP="00CF0E82">
      <w:pPr>
        <w:pStyle w:val="Textbody"/>
        <w:rPr>
          <w:i/>
          <w:iCs/>
        </w:rPr>
      </w:pPr>
    </w:p>
    <w:p w:rsidR="00B45322" w:rsidRDefault="00B45322" w:rsidP="00CF0E82">
      <w:pPr>
        <w:pStyle w:val="Textbody"/>
        <w:rPr>
          <w:i/>
          <w:iCs/>
        </w:rPr>
      </w:pPr>
    </w:p>
    <w:p w:rsidR="00B45322" w:rsidRDefault="00B45322" w:rsidP="00CF0E82">
      <w:pPr>
        <w:pStyle w:val="Textbody"/>
        <w:rPr>
          <w:i/>
          <w:iCs/>
        </w:rPr>
      </w:pPr>
      <w:bookmarkStart w:id="0" w:name="_GoBack"/>
      <w:bookmarkEnd w:id="0"/>
    </w:p>
    <w:p w:rsidR="00E107B2" w:rsidRPr="009B4213" w:rsidRDefault="00E107B2" w:rsidP="00CF0E82">
      <w:pPr>
        <w:pStyle w:val="Textbody"/>
        <w:rPr>
          <w:b/>
          <w:i/>
          <w:iCs/>
        </w:rPr>
      </w:pPr>
      <w:r w:rsidRPr="009B4213">
        <w:rPr>
          <w:b/>
          <w:i/>
          <w:iCs/>
        </w:rPr>
        <w:lastRenderedPageBreak/>
        <w:t>Varianta s uplatněním § 15 a slevy na</w:t>
      </w:r>
      <w:r w:rsidR="007877DA">
        <w:rPr>
          <w:b/>
          <w:i/>
          <w:iCs/>
        </w:rPr>
        <w:t xml:space="preserve"> 2</w:t>
      </w:r>
      <w:r w:rsidRPr="009B4213">
        <w:rPr>
          <w:b/>
          <w:i/>
          <w:iCs/>
        </w:rPr>
        <w:t xml:space="preserve"> dě</w:t>
      </w:r>
      <w:r w:rsidR="007877DA">
        <w:rPr>
          <w:b/>
          <w:i/>
          <w:iCs/>
        </w:rPr>
        <w:t>ti</w:t>
      </w:r>
    </w:p>
    <w:tbl>
      <w:tblPr>
        <w:tblW w:w="9071" w:type="dxa"/>
        <w:tblInd w:w="45" w:type="dxa"/>
        <w:tblLayout w:type="fixed"/>
        <w:tblCellMar>
          <w:left w:w="10" w:type="dxa"/>
          <w:right w:w="10" w:type="dxa"/>
        </w:tblCellMar>
        <w:tblLook w:val="0000" w:firstRow="0" w:lastRow="0" w:firstColumn="0" w:lastColumn="0" w:noHBand="0" w:noVBand="0"/>
      </w:tblPr>
      <w:tblGrid>
        <w:gridCol w:w="6683"/>
        <w:gridCol w:w="2388"/>
      </w:tblGrid>
      <w:tr w:rsidR="00E107B2" w:rsidTr="00D658A7">
        <w:tc>
          <w:tcPr>
            <w:tcW w:w="66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107B2" w:rsidRDefault="00E107B2" w:rsidP="00D658A7">
            <w:pPr>
              <w:pStyle w:val="TableContents"/>
              <w:rPr>
                <w:b/>
                <w:bCs/>
              </w:rPr>
            </w:pPr>
            <w:r>
              <w:rPr>
                <w:b/>
                <w:bCs/>
              </w:rPr>
              <w:t>OSVČ</w:t>
            </w:r>
          </w:p>
        </w:tc>
        <w:tc>
          <w:tcPr>
            <w:tcW w:w="23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07B2" w:rsidRDefault="00E107B2" w:rsidP="00D658A7">
            <w:pPr>
              <w:pStyle w:val="TableContents"/>
              <w:jc w:val="right"/>
              <w:rPr>
                <w:b/>
                <w:bCs/>
              </w:rPr>
            </w:pPr>
            <w:r>
              <w:rPr>
                <w:b/>
                <w:bCs/>
              </w:rPr>
              <w:t>Kč</w:t>
            </w:r>
          </w:p>
        </w:tc>
      </w:tr>
      <w:tr w:rsidR="00E107B2" w:rsidTr="00E107B2">
        <w:tc>
          <w:tcPr>
            <w:tcW w:w="6683" w:type="dxa"/>
            <w:tcBorders>
              <w:left w:val="single" w:sz="2" w:space="0" w:color="000000"/>
              <w:bottom w:val="single" w:sz="2" w:space="0" w:color="000000"/>
            </w:tcBorders>
            <w:shd w:val="clear" w:color="auto" w:fill="auto"/>
            <w:tcMar>
              <w:top w:w="55" w:type="dxa"/>
              <w:left w:w="55" w:type="dxa"/>
              <w:bottom w:w="55" w:type="dxa"/>
              <w:right w:w="55" w:type="dxa"/>
            </w:tcMar>
          </w:tcPr>
          <w:p w:rsidR="00E107B2" w:rsidRDefault="00E107B2" w:rsidP="00D658A7">
            <w:pPr>
              <w:pStyle w:val="TableContents"/>
            </w:pPr>
            <w:r>
              <w:t>Základ daně</w:t>
            </w:r>
          </w:p>
        </w:tc>
        <w:tc>
          <w:tcPr>
            <w:tcW w:w="23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07B2" w:rsidRDefault="00E107B2" w:rsidP="00D658A7">
            <w:pPr>
              <w:pStyle w:val="TableContents"/>
              <w:jc w:val="right"/>
            </w:pPr>
            <w:r>
              <w:t>800 000</w:t>
            </w:r>
          </w:p>
        </w:tc>
      </w:tr>
      <w:tr w:rsidR="00E107B2" w:rsidTr="0099488A">
        <w:tc>
          <w:tcPr>
            <w:tcW w:w="6683" w:type="dxa"/>
            <w:tcBorders>
              <w:top w:val="single" w:sz="2" w:space="0" w:color="000000"/>
              <w:left w:val="single" w:sz="2" w:space="0" w:color="000000"/>
              <w:bottom w:val="single" w:sz="2" w:space="0" w:color="000000"/>
            </w:tcBorders>
            <w:shd w:val="clear" w:color="auto" w:fill="FDE9D9" w:themeFill="accent6" w:themeFillTint="33"/>
            <w:tcMar>
              <w:top w:w="55" w:type="dxa"/>
              <w:left w:w="55" w:type="dxa"/>
              <w:bottom w:w="55" w:type="dxa"/>
              <w:right w:w="55" w:type="dxa"/>
            </w:tcMar>
          </w:tcPr>
          <w:p w:rsidR="00E107B2" w:rsidRPr="00E107B2" w:rsidRDefault="00E107B2" w:rsidP="00D658A7">
            <w:pPr>
              <w:pStyle w:val="TableContents"/>
            </w:pPr>
            <w:r w:rsidRPr="00E107B2">
              <w:t>Sociální pojištění (29,2 % z VZ)</w:t>
            </w:r>
          </w:p>
        </w:tc>
        <w:tc>
          <w:tcPr>
            <w:tcW w:w="238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Mar>
              <w:top w:w="55" w:type="dxa"/>
              <w:left w:w="55" w:type="dxa"/>
              <w:bottom w:w="55" w:type="dxa"/>
              <w:right w:w="55" w:type="dxa"/>
            </w:tcMar>
          </w:tcPr>
          <w:p w:rsidR="00E107B2" w:rsidRPr="00E107B2" w:rsidRDefault="00E107B2" w:rsidP="00D658A7">
            <w:pPr>
              <w:pStyle w:val="TableContents"/>
              <w:jc w:val="right"/>
            </w:pPr>
            <w:r w:rsidRPr="00E107B2">
              <w:t>116 800</w:t>
            </w:r>
          </w:p>
        </w:tc>
      </w:tr>
      <w:tr w:rsidR="00E107B2" w:rsidTr="0099488A">
        <w:tc>
          <w:tcPr>
            <w:tcW w:w="6683" w:type="dxa"/>
            <w:tcBorders>
              <w:top w:val="single" w:sz="2" w:space="0" w:color="000000"/>
              <w:left w:val="single" w:sz="2" w:space="0" w:color="000000"/>
              <w:bottom w:val="single" w:sz="2" w:space="0" w:color="000000"/>
            </w:tcBorders>
            <w:shd w:val="clear" w:color="auto" w:fill="FDE9D9" w:themeFill="accent6" w:themeFillTint="33"/>
            <w:tcMar>
              <w:top w:w="55" w:type="dxa"/>
              <w:left w:w="55" w:type="dxa"/>
              <w:bottom w:w="55" w:type="dxa"/>
              <w:right w:w="55" w:type="dxa"/>
            </w:tcMar>
          </w:tcPr>
          <w:p w:rsidR="00E107B2" w:rsidRPr="00E107B2" w:rsidRDefault="00E107B2" w:rsidP="00D658A7">
            <w:pPr>
              <w:pStyle w:val="TableContents"/>
            </w:pPr>
            <w:r w:rsidRPr="00E107B2">
              <w:t>Zdravotní pojištění (13,5 % z VZ)</w:t>
            </w:r>
          </w:p>
        </w:tc>
        <w:tc>
          <w:tcPr>
            <w:tcW w:w="2388"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Mar>
              <w:top w:w="55" w:type="dxa"/>
              <w:left w:w="55" w:type="dxa"/>
              <w:bottom w:w="55" w:type="dxa"/>
              <w:right w:w="55" w:type="dxa"/>
            </w:tcMar>
          </w:tcPr>
          <w:p w:rsidR="00E107B2" w:rsidRPr="00E107B2" w:rsidRDefault="00E107B2" w:rsidP="00D658A7">
            <w:pPr>
              <w:pStyle w:val="TableContents"/>
              <w:jc w:val="right"/>
            </w:pPr>
            <w:r w:rsidRPr="00E107B2">
              <w:t>54 000</w:t>
            </w:r>
          </w:p>
        </w:tc>
      </w:tr>
      <w:tr w:rsidR="00E107B2" w:rsidTr="00D658A7">
        <w:tc>
          <w:tcPr>
            <w:tcW w:w="66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E107B2" w:rsidRDefault="00E107B2" w:rsidP="007877DA">
            <w:pPr>
              <w:pStyle w:val="TableContents"/>
              <w:rPr>
                <w:b/>
                <w:bCs/>
              </w:rPr>
            </w:pPr>
            <w:r>
              <w:rPr>
                <w:b/>
                <w:bCs/>
              </w:rPr>
              <w:t xml:space="preserve">Dle § 15 </w:t>
            </w:r>
          </w:p>
        </w:tc>
        <w:tc>
          <w:tcPr>
            <w:tcW w:w="23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07B2" w:rsidRPr="00E107B2" w:rsidRDefault="00E107B2" w:rsidP="00D658A7">
            <w:pPr>
              <w:pStyle w:val="TableContents"/>
              <w:jc w:val="right"/>
              <w:rPr>
                <w:bCs/>
              </w:rPr>
            </w:pPr>
          </w:p>
        </w:tc>
      </w:tr>
      <w:tr w:rsidR="007877DA" w:rsidTr="00D658A7">
        <w:tc>
          <w:tcPr>
            <w:tcW w:w="66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877DA" w:rsidRDefault="007877DA" w:rsidP="00D658A7">
            <w:pPr>
              <w:pStyle w:val="TableContents"/>
              <w:rPr>
                <w:b/>
                <w:bCs/>
              </w:rPr>
            </w:pPr>
            <w:r w:rsidRPr="00E7356D">
              <w:rPr>
                <w:bCs/>
              </w:rPr>
              <w:t>úroky</w:t>
            </w:r>
            <w:r>
              <w:rPr>
                <w:b/>
                <w:bCs/>
              </w:rPr>
              <w:t xml:space="preserve"> </w:t>
            </w:r>
            <w:r w:rsidRPr="00E107B2">
              <w:rPr>
                <w:bCs/>
              </w:rPr>
              <w:t>z</w:t>
            </w:r>
            <w:r>
              <w:rPr>
                <w:bCs/>
              </w:rPr>
              <w:t> </w:t>
            </w:r>
            <w:r w:rsidRPr="00E107B2">
              <w:rPr>
                <w:bCs/>
              </w:rPr>
              <w:t>hypoték</w:t>
            </w:r>
            <w:r>
              <w:rPr>
                <w:bCs/>
              </w:rPr>
              <w:t>y (ve výši 46 000)</w:t>
            </w:r>
          </w:p>
        </w:tc>
        <w:tc>
          <w:tcPr>
            <w:tcW w:w="23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877DA" w:rsidRPr="00E107B2" w:rsidRDefault="007877DA" w:rsidP="00D658A7">
            <w:pPr>
              <w:pStyle w:val="TableContents"/>
              <w:jc w:val="right"/>
              <w:rPr>
                <w:bCs/>
              </w:rPr>
            </w:pPr>
            <w:r w:rsidRPr="00E107B2">
              <w:rPr>
                <w:bCs/>
              </w:rPr>
              <w:t>46 000</w:t>
            </w:r>
          </w:p>
        </w:tc>
      </w:tr>
      <w:tr w:rsidR="00E107B2" w:rsidTr="00D658A7">
        <w:tc>
          <w:tcPr>
            <w:tcW w:w="6683" w:type="dxa"/>
            <w:tcBorders>
              <w:left w:val="single" w:sz="2" w:space="0" w:color="000000"/>
              <w:bottom w:val="single" w:sz="2" w:space="0" w:color="000000"/>
            </w:tcBorders>
            <w:shd w:val="clear" w:color="auto" w:fill="auto"/>
            <w:tcMar>
              <w:top w:w="55" w:type="dxa"/>
              <w:left w:w="55" w:type="dxa"/>
              <w:bottom w:w="55" w:type="dxa"/>
              <w:right w:w="55" w:type="dxa"/>
            </w:tcMar>
          </w:tcPr>
          <w:p w:rsidR="00E107B2" w:rsidRDefault="00E107B2" w:rsidP="004527E7">
            <w:pPr>
              <w:pStyle w:val="TableContents"/>
              <w:jc w:val="left"/>
            </w:pPr>
            <w:r>
              <w:t>Životní pojištění</w:t>
            </w:r>
            <w:r w:rsidR="004527E7">
              <w:t xml:space="preserve"> (za daný rok zaplaceno 12 000)</w:t>
            </w:r>
          </w:p>
        </w:tc>
        <w:tc>
          <w:tcPr>
            <w:tcW w:w="23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07B2" w:rsidRDefault="00E107B2" w:rsidP="00D658A7">
            <w:pPr>
              <w:pStyle w:val="TableContents"/>
              <w:jc w:val="right"/>
            </w:pPr>
            <w:r>
              <w:t>12 000</w:t>
            </w:r>
          </w:p>
        </w:tc>
      </w:tr>
      <w:tr w:rsidR="00E107B2" w:rsidTr="00D658A7">
        <w:tc>
          <w:tcPr>
            <w:tcW w:w="6683" w:type="dxa"/>
            <w:tcBorders>
              <w:left w:val="single" w:sz="2" w:space="0" w:color="000000"/>
              <w:bottom w:val="single" w:sz="2" w:space="0" w:color="000000"/>
            </w:tcBorders>
            <w:shd w:val="clear" w:color="auto" w:fill="auto"/>
            <w:tcMar>
              <w:top w:w="55" w:type="dxa"/>
              <w:left w:w="55" w:type="dxa"/>
              <w:bottom w:w="55" w:type="dxa"/>
              <w:right w:w="55" w:type="dxa"/>
            </w:tcMar>
          </w:tcPr>
          <w:p w:rsidR="00E107B2" w:rsidRDefault="00E107B2" w:rsidP="00D658A7">
            <w:pPr>
              <w:pStyle w:val="TableContents"/>
            </w:pPr>
            <w:r>
              <w:t>Penzijní připojištění</w:t>
            </w:r>
            <w:r w:rsidR="004527E7">
              <w:t xml:space="preserve"> (za daný rok zaplaceno 24 000)</w:t>
            </w:r>
          </w:p>
        </w:tc>
        <w:tc>
          <w:tcPr>
            <w:tcW w:w="23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07B2" w:rsidRDefault="00E107B2" w:rsidP="00D658A7">
            <w:pPr>
              <w:pStyle w:val="TableContents"/>
              <w:jc w:val="right"/>
            </w:pPr>
            <w:r>
              <w:t>12 000</w:t>
            </w:r>
          </w:p>
        </w:tc>
      </w:tr>
      <w:tr w:rsidR="00E107B2" w:rsidTr="00D658A7">
        <w:tc>
          <w:tcPr>
            <w:tcW w:w="6683" w:type="dxa"/>
            <w:tcBorders>
              <w:left w:val="single" w:sz="2" w:space="0" w:color="000000"/>
              <w:bottom w:val="single" w:sz="2" w:space="0" w:color="000000"/>
            </w:tcBorders>
            <w:shd w:val="clear" w:color="auto" w:fill="auto"/>
            <w:tcMar>
              <w:top w:w="55" w:type="dxa"/>
              <w:left w:w="55" w:type="dxa"/>
              <w:bottom w:w="55" w:type="dxa"/>
              <w:right w:w="55" w:type="dxa"/>
            </w:tcMar>
          </w:tcPr>
          <w:p w:rsidR="00E107B2" w:rsidRDefault="00E107B2" w:rsidP="00D658A7">
            <w:pPr>
              <w:pStyle w:val="TableContents"/>
            </w:pPr>
            <w:r>
              <w:t>UDZ</w:t>
            </w:r>
          </w:p>
        </w:tc>
        <w:tc>
          <w:tcPr>
            <w:tcW w:w="23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07B2" w:rsidRDefault="00E107B2" w:rsidP="00D658A7">
            <w:pPr>
              <w:pStyle w:val="TableContents"/>
              <w:jc w:val="right"/>
            </w:pPr>
            <w:r>
              <w:t>730 000</w:t>
            </w:r>
          </w:p>
        </w:tc>
      </w:tr>
      <w:tr w:rsidR="00E107B2" w:rsidTr="00D658A7">
        <w:tc>
          <w:tcPr>
            <w:tcW w:w="6683" w:type="dxa"/>
            <w:tcBorders>
              <w:left w:val="single" w:sz="2" w:space="0" w:color="000000"/>
              <w:bottom w:val="single" w:sz="2" w:space="0" w:color="000000"/>
            </w:tcBorders>
            <w:shd w:val="clear" w:color="auto" w:fill="auto"/>
            <w:tcMar>
              <w:top w:w="55" w:type="dxa"/>
              <w:left w:w="55" w:type="dxa"/>
              <w:bottom w:w="55" w:type="dxa"/>
              <w:right w:w="55" w:type="dxa"/>
            </w:tcMar>
          </w:tcPr>
          <w:p w:rsidR="00E107B2" w:rsidRDefault="00E107B2" w:rsidP="00D658A7">
            <w:pPr>
              <w:pStyle w:val="TableContents"/>
            </w:pPr>
            <w:r>
              <w:t>Daň z příjmů FO (15 %)</w:t>
            </w:r>
          </w:p>
        </w:tc>
        <w:tc>
          <w:tcPr>
            <w:tcW w:w="23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07B2" w:rsidRDefault="00E107B2" w:rsidP="00D658A7">
            <w:pPr>
              <w:pStyle w:val="TableContents"/>
              <w:jc w:val="right"/>
            </w:pPr>
            <w:r>
              <w:t>109</w:t>
            </w:r>
            <w:r w:rsidR="00A57E88">
              <w:t xml:space="preserve"> </w:t>
            </w:r>
            <w:r>
              <w:t>500</w:t>
            </w:r>
          </w:p>
        </w:tc>
      </w:tr>
      <w:tr w:rsidR="00E107B2" w:rsidTr="00D658A7">
        <w:tc>
          <w:tcPr>
            <w:tcW w:w="6683" w:type="dxa"/>
            <w:tcBorders>
              <w:left w:val="single" w:sz="2" w:space="0" w:color="000000"/>
              <w:bottom w:val="single" w:sz="2" w:space="0" w:color="000000"/>
            </w:tcBorders>
            <w:shd w:val="clear" w:color="auto" w:fill="auto"/>
            <w:tcMar>
              <w:top w:w="55" w:type="dxa"/>
              <w:left w:w="55" w:type="dxa"/>
              <w:bottom w:w="55" w:type="dxa"/>
              <w:right w:w="55" w:type="dxa"/>
            </w:tcMar>
          </w:tcPr>
          <w:p w:rsidR="00E107B2" w:rsidRDefault="00E107B2" w:rsidP="00AF6FA3">
            <w:pPr>
              <w:pStyle w:val="TableContents"/>
            </w:pPr>
            <w:r>
              <w:t xml:space="preserve">Sleva na poplatníka </w:t>
            </w:r>
          </w:p>
        </w:tc>
        <w:tc>
          <w:tcPr>
            <w:tcW w:w="23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07B2" w:rsidRDefault="00E107B2" w:rsidP="00AF6FA3">
            <w:pPr>
              <w:pStyle w:val="TableContents"/>
              <w:jc w:val="right"/>
            </w:pPr>
            <w:r>
              <w:t>2</w:t>
            </w:r>
            <w:r w:rsidR="00A57E88">
              <w:t>7</w:t>
            </w:r>
            <w:r>
              <w:t xml:space="preserve"> </w:t>
            </w:r>
            <w:r w:rsidR="00AF6FA3">
              <w:t>8</w:t>
            </w:r>
            <w:r>
              <w:t>40</w:t>
            </w:r>
          </w:p>
        </w:tc>
      </w:tr>
      <w:tr w:rsidR="00E107B2" w:rsidTr="00D658A7">
        <w:tc>
          <w:tcPr>
            <w:tcW w:w="6683" w:type="dxa"/>
            <w:tcBorders>
              <w:left w:val="single" w:sz="2" w:space="0" w:color="000000"/>
              <w:bottom w:val="single" w:sz="2" w:space="0" w:color="000000"/>
            </w:tcBorders>
            <w:shd w:val="clear" w:color="auto" w:fill="auto"/>
            <w:tcMar>
              <w:top w:w="55" w:type="dxa"/>
              <w:left w:w="55" w:type="dxa"/>
              <w:bottom w:w="55" w:type="dxa"/>
              <w:right w:w="55" w:type="dxa"/>
            </w:tcMar>
          </w:tcPr>
          <w:p w:rsidR="00E107B2" w:rsidRDefault="00E107B2" w:rsidP="007877DA">
            <w:pPr>
              <w:pStyle w:val="TableContents"/>
            </w:pPr>
            <w:r>
              <w:t>Sleva na dítě</w:t>
            </w:r>
            <w:r w:rsidR="00AF6FA3">
              <w:t xml:space="preserve"> (1</w:t>
            </w:r>
            <w:r w:rsidR="007877DA">
              <w:t>5 2</w:t>
            </w:r>
            <w:r w:rsidR="00AF6FA3">
              <w:t>04 + 1</w:t>
            </w:r>
            <w:r w:rsidR="007601AE">
              <w:t>9</w:t>
            </w:r>
            <w:r w:rsidR="0099488A">
              <w:t xml:space="preserve"> </w:t>
            </w:r>
            <w:r w:rsidR="007601AE">
              <w:t>4</w:t>
            </w:r>
            <w:r w:rsidR="00AF6FA3">
              <w:t>04)</w:t>
            </w:r>
          </w:p>
        </w:tc>
        <w:tc>
          <w:tcPr>
            <w:tcW w:w="23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07B2" w:rsidRDefault="00E7356D" w:rsidP="007877DA">
            <w:pPr>
              <w:pStyle w:val="TableContents"/>
              <w:jc w:val="right"/>
            </w:pPr>
            <w:r>
              <w:t>3</w:t>
            </w:r>
            <w:r w:rsidR="007877DA">
              <w:t>4</w:t>
            </w:r>
            <w:r>
              <w:t xml:space="preserve"> </w:t>
            </w:r>
            <w:r w:rsidR="007877DA">
              <w:t>6</w:t>
            </w:r>
            <w:r>
              <w:t>08</w:t>
            </w:r>
          </w:p>
        </w:tc>
      </w:tr>
      <w:tr w:rsidR="00E107B2" w:rsidTr="0099488A">
        <w:tc>
          <w:tcPr>
            <w:tcW w:w="6683" w:type="dxa"/>
            <w:tcBorders>
              <w:left w:val="single" w:sz="2" w:space="0" w:color="000000"/>
              <w:bottom w:val="single" w:sz="2" w:space="0" w:color="000000"/>
            </w:tcBorders>
            <w:shd w:val="clear" w:color="auto" w:fill="FDE9D9" w:themeFill="accent6" w:themeFillTint="33"/>
            <w:tcMar>
              <w:top w:w="55" w:type="dxa"/>
              <w:left w:w="55" w:type="dxa"/>
              <w:bottom w:w="55" w:type="dxa"/>
              <w:right w:w="55" w:type="dxa"/>
            </w:tcMar>
          </w:tcPr>
          <w:p w:rsidR="00E107B2" w:rsidRDefault="00E107B2" w:rsidP="00D658A7">
            <w:pPr>
              <w:pStyle w:val="TableContents"/>
            </w:pPr>
            <w:r>
              <w:t>Konečná daň</w:t>
            </w:r>
          </w:p>
        </w:tc>
        <w:tc>
          <w:tcPr>
            <w:tcW w:w="2388" w:type="dxa"/>
            <w:tcBorders>
              <w:left w:val="single" w:sz="2" w:space="0" w:color="000000"/>
              <w:bottom w:val="single" w:sz="2" w:space="0" w:color="000000"/>
              <w:right w:val="single" w:sz="2" w:space="0" w:color="000000"/>
            </w:tcBorders>
            <w:shd w:val="clear" w:color="auto" w:fill="FDE9D9" w:themeFill="accent6" w:themeFillTint="33"/>
            <w:tcMar>
              <w:top w:w="55" w:type="dxa"/>
              <w:left w:w="55" w:type="dxa"/>
              <w:bottom w:w="55" w:type="dxa"/>
              <w:right w:w="55" w:type="dxa"/>
            </w:tcMar>
          </w:tcPr>
          <w:p w:rsidR="00E107B2" w:rsidRDefault="00A57E88" w:rsidP="007877DA">
            <w:pPr>
              <w:pStyle w:val="TableContents"/>
              <w:jc w:val="right"/>
            </w:pPr>
            <w:r>
              <w:t>47</w:t>
            </w:r>
            <w:r w:rsidR="007877DA">
              <w:t xml:space="preserve"> 052 </w:t>
            </w:r>
            <w:r w:rsidR="00EA1A66">
              <w:t xml:space="preserve"> </w:t>
            </w:r>
          </w:p>
        </w:tc>
      </w:tr>
      <w:tr w:rsidR="00E107B2" w:rsidTr="00D658A7">
        <w:tc>
          <w:tcPr>
            <w:tcW w:w="6683" w:type="dxa"/>
            <w:tcBorders>
              <w:left w:val="single" w:sz="2" w:space="0" w:color="000000"/>
              <w:bottom w:val="single" w:sz="2" w:space="0" w:color="000000"/>
            </w:tcBorders>
            <w:shd w:val="clear" w:color="auto" w:fill="auto"/>
            <w:tcMar>
              <w:top w:w="55" w:type="dxa"/>
              <w:left w:w="55" w:type="dxa"/>
              <w:bottom w:w="55" w:type="dxa"/>
              <w:right w:w="55" w:type="dxa"/>
            </w:tcMar>
          </w:tcPr>
          <w:p w:rsidR="00E107B2" w:rsidRDefault="00E107B2" w:rsidP="00D658A7">
            <w:pPr>
              <w:pStyle w:val="TableContents"/>
              <w:rPr>
                <w:b/>
                <w:bCs/>
                <w:i/>
                <w:iCs/>
              </w:rPr>
            </w:pPr>
            <w:r>
              <w:rPr>
                <w:b/>
                <w:bCs/>
                <w:i/>
                <w:iCs/>
              </w:rPr>
              <w:t>Disponibilní zisk OSVČ</w:t>
            </w:r>
          </w:p>
        </w:tc>
        <w:tc>
          <w:tcPr>
            <w:tcW w:w="23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E107B2" w:rsidRDefault="007877DA" w:rsidP="00A57E88">
            <w:pPr>
              <w:pStyle w:val="TableContents"/>
              <w:jc w:val="right"/>
              <w:rPr>
                <w:b/>
                <w:bCs/>
                <w:i/>
                <w:iCs/>
              </w:rPr>
            </w:pPr>
            <w:r w:rsidRPr="000D6DC6">
              <w:rPr>
                <w:b/>
                <w:bCs/>
                <w:i/>
                <w:iCs/>
                <w:highlight w:val="yellow"/>
              </w:rPr>
              <w:t>5</w:t>
            </w:r>
            <w:r w:rsidR="00A57E88">
              <w:rPr>
                <w:b/>
                <w:bCs/>
                <w:i/>
                <w:iCs/>
                <w:highlight w:val="yellow"/>
              </w:rPr>
              <w:t>82</w:t>
            </w:r>
            <w:r w:rsidRPr="000D6DC6">
              <w:rPr>
                <w:b/>
                <w:bCs/>
                <w:i/>
                <w:iCs/>
                <w:highlight w:val="yellow"/>
              </w:rPr>
              <w:t> 148</w:t>
            </w:r>
            <w:r>
              <w:rPr>
                <w:b/>
                <w:bCs/>
                <w:i/>
                <w:iCs/>
              </w:rPr>
              <w:t xml:space="preserve"> </w:t>
            </w:r>
            <w:r w:rsidR="00EA1A66">
              <w:rPr>
                <w:b/>
                <w:bCs/>
                <w:i/>
                <w:iCs/>
              </w:rPr>
              <w:t xml:space="preserve">  </w:t>
            </w:r>
          </w:p>
        </w:tc>
      </w:tr>
    </w:tbl>
    <w:p w:rsidR="00E107B2" w:rsidRDefault="00E107B2" w:rsidP="00CF0E82">
      <w:pPr>
        <w:pStyle w:val="Textbody"/>
        <w:rPr>
          <w:i/>
          <w:iCs/>
        </w:rPr>
      </w:pPr>
    </w:p>
    <w:tbl>
      <w:tblPr>
        <w:tblW w:w="9088" w:type="dxa"/>
        <w:tblInd w:w="-17" w:type="dxa"/>
        <w:tblLayout w:type="fixed"/>
        <w:tblCellMar>
          <w:left w:w="10" w:type="dxa"/>
          <w:right w:w="10" w:type="dxa"/>
        </w:tblCellMar>
        <w:tblLook w:val="0000" w:firstRow="0" w:lastRow="0" w:firstColumn="0" w:lastColumn="0" w:noHBand="0" w:noVBand="0"/>
      </w:tblPr>
      <w:tblGrid>
        <w:gridCol w:w="6700"/>
        <w:gridCol w:w="2388"/>
      </w:tblGrid>
      <w:tr w:rsidR="00CF0E82" w:rsidTr="00D658A7">
        <w:tc>
          <w:tcPr>
            <w:tcW w:w="67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F0E82" w:rsidRDefault="00CF0E82" w:rsidP="00D658A7">
            <w:pPr>
              <w:pStyle w:val="TableContents"/>
              <w:rPr>
                <w:b/>
                <w:bCs/>
              </w:rPr>
            </w:pPr>
            <w:r>
              <w:rPr>
                <w:b/>
                <w:bCs/>
              </w:rPr>
              <w:t>Společnost s r. o. - společník FO</w:t>
            </w:r>
          </w:p>
        </w:tc>
        <w:tc>
          <w:tcPr>
            <w:tcW w:w="238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0E82" w:rsidRDefault="00CF0E82" w:rsidP="00D658A7">
            <w:pPr>
              <w:pStyle w:val="TableContents"/>
              <w:jc w:val="right"/>
              <w:rPr>
                <w:b/>
                <w:bCs/>
              </w:rPr>
            </w:pPr>
            <w:r>
              <w:rPr>
                <w:b/>
                <w:bCs/>
              </w:rPr>
              <w:t>Kč</w:t>
            </w:r>
          </w:p>
        </w:tc>
      </w:tr>
      <w:tr w:rsidR="00CF0E82" w:rsidTr="00D658A7">
        <w:tc>
          <w:tcPr>
            <w:tcW w:w="6700" w:type="dxa"/>
            <w:tcBorders>
              <w:left w:val="single" w:sz="2" w:space="0" w:color="000000"/>
              <w:bottom w:val="single" w:sz="2" w:space="0" w:color="000000"/>
            </w:tcBorders>
            <w:shd w:val="clear" w:color="auto" w:fill="auto"/>
            <w:tcMar>
              <w:top w:w="55" w:type="dxa"/>
              <w:left w:w="55" w:type="dxa"/>
              <w:bottom w:w="55" w:type="dxa"/>
              <w:right w:w="55" w:type="dxa"/>
            </w:tcMar>
          </w:tcPr>
          <w:p w:rsidR="00CF0E82" w:rsidRDefault="00CF0E82" w:rsidP="00D658A7">
            <w:pPr>
              <w:pStyle w:val="TableContents"/>
            </w:pPr>
            <w:r>
              <w:t>Základ daně</w:t>
            </w:r>
          </w:p>
        </w:tc>
        <w:tc>
          <w:tcPr>
            <w:tcW w:w="23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0E82" w:rsidRDefault="00CF0E82" w:rsidP="00D658A7">
            <w:pPr>
              <w:pStyle w:val="TableContents"/>
              <w:jc w:val="right"/>
            </w:pPr>
            <w:r>
              <w:t>800 000</w:t>
            </w:r>
          </w:p>
        </w:tc>
      </w:tr>
      <w:tr w:rsidR="00CF0E82" w:rsidTr="00D658A7">
        <w:tc>
          <w:tcPr>
            <w:tcW w:w="6700" w:type="dxa"/>
            <w:tcBorders>
              <w:left w:val="single" w:sz="2" w:space="0" w:color="000000"/>
              <w:bottom w:val="single" w:sz="2" w:space="0" w:color="000000"/>
            </w:tcBorders>
            <w:shd w:val="clear" w:color="auto" w:fill="auto"/>
            <w:tcMar>
              <w:top w:w="55" w:type="dxa"/>
              <w:left w:w="55" w:type="dxa"/>
              <w:bottom w:w="55" w:type="dxa"/>
              <w:right w:w="55" w:type="dxa"/>
            </w:tcMar>
          </w:tcPr>
          <w:p w:rsidR="00CF0E82" w:rsidRDefault="00CF0E82" w:rsidP="00D658A7">
            <w:pPr>
              <w:pStyle w:val="TableContents"/>
            </w:pPr>
            <w:r>
              <w:t>Daň z příjmů PO (19 %)</w:t>
            </w:r>
          </w:p>
        </w:tc>
        <w:tc>
          <w:tcPr>
            <w:tcW w:w="23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0E82" w:rsidRDefault="00CF0E82" w:rsidP="00D658A7">
            <w:pPr>
              <w:pStyle w:val="TableContents"/>
              <w:jc w:val="right"/>
            </w:pPr>
            <w:r>
              <w:t>152 000</w:t>
            </w:r>
          </w:p>
        </w:tc>
      </w:tr>
      <w:tr w:rsidR="00CF0E82" w:rsidTr="00D658A7">
        <w:tc>
          <w:tcPr>
            <w:tcW w:w="6700" w:type="dxa"/>
            <w:tcBorders>
              <w:left w:val="single" w:sz="2" w:space="0" w:color="000000"/>
              <w:bottom w:val="single" w:sz="2" w:space="0" w:color="000000"/>
            </w:tcBorders>
            <w:shd w:val="clear" w:color="auto" w:fill="auto"/>
            <w:tcMar>
              <w:top w:w="55" w:type="dxa"/>
              <w:left w:w="55" w:type="dxa"/>
              <w:bottom w:w="55" w:type="dxa"/>
              <w:right w:w="55" w:type="dxa"/>
            </w:tcMar>
          </w:tcPr>
          <w:p w:rsidR="00CF0E82" w:rsidRDefault="00CF0E82" w:rsidP="00D658A7">
            <w:pPr>
              <w:pStyle w:val="TableContents"/>
            </w:pPr>
            <w:r>
              <w:t>Disponibilní zisk společnosti – vyplacen jako podíl na zisk</w:t>
            </w:r>
          </w:p>
        </w:tc>
        <w:tc>
          <w:tcPr>
            <w:tcW w:w="23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0E82" w:rsidRDefault="00AF6FA3" w:rsidP="00D658A7">
            <w:pPr>
              <w:pStyle w:val="TableContents"/>
              <w:jc w:val="right"/>
            </w:pPr>
            <w:r>
              <w:t>648 000</w:t>
            </w:r>
          </w:p>
        </w:tc>
      </w:tr>
      <w:tr w:rsidR="00CF0E82" w:rsidTr="00D658A7">
        <w:tc>
          <w:tcPr>
            <w:tcW w:w="6700" w:type="dxa"/>
            <w:tcBorders>
              <w:left w:val="single" w:sz="2" w:space="0" w:color="000000"/>
              <w:bottom w:val="single" w:sz="2" w:space="0" w:color="000000"/>
            </w:tcBorders>
            <w:shd w:val="clear" w:color="auto" w:fill="auto"/>
            <w:tcMar>
              <w:top w:w="55" w:type="dxa"/>
              <w:left w:w="55" w:type="dxa"/>
              <w:bottom w:w="55" w:type="dxa"/>
              <w:right w:w="55" w:type="dxa"/>
            </w:tcMar>
          </w:tcPr>
          <w:p w:rsidR="00CF0E82" w:rsidRDefault="00CF0E82" w:rsidP="00D658A7">
            <w:pPr>
              <w:pStyle w:val="TableContents"/>
            </w:pPr>
            <w:r>
              <w:t>Srážková daň (15 %)</w:t>
            </w:r>
          </w:p>
        </w:tc>
        <w:tc>
          <w:tcPr>
            <w:tcW w:w="23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0E82" w:rsidRDefault="00AF6FA3" w:rsidP="00D658A7">
            <w:pPr>
              <w:pStyle w:val="TableContents"/>
              <w:jc w:val="right"/>
            </w:pPr>
            <w:r>
              <w:t>97 200</w:t>
            </w:r>
          </w:p>
        </w:tc>
      </w:tr>
      <w:tr w:rsidR="009B4213" w:rsidTr="00D658A7">
        <w:tc>
          <w:tcPr>
            <w:tcW w:w="6700" w:type="dxa"/>
            <w:tcBorders>
              <w:left w:val="single" w:sz="2" w:space="0" w:color="000000"/>
              <w:bottom w:val="single" w:sz="2" w:space="0" w:color="000000"/>
            </w:tcBorders>
            <w:shd w:val="clear" w:color="auto" w:fill="auto"/>
            <w:tcMar>
              <w:top w:w="55" w:type="dxa"/>
              <w:left w:w="55" w:type="dxa"/>
              <w:bottom w:w="55" w:type="dxa"/>
              <w:right w:w="55" w:type="dxa"/>
            </w:tcMar>
          </w:tcPr>
          <w:p w:rsidR="009B4213" w:rsidRDefault="009B4213" w:rsidP="00D658A7">
            <w:pPr>
              <w:pStyle w:val="TableContents"/>
              <w:rPr>
                <w:b/>
                <w:bCs/>
                <w:i/>
                <w:iCs/>
              </w:rPr>
            </w:pPr>
            <w:r>
              <w:rPr>
                <w:b/>
                <w:bCs/>
                <w:i/>
                <w:iCs/>
              </w:rPr>
              <w:t>Disponibilní zisk FO</w:t>
            </w:r>
          </w:p>
        </w:tc>
        <w:tc>
          <w:tcPr>
            <w:tcW w:w="23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B4213" w:rsidRPr="00CF0E82" w:rsidRDefault="00AF6FA3" w:rsidP="00D658A7">
            <w:pPr>
              <w:pStyle w:val="TableContents"/>
              <w:jc w:val="right"/>
              <w:rPr>
                <w:b/>
                <w:bCs/>
                <w:i/>
                <w:iCs/>
                <w:highlight w:val="yellow"/>
              </w:rPr>
            </w:pPr>
            <w:r>
              <w:rPr>
                <w:b/>
                <w:bCs/>
                <w:i/>
                <w:iCs/>
                <w:highlight w:val="yellow"/>
              </w:rPr>
              <w:t>550 800</w:t>
            </w:r>
          </w:p>
        </w:tc>
      </w:tr>
      <w:tr w:rsidR="00CF0E82" w:rsidTr="00D658A7">
        <w:tc>
          <w:tcPr>
            <w:tcW w:w="6700" w:type="dxa"/>
            <w:tcBorders>
              <w:left w:val="single" w:sz="2" w:space="0" w:color="000000"/>
              <w:bottom w:val="single" w:sz="2" w:space="0" w:color="000000"/>
            </w:tcBorders>
            <w:shd w:val="clear" w:color="auto" w:fill="auto"/>
            <w:tcMar>
              <w:top w:w="55" w:type="dxa"/>
              <w:left w:w="55" w:type="dxa"/>
              <w:bottom w:w="55" w:type="dxa"/>
              <w:right w:w="55" w:type="dxa"/>
            </w:tcMar>
          </w:tcPr>
          <w:p w:rsidR="00CF0E82" w:rsidRPr="009B4213" w:rsidRDefault="00B275DD" w:rsidP="00B275DD">
            <w:pPr>
              <w:pStyle w:val="TableContents"/>
              <w:rPr>
                <w:bCs/>
                <w:iCs/>
              </w:rPr>
            </w:pPr>
            <w:r w:rsidRPr="00EB68EF">
              <w:rPr>
                <w:bCs/>
                <w:iCs/>
                <w:color w:val="FF0000"/>
              </w:rPr>
              <w:t>platba na sociální a zdravotní pojištění</w:t>
            </w:r>
            <w:r w:rsidR="00EB68EF">
              <w:rPr>
                <w:bCs/>
                <w:iCs/>
                <w:color w:val="FF0000"/>
              </w:rPr>
              <w:t>!!!</w:t>
            </w:r>
          </w:p>
        </w:tc>
        <w:tc>
          <w:tcPr>
            <w:tcW w:w="238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F0E82" w:rsidRDefault="00CF0E82" w:rsidP="00D658A7">
            <w:pPr>
              <w:pStyle w:val="TableContents"/>
              <w:jc w:val="right"/>
              <w:rPr>
                <w:b/>
                <w:bCs/>
                <w:i/>
                <w:iCs/>
              </w:rPr>
            </w:pPr>
          </w:p>
        </w:tc>
      </w:tr>
    </w:tbl>
    <w:p w:rsidR="00CF0E82" w:rsidRDefault="00CF0E82" w:rsidP="00CF0E82">
      <w:pPr>
        <w:pStyle w:val="Textbody"/>
      </w:pPr>
    </w:p>
    <w:p w:rsidR="00CF0E82" w:rsidRDefault="00CF0E82" w:rsidP="00CF0E82">
      <w:pPr>
        <w:pStyle w:val="Textbody"/>
      </w:pPr>
      <w:r>
        <w:t>OSVČ mají  vysokou daňovou  zátěž v podobě odvodů na sociální a zdravotní pojištění. Přesto  vychází tato forma podnikání jako OSVČ daňově výhodnější než založení společnosti s  r. o. s jedním společníkem.</w:t>
      </w:r>
    </w:p>
    <w:p w:rsidR="00CF0E82" w:rsidRDefault="00CF0E82" w:rsidP="00CF0E82">
      <w:pPr>
        <w:pStyle w:val="Textbody"/>
      </w:pPr>
      <w:r>
        <w:t>Důvodem je zejména dvojí zdanění podílu na zisku vypláceného společníkovi (nejdříve daní z příjmů právnických osob a pak srážkovou daní z vypláceného podílu na zisku).</w:t>
      </w:r>
    </w:p>
    <w:p w:rsidR="00A46C9E" w:rsidRDefault="00CF0E82">
      <w:r>
        <w:t>V případě, že je povinen odvádět minimum na SP a ZP</w:t>
      </w:r>
    </w:p>
    <w:p w:rsidR="004843C6" w:rsidRDefault="004843C6"/>
    <w:p w:rsidR="009E7C14" w:rsidRDefault="00EB68EF">
      <w:pPr>
        <w:rPr>
          <w:highlight w:val="yellow"/>
        </w:rPr>
      </w:pPr>
      <w:r w:rsidRPr="009E7C14">
        <w:rPr>
          <w:color w:val="FF0000"/>
          <w:highlight w:val="yellow"/>
        </w:rPr>
        <w:t>ZDRAVOTNÍ POJ</w:t>
      </w:r>
      <w:r>
        <w:rPr>
          <w:highlight w:val="yellow"/>
        </w:rPr>
        <w:t>.</w:t>
      </w:r>
    </w:p>
    <w:p w:rsidR="00EB68EF" w:rsidRDefault="00EB68EF">
      <w:r>
        <w:t xml:space="preserve">Osobou bez zdanitelných příjmů se automaticky stává ten, kdo po celý kalendářní měsíc nemá příjmy ze zaměstnání, ze samostatné výdělečné činnosti a není za něj plátcem pojistného stát. </w:t>
      </w:r>
    </w:p>
    <w:p w:rsidR="00EB68EF" w:rsidRDefault="00EB68EF"/>
    <w:p w:rsidR="00EB68EF" w:rsidRDefault="00EB68EF" w:rsidP="00EB68EF">
      <w:r>
        <w:t>Základní povinností OBZP je přihlásit se své zdravotní pojišťovně jako samoplátce a začít si pojistné platit.</w:t>
      </w:r>
    </w:p>
    <w:p w:rsidR="00EB68EF" w:rsidRDefault="00EB68EF"/>
    <w:p w:rsidR="00EB68EF" w:rsidRDefault="00EB68EF">
      <w:r>
        <w:t>OBZP si platí pojistné na zdravotní pojištění vypočtené z minimální mzdy, což je od 1. 1. 20</w:t>
      </w:r>
      <w:r w:rsidR="00A57E88">
        <w:t>21</w:t>
      </w:r>
      <w:r>
        <w:t xml:space="preserve"> částka 1</w:t>
      </w:r>
      <w:r w:rsidR="00A57E88">
        <w:t>5</w:t>
      </w:r>
      <w:r>
        <w:t xml:space="preserve"> 200 Kč. </w:t>
      </w:r>
    </w:p>
    <w:p w:rsidR="00EB68EF" w:rsidRDefault="00EB68EF"/>
    <w:p w:rsidR="00EB68EF" w:rsidRDefault="00EB68EF">
      <w:r>
        <w:t>20</w:t>
      </w:r>
      <w:r w:rsidR="00A57E88">
        <w:t>21</w:t>
      </w:r>
      <w:r>
        <w:t xml:space="preserve">: Pojistné je </w:t>
      </w:r>
      <w:r w:rsidR="00A80D55">
        <w:t>2 052</w:t>
      </w:r>
      <w:r>
        <w:t xml:space="preserve"> Kč měsíčně. </w:t>
      </w:r>
    </w:p>
    <w:p w:rsidR="00544531" w:rsidRDefault="00544531"/>
    <w:p w:rsidR="00EB68EF" w:rsidRDefault="00EB68EF">
      <w:r>
        <w:t>-------------------------------------------------------------</w:t>
      </w:r>
    </w:p>
    <w:p w:rsidR="004843C6" w:rsidRDefault="004843C6"/>
    <w:p w:rsidR="00544531" w:rsidRPr="00A80D55" w:rsidRDefault="00EA1A66" w:rsidP="00A80D55">
      <w:pPr>
        <w:shd w:val="clear" w:color="auto" w:fill="92D050"/>
        <w:rPr>
          <w:b/>
          <w:bCs/>
        </w:rPr>
      </w:pPr>
      <w:proofErr w:type="spellStart"/>
      <w:r w:rsidRPr="00A80D55">
        <w:rPr>
          <w:b/>
          <w:bCs/>
        </w:rPr>
        <w:t>Pozn</w:t>
      </w:r>
      <w:proofErr w:type="spellEnd"/>
      <w:r w:rsidRPr="00A80D55">
        <w:rPr>
          <w:b/>
          <w:bCs/>
        </w:rPr>
        <w:t xml:space="preserve">: Minimální měsíční záloha na pojistné OSVČ, tj. podnikatel FO § 7:      </w:t>
      </w:r>
      <w:r w:rsidR="00A80D55" w:rsidRPr="00A80D55">
        <w:rPr>
          <w:b/>
          <w:bCs/>
        </w:rPr>
        <w:t>2 393</w:t>
      </w:r>
      <w:r w:rsidRPr="00A80D55">
        <w:rPr>
          <w:b/>
          <w:bCs/>
        </w:rPr>
        <w:t> Kč</w:t>
      </w:r>
      <w:r w:rsidR="00544531" w:rsidRPr="00A80D55">
        <w:rPr>
          <w:b/>
          <w:bCs/>
        </w:rPr>
        <w:t xml:space="preserve"> </w:t>
      </w:r>
    </w:p>
    <w:p w:rsidR="00A80D55" w:rsidRDefault="00A80D55" w:rsidP="00A80D55">
      <w:pPr>
        <w:shd w:val="clear" w:color="auto" w:fill="92D050"/>
        <w:rPr>
          <w:b/>
          <w:bCs/>
          <w:sz w:val="22"/>
          <w:szCs w:val="22"/>
        </w:rPr>
      </w:pPr>
    </w:p>
    <w:p w:rsidR="00A80D55" w:rsidRDefault="00A80D55" w:rsidP="00A80D55">
      <w:pPr>
        <w:shd w:val="clear" w:color="auto" w:fill="92D050"/>
      </w:pPr>
      <w:r>
        <w:rPr>
          <w:rStyle w:val="hgkelc"/>
          <w:b/>
          <w:bCs/>
        </w:rPr>
        <w:t>Minimální</w:t>
      </w:r>
      <w:r>
        <w:rPr>
          <w:rStyle w:val="hgkelc"/>
        </w:rPr>
        <w:t xml:space="preserve"> vyměřovací základ pro zálohy na </w:t>
      </w:r>
      <w:r>
        <w:rPr>
          <w:rStyle w:val="hgkelc"/>
          <w:b/>
          <w:bCs/>
        </w:rPr>
        <w:t>zdravotním pojištění</w:t>
      </w:r>
      <w:r>
        <w:rPr>
          <w:rStyle w:val="hgkelc"/>
        </w:rPr>
        <w:t xml:space="preserve"> v roce </w:t>
      </w:r>
      <w:r>
        <w:rPr>
          <w:rStyle w:val="hgkelc"/>
          <w:b/>
          <w:bCs/>
        </w:rPr>
        <w:t>2021</w:t>
      </w:r>
      <w:r>
        <w:rPr>
          <w:rStyle w:val="hgkelc"/>
        </w:rPr>
        <w:t xml:space="preserve"> je 17 721 Kč, tedy polovina průměrné mzdy (tj. 35 441 Kč x 0,5). Záloha se rovná 13,5 % z tohoto vyměřovacího základu, což činí 2 393 Kč (tj. 17 721 Kč x 0,135).</w:t>
      </w:r>
    </w:p>
    <w:p w:rsidR="0083571A" w:rsidRDefault="0083571A" w:rsidP="008E58F9">
      <w:pPr>
        <w:jc w:val="both"/>
      </w:pPr>
    </w:p>
    <w:p w:rsidR="00EB68EF" w:rsidRDefault="00EB68EF" w:rsidP="00EB68EF">
      <w:r>
        <w:t>-------------------------------------------------------------</w:t>
      </w:r>
    </w:p>
    <w:p w:rsidR="00EB68EF" w:rsidRDefault="00EB68EF" w:rsidP="008E58F9">
      <w:pPr>
        <w:jc w:val="both"/>
        <w:rPr>
          <w:color w:val="FF0000"/>
        </w:rPr>
      </w:pPr>
    </w:p>
    <w:p w:rsidR="00EA1A66" w:rsidRDefault="00EB68EF" w:rsidP="008E58F9">
      <w:pPr>
        <w:jc w:val="both"/>
      </w:pPr>
      <w:r w:rsidRPr="00EB68EF">
        <w:rPr>
          <w:color w:val="FF0000"/>
          <w:highlight w:val="yellow"/>
        </w:rPr>
        <w:t>SOCIÁLNÍ POJISTNÉ</w:t>
      </w:r>
    </w:p>
    <w:p w:rsidR="00140D04" w:rsidRDefault="00CF0E82" w:rsidP="008E58F9">
      <w:pPr>
        <w:jc w:val="both"/>
      </w:pPr>
      <w:r>
        <w:t xml:space="preserve">V případě, že občan nemá žádné příjmy, </w:t>
      </w:r>
      <w:r w:rsidRPr="0083571A">
        <w:rPr>
          <w:color w:val="FF0000"/>
        </w:rPr>
        <w:t>sociální pojistné</w:t>
      </w:r>
      <w:r>
        <w:t xml:space="preserve"> </w:t>
      </w:r>
      <w:r w:rsidRPr="0083571A">
        <w:rPr>
          <w:highlight w:val="yellow"/>
        </w:rPr>
        <w:t>platit nemusí</w:t>
      </w:r>
      <w:r>
        <w:t xml:space="preserve">. Nebude ovšem důchodově pojištěn. V tom případě je vhodné zvážit dobrovolné </w:t>
      </w:r>
      <w:hyperlink r:id="rId7" w:history="1">
        <w:r>
          <w:rPr>
            <w:rStyle w:val="Hypertextovodkaz"/>
          </w:rPr>
          <w:t>důchodové pojištění</w:t>
        </w:r>
      </w:hyperlink>
      <w:r>
        <w:t>. Sazba pojistného na dobrovolné důchodové pojištění činí 28 % z vyměřovacího základu.</w:t>
      </w:r>
    </w:p>
    <w:p w:rsidR="001B5D1B" w:rsidRDefault="001B5D1B" w:rsidP="008E58F9">
      <w:pPr>
        <w:jc w:val="both"/>
      </w:pPr>
    </w:p>
    <w:p w:rsidR="00140D04" w:rsidRDefault="001B5D1B" w:rsidP="00140D04">
      <w:pPr>
        <w:shd w:val="clear" w:color="auto" w:fill="FFC000"/>
      </w:pPr>
      <w:r>
        <w:t>Od 1. 1. 2021</w:t>
      </w:r>
      <w:r w:rsidR="00140D04">
        <w:t xml:space="preserve"> se jedná o částku </w:t>
      </w:r>
      <w:r>
        <w:rPr>
          <w:b/>
          <w:bCs/>
        </w:rPr>
        <w:t>2 482</w:t>
      </w:r>
      <w:r w:rsidR="00140D04" w:rsidRPr="0061686F">
        <w:rPr>
          <w:b/>
          <w:bCs/>
        </w:rPr>
        <w:t xml:space="preserve"> Kč</w:t>
      </w:r>
      <w:r w:rsidR="00140D04">
        <w:t>.</w:t>
      </w:r>
    </w:p>
    <w:p w:rsidR="00544531" w:rsidRDefault="00544531" w:rsidP="00140D04">
      <w:pPr>
        <w:shd w:val="clear" w:color="auto" w:fill="FFC000"/>
      </w:pPr>
    </w:p>
    <w:p w:rsidR="00140D04" w:rsidRDefault="00140D04" w:rsidP="00140D04">
      <w:pPr>
        <w:pStyle w:val="Normlnweb"/>
      </w:pPr>
      <w:r w:rsidRPr="00140D04">
        <w:t>https://www.cssz.cz/cz/duchodove-pojisteni/ucast-na-pojisteni/dobrovolna.htm</w:t>
      </w:r>
    </w:p>
    <w:p w:rsidR="00140D04" w:rsidRDefault="00140D04" w:rsidP="00113D7D">
      <w:pPr>
        <w:pStyle w:val="Normlnweb"/>
        <w:jc w:val="both"/>
      </w:pPr>
      <w:r>
        <w:t xml:space="preserve">Výše pojistného na dobrovolné důchodové pojištění se stanoví procentní sazbou z vyměřovacího základu. Vyměřovacím základem osoby dobrovolně účastné důchodového pojištění pro pojistné na důchodové pojištění je částka, </w:t>
      </w:r>
      <w:r>
        <w:rPr>
          <w:b/>
          <w:bCs/>
        </w:rPr>
        <w:t>kterou si určí, nejméně však částka ve výši jedné čtvrtiny průměrné mzdy</w:t>
      </w:r>
      <w:r>
        <w:t xml:space="preserve"> platné v kalendářním roce, ve kterém se pojistné na důchodové pojištění platí. Za průměrnou mzdu se pro účely tohoto zákona považuje částka, která se vypočte jako součin všeobecného vyměřovacího základu za kalendářní rok, který o dva roky předchází kalendářnímu roku, pro který se průměrná mzda zjišťuje, a přepočítacího koeficientu pro úpravu tohoto všeobecného vyměřovacího základu; vypočtená částka se zaokrouhluje na celé koruny nahoru.</w:t>
      </w:r>
    </w:p>
    <w:p w:rsidR="008E58F9" w:rsidRDefault="008E58F9"/>
    <w:sectPr w:rsidR="008E58F9" w:rsidSect="00A46C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tarSymbol">
    <w:charset w:val="02"/>
    <w:family w:val="auto"/>
    <w:pitch w:val="default"/>
  </w:font>
  <w:font w:name="Calibri">
    <w:panose1 w:val="020F0502020204030204"/>
    <w:charset w:val="EE"/>
    <w:family w:val="swiss"/>
    <w:pitch w:val="variable"/>
    <w:sig w:usb0="E0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ED0158"/>
    <w:multiLevelType w:val="multilevel"/>
    <w:tmpl w:val="831678BA"/>
    <w:styleLink w:val="lstOdrazky01"/>
    <w:lvl w:ilvl="0">
      <w:numFmt w:val="bullet"/>
      <w:pStyle w:val="parOdrazky01"/>
      <w:lvlText w:val="●"/>
      <w:lvlJc w:val="right"/>
      <w:pPr>
        <w:ind w:left="850" w:hanging="567"/>
      </w:pPr>
      <w:rPr>
        <w:rFonts w:ascii="Times New Roman" w:eastAsia="StarSymbol" w:hAnsi="Times New Roman" w:cs="StarSymbol"/>
        <w:sz w:val="18"/>
        <w:szCs w:val="18"/>
      </w:rPr>
    </w:lvl>
    <w:lvl w:ilvl="1">
      <w:numFmt w:val="bullet"/>
      <w:lvlText w:val="○"/>
      <w:lvlJc w:val="right"/>
      <w:pPr>
        <w:ind w:left="1133" w:hanging="567"/>
      </w:pPr>
      <w:rPr>
        <w:rFonts w:ascii="Times New Roman" w:eastAsia="StarSymbol" w:hAnsi="Times New Roman" w:cs="StarSymbol"/>
        <w:sz w:val="18"/>
        <w:szCs w:val="18"/>
      </w:rPr>
    </w:lvl>
    <w:lvl w:ilvl="2">
      <w:numFmt w:val="bullet"/>
      <w:lvlText w:val="■"/>
      <w:lvlJc w:val="right"/>
      <w:pPr>
        <w:ind w:left="1416" w:hanging="567"/>
      </w:pPr>
      <w:rPr>
        <w:rFonts w:ascii="Times New Roman" w:eastAsia="StarSymbol" w:hAnsi="Times New Roman" w:cs="StarSymbol"/>
        <w:sz w:val="18"/>
        <w:szCs w:val="18"/>
      </w:rPr>
    </w:lvl>
    <w:lvl w:ilvl="3">
      <w:numFmt w:val="bullet"/>
      <w:lvlText w:val="□"/>
      <w:lvlJc w:val="right"/>
      <w:pPr>
        <w:ind w:left="1699" w:hanging="567"/>
      </w:pPr>
      <w:rPr>
        <w:rFonts w:ascii="Times New Roman" w:eastAsia="StarSymbol" w:hAnsi="Times New Roman" w:cs="StarSymbol"/>
        <w:sz w:val="18"/>
        <w:szCs w:val="18"/>
      </w:rPr>
    </w:lvl>
    <w:lvl w:ilvl="4">
      <w:numFmt w:val="bullet"/>
      <w:lvlText w:val="♦"/>
      <w:lvlJc w:val="right"/>
      <w:pPr>
        <w:ind w:left="1982" w:hanging="567"/>
      </w:pPr>
      <w:rPr>
        <w:rFonts w:ascii="Times New Roman" w:eastAsia="StarSymbol" w:hAnsi="Times New Roman" w:cs="StarSymbol"/>
        <w:sz w:val="18"/>
        <w:szCs w:val="18"/>
      </w:rPr>
    </w:lvl>
    <w:lvl w:ilvl="5">
      <w:numFmt w:val="bullet"/>
      <w:lvlText w:val="♢"/>
      <w:lvlJc w:val="right"/>
      <w:pPr>
        <w:ind w:left="2265" w:hanging="567"/>
      </w:pPr>
      <w:rPr>
        <w:rFonts w:ascii="Times New Roman" w:eastAsia="StarSymbol" w:hAnsi="Times New Roman" w:cs="StarSymbol"/>
        <w:sz w:val="18"/>
        <w:szCs w:val="18"/>
      </w:rPr>
    </w:lvl>
    <w:lvl w:ilvl="6">
      <w:numFmt w:val="bullet"/>
      <w:lvlText w:val="✦"/>
      <w:lvlJc w:val="right"/>
      <w:pPr>
        <w:ind w:left="2548" w:hanging="567"/>
      </w:pPr>
      <w:rPr>
        <w:rFonts w:ascii="Times New Roman" w:eastAsia="StarSymbol" w:hAnsi="Times New Roman" w:cs="StarSymbol"/>
        <w:sz w:val="18"/>
        <w:szCs w:val="18"/>
      </w:rPr>
    </w:lvl>
    <w:lvl w:ilvl="7">
      <w:numFmt w:val="bullet"/>
      <w:lvlText w:val="✧"/>
      <w:lvlJc w:val="right"/>
      <w:pPr>
        <w:ind w:left="2831" w:hanging="567"/>
      </w:pPr>
      <w:rPr>
        <w:rFonts w:ascii="Times New Roman" w:eastAsia="StarSymbol" w:hAnsi="Times New Roman" w:cs="StarSymbol"/>
        <w:sz w:val="18"/>
        <w:szCs w:val="18"/>
      </w:rPr>
    </w:lvl>
    <w:lvl w:ilvl="8">
      <w:numFmt w:val="bullet"/>
      <w:lvlText w:val="➤"/>
      <w:lvlJc w:val="right"/>
      <w:pPr>
        <w:ind w:left="3114" w:hanging="567"/>
      </w:pPr>
      <w:rPr>
        <w:rFonts w:ascii="Times New Roman" w:eastAsia="StarSymbol" w:hAnsi="Times New Roman" w:cs="StarSymbol"/>
        <w:sz w:val="18"/>
        <w:szCs w:val="18"/>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82"/>
    <w:rsid w:val="000D6DC6"/>
    <w:rsid w:val="00113D7D"/>
    <w:rsid w:val="00140D04"/>
    <w:rsid w:val="001B4BCA"/>
    <w:rsid w:val="001B5D1B"/>
    <w:rsid w:val="00204628"/>
    <w:rsid w:val="002761C8"/>
    <w:rsid w:val="002C044B"/>
    <w:rsid w:val="003D515F"/>
    <w:rsid w:val="004527E7"/>
    <w:rsid w:val="00454BA2"/>
    <w:rsid w:val="004843C6"/>
    <w:rsid w:val="00544531"/>
    <w:rsid w:val="0061686F"/>
    <w:rsid w:val="007601AE"/>
    <w:rsid w:val="00770148"/>
    <w:rsid w:val="007877DA"/>
    <w:rsid w:val="0079117C"/>
    <w:rsid w:val="0083571A"/>
    <w:rsid w:val="008E58F9"/>
    <w:rsid w:val="0099488A"/>
    <w:rsid w:val="009B4213"/>
    <w:rsid w:val="009C5124"/>
    <w:rsid w:val="009E7C14"/>
    <w:rsid w:val="00A46C9E"/>
    <w:rsid w:val="00A57E88"/>
    <w:rsid w:val="00A80D55"/>
    <w:rsid w:val="00AC604B"/>
    <w:rsid w:val="00AD002C"/>
    <w:rsid w:val="00AF6FA3"/>
    <w:rsid w:val="00B275DD"/>
    <w:rsid w:val="00B45322"/>
    <w:rsid w:val="00BC1829"/>
    <w:rsid w:val="00C11FB6"/>
    <w:rsid w:val="00C73FF3"/>
    <w:rsid w:val="00CF0E82"/>
    <w:rsid w:val="00D501AA"/>
    <w:rsid w:val="00D658A7"/>
    <w:rsid w:val="00DD5584"/>
    <w:rsid w:val="00E107B2"/>
    <w:rsid w:val="00E7356D"/>
    <w:rsid w:val="00EA1A66"/>
    <w:rsid w:val="00EB68EF"/>
    <w:rsid w:val="00EF5D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26AE"/>
  <w15:docId w15:val="{B6DC3F59-C42F-4B60-89AA-BF1343AE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CF0E82"/>
    <w:pPr>
      <w:widowControl w:val="0"/>
      <w:suppressAutoHyphens/>
      <w:autoSpaceDN w:val="0"/>
      <w:textAlignment w:val="baseline"/>
    </w:pPr>
    <w:rPr>
      <w:rFonts w:ascii="Times New Roman" w:eastAsia="Andale Sans UI" w:hAnsi="Times New Roman" w:cs="Tahoma"/>
      <w:kern w:val="3"/>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ody">
    <w:name w:val="Text body"/>
    <w:basedOn w:val="Normln"/>
    <w:rsid w:val="00CF0E82"/>
    <w:pPr>
      <w:widowControl/>
      <w:suppressAutoHyphens w:val="0"/>
      <w:spacing w:before="85" w:after="85"/>
      <w:ind w:firstLine="283"/>
      <w:jc w:val="both"/>
    </w:pPr>
  </w:style>
  <w:style w:type="paragraph" w:customStyle="1" w:styleId="TableContents">
    <w:name w:val="Table Contents"/>
    <w:basedOn w:val="Normln"/>
    <w:next w:val="Normln"/>
    <w:rsid w:val="00CF0E82"/>
    <w:pPr>
      <w:suppressLineNumbers/>
      <w:suppressAutoHyphens w:val="0"/>
      <w:jc w:val="both"/>
    </w:pPr>
  </w:style>
  <w:style w:type="paragraph" w:customStyle="1" w:styleId="Framecontents">
    <w:name w:val="Frame contents"/>
    <w:basedOn w:val="Textbody"/>
    <w:rsid w:val="00CF0E82"/>
  </w:style>
  <w:style w:type="paragraph" w:customStyle="1" w:styleId="parNadpisPrvkuZeleny">
    <w:name w:val="parNadpisPrvkuZeleny"/>
    <w:basedOn w:val="Normln"/>
    <w:next w:val="Textbody"/>
    <w:autoRedefine/>
    <w:rsid w:val="004527E7"/>
    <w:pPr>
      <w:keepNext/>
      <w:keepLines/>
      <w:pBdr>
        <w:top w:val="single" w:sz="4" w:space="0" w:color="000000"/>
        <w:left w:val="single" w:sz="4" w:space="0" w:color="000000"/>
        <w:bottom w:val="single" w:sz="4" w:space="0" w:color="000000"/>
        <w:right w:val="single" w:sz="4" w:space="0" w:color="000000"/>
      </w:pBdr>
      <w:shd w:val="clear" w:color="auto" w:fill="E6E6E6"/>
      <w:suppressAutoHyphens w:val="0"/>
      <w:spacing w:before="170"/>
      <w:jc w:val="both"/>
    </w:pPr>
    <w:rPr>
      <w:rFonts w:ascii="Arial" w:hAnsi="Arial"/>
      <w:b/>
      <w:bCs/>
      <w:caps/>
      <w:color w:val="008000"/>
    </w:rPr>
  </w:style>
  <w:style w:type="paragraph" w:customStyle="1" w:styleId="parOdrazky01">
    <w:name w:val="parOdrazky01"/>
    <w:rsid w:val="00CF0E82"/>
    <w:pPr>
      <w:widowControl w:val="0"/>
      <w:numPr>
        <w:numId w:val="1"/>
      </w:numPr>
      <w:suppressAutoHyphens/>
      <w:autoSpaceDN w:val="0"/>
      <w:spacing w:before="28" w:after="28"/>
      <w:jc w:val="both"/>
      <w:textAlignment w:val="baseline"/>
    </w:pPr>
    <w:rPr>
      <w:rFonts w:ascii="Times New Roman" w:eastAsia="Andale Sans UI" w:hAnsi="Times New Roman" w:cs="Tahoma"/>
      <w:kern w:val="3"/>
      <w:sz w:val="24"/>
      <w:szCs w:val="24"/>
      <w:lang w:eastAsia="cs-CZ"/>
    </w:rPr>
  </w:style>
  <w:style w:type="numbering" w:customStyle="1" w:styleId="lstOdrazky01">
    <w:name w:val="lstOdrazky01"/>
    <w:basedOn w:val="Bezseznamu"/>
    <w:rsid w:val="00CF0E82"/>
    <w:pPr>
      <w:numPr>
        <w:numId w:val="1"/>
      </w:numPr>
    </w:pPr>
  </w:style>
  <w:style w:type="character" w:styleId="Hypertextovodkaz">
    <w:name w:val="Hyperlink"/>
    <w:basedOn w:val="Standardnpsmoodstavce"/>
    <w:uiPriority w:val="99"/>
    <w:semiHidden/>
    <w:unhideWhenUsed/>
    <w:rsid w:val="00CF0E82"/>
    <w:rPr>
      <w:color w:val="0000FF"/>
      <w:u w:val="single"/>
    </w:rPr>
  </w:style>
  <w:style w:type="character" w:styleId="Siln">
    <w:name w:val="Strong"/>
    <w:basedOn w:val="Standardnpsmoodstavce"/>
    <w:uiPriority w:val="22"/>
    <w:qFormat/>
    <w:rsid w:val="004843C6"/>
    <w:rPr>
      <w:b/>
      <w:bCs/>
    </w:rPr>
  </w:style>
  <w:style w:type="paragraph" w:styleId="Normlnweb">
    <w:name w:val="Normal (Web)"/>
    <w:basedOn w:val="Normln"/>
    <w:uiPriority w:val="99"/>
    <w:semiHidden/>
    <w:unhideWhenUsed/>
    <w:rsid w:val="00140D04"/>
    <w:pPr>
      <w:widowControl/>
      <w:suppressAutoHyphens w:val="0"/>
      <w:autoSpaceDN/>
      <w:spacing w:before="100" w:beforeAutospacing="1" w:after="100" w:afterAutospacing="1"/>
      <w:textAlignment w:val="auto"/>
    </w:pPr>
    <w:rPr>
      <w:rFonts w:eastAsia="Times New Roman" w:cs="Times New Roman"/>
      <w:kern w:val="0"/>
    </w:rPr>
  </w:style>
  <w:style w:type="character" w:customStyle="1" w:styleId="hgkelc">
    <w:name w:val="hgkelc"/>
    <w:basedOn w:val="Standardnpsmoodstavce"/>
    <w:rsid w:val="00A80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30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dnikatel.cz/firma/zamestnanci/duchodove-pojiste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37.78598" units="1/cm"/>
          <inkml:channelProperty channel="Y" name="resolution" value="37.83251" units="1/cm"/>
          <inkml:channelProperty channel="T" name="resolution" value="1" units="1/dev"/>
        </inkml:channelProperties>
      </inkml:inkSource>
      <inkml:timestamp xml:id="ts0" timeString="2016-11-30T12:59:23.695"/>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680</Words>
  <Characters>4018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janouskova</dc:creator>
  <cp:lastModifiedBy>student</cp:lastModifiedBy>
  <cp:revision>4</cp:revision>
  <dcterms:created xsi:type="dcterms:W3CDTF">2021-09-13T17:39:00Z</dcterms:created>
  <dcterms:modified xsi:type="dcterms:W3CDTF">2021-11-03T08:42:00Z</dcterms:modified>
</cp:coreProperties>
</file>