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43" w:rsidRPr="002B2843" w:rsidRDefault="00AF7657" w:rsidP="002B2843">
      <w:pPr>
        <w:ind w:firstLine="0"/>
        <w:jc w:val="center"/>
        <w:rPr>
          <w:i/>
          <w:lang w:val="cs-CZ"/>
        </w:rPr>
      </w:pPr>
      <w:r>
        <w:rPr>
          <w:i/>
          <w:lang w:val="cs-CZ"/>
        </w:rPr>
        <w:t>Procvičení teorie k</w:t>
      </w:r>
      <w:r w:rsidR="00427A55">
        <w:rPr>
          <w:i/>
          <w:lang w:val="cs-CZ"/>
        </w:rPr>
        <w:t> </w:t>
      </w:r>
      <w:r>
        <w:rPr>
          <w:i/>
          <w:lang w:val="cs-CZ"/>
        </w:rPr>
        <w:t>problematice</w:t>
      </w:r>
      <w:r w:rsidR="00427A55">
        <w:rPr>
          <w:i/>
          <w:lang w:val="cs-CZ"/>
        </w:rPr>
        <w:t xml:space="preserve"> šířky a hloubky sortimentu,</w:t>
      </w:r>
      <w:r>
        <w:rPr>
          <w:i/>
          <w:lang w:val="cs-CZ"/>
        </w:rPr>
        <w:t xml:space="preserve"> rozdělení zboží a určení jeho technologické skupiny</w:t>
      </w:r>
    </w:p>
    <w:p w:rsidR="00013BCE" w:rsidRDefault="00013BCE" w:rsidP="00013BCE">
      <w:pPr>
        <w:spacing w:before="0" w:after="0" w:line="240" w:lineRule="auto"/>
        <w:ind w:firstLine="0"/>
        <w:rPr>
          <w:lang w:val="cs-CZ"/>
        </w:rPr>
      </w:pPr>
    </w:p>
    <w:p w:rsidR="00013BCE" w:rsidRDefault="002B2843" w:rsidP="00013BCE">
      <w:pPr>
        <w:spacing w:before="0" w:after="0" w:line="240" w:lineRule="auto"/>
        <w:ind w:firstLine="0"/>
        <w:rPr>
          <w:b/>
          <w:lang w:val="cs-CZ"/>
        </w:rPr>
      </w:pPr>
      <w:r>
        <w:rPr>
          <w:lang w:val="cs-CZ"/>
        </w:rPr>
        <w:t xml:space="preserve">Možnosti zpracování: </w:t>
      </w:r>
      <w:r w:rsidRPr="002B2843">
        <w:rPr>
          <w:b/>
          <w:lang w:val="cs-CZ"/>
        </w:rPr>
        <w:t>v</w:t>
      </w:r>
      <w:r>
        <w:rPr>
          <w:b/>
          <w:lang w:val="cs-CZ"/>
        </w:rPr>
        <w:t> </w:t>
      </w:r>
      <w:r w:rsidRPr="002B2843">
        <w:rPr>
          <w:b/>
          <w:lang w:val="cs-CZ"/>
        </w:rPr>
        <w:t>týmu</w:t>
      </w:r>
      <w:r>
        <w:rPr>
          <w:b/>
          <w:lang w:val="cs-CZ"/>
        </w:rPr>
        <w:t xml:space="preserve"> (</w:t>
      </w:r>
      <w:r w:rsidR="00D9531D">
        <w:rPr>
          <w:b/>
          <w:lang w:val="cs-CZ"/>
        </w:rPr>
        <w:t>2-4 studenti</w:t>
      </w:r>
      <w:r>
        <w:rPr>
          <w:b/>
          <w:lang w:val="cs-CZ"/>
        </w:rPr>
        <w:t>)</w:t>
      </w:r>
      <w:r w:rsidR="00C05DBD">
        <w:rPr>
          <w:b/>
          <w:lang w:val="cs-CZ"/>
        </w:rPr>
        <w:t>.</w:t>
      </w:r>
      <w:r w:rsidR="00D9531D">
        <w:rPr>
          <w:b/>
          <w:lang w:val="cs-CZ"/>
        </w:rPr>
        <w:t xml:space="preserve"> </w:t>
      </w:r>
      <w:r>
        <w:rPr>
          <w:lang w:val="cs-CZ"/>
        </w:rPr>
        <w:t xml:space="preserve">Bodové ohodnocení: </w:t>
      </w:r>
      <w:r w:rsidR="00AF7657">
        <w:rPr>
          <w:b/>
          <w:lang w:val="cs-CZ"/>
        </w:rPr>
        <w:t xml:space="preserve">možnost získání </w:t>
      </w:r>
      <w:r w:rsidR="00C05DBD">
        <w:rPr>
          <w:b/>
          <w:lang w:val="cs-CZ"/>
        </w:rPr>
        <w:t xml:space="preserve">1 bonusového bodu, </w:t>
      </w:r>
      <w:r w:rsidR="00AF7657">
        <w:rPr>
          <w:b/>
          <w:lang w:val="cs-CZ"/>
        </w:rPr>
        <w:t>dle kvality zpracování</w:t>
      </w:r>
      <w:r w:rsidR="00C05DBD">
        <w:rPr>
          <w:b/>
          <w:lang w:val="cs-CZ"/>
        </w:rPr>
        <w:t>.</w:t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939"/>
        <w:gridCol w:w="6939"/>
      </w:tblGrid>
      <w:tr w:rsidR="00D9531D" w:rsidTr="00023F45">
        <w:trPr>
          <w:trHeight w:val="17"/>
        </w:trPr>
        <w:tc>
          <w:tcPr>
            <w:tcW w:w="6939" w:type="dxa"/>
          </w:tcPr>
          <w:p w:rsidR="00D9531D" w:rsidRPr="002B2843" w:rsidRDefault="00D9531D" w:rsidP="00E06122">
            <w:pPr>
              <w:spacing w:before="0" w:after="0" w:line="240" w:lineRule="auto"/>
              <w:ind w:firstLine="0"/>
              <w:rPr>
                <w:lang w:val="cs-CZ"/>
              </w:rPr>
            </w:pPr>
            <w:r w:rsidRPr="002B2843">
              <w:rPr>
                <w:lang w:val="cs-CZ"/>
              </w:rPr>
              <w:t>Jméno a příjmení:</w:t>
            </w:r>
          </w:p>
        </w:tc>
        <w:tc>
          <w:tcPr>
            <w:tcW w:w="6939" w:type="dxa"/>
          </w:tcPr>
          <w:p w:rsidR="00D9531D" w:rsidRPr="002B2843" w:rsidRDefault="00D9531D" w:rsidP="00E06122">
            <w:pPr>
              <w:spacing w:before="0" w:after="0" w:line="240" w:lineRule="auto"/>
              <w:ind w:firstLine="0"/>
              <w:rPr>
                <w:lang w:val="cs-CZ"/>
              </w:rPr>
            </w:pPr>
          </w:p>
        </w:tc>
      </w:tr>
      <w:tr w:rsidR="00D9531D" w:rsidTr="00023F45">
        <w:trPr>
          <w:trHeight w:val="17"/>
        </w:trPr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1.</w:t>
            </w:r>
          </w:p>
        </w:tc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3.</w:t>
            </w:r>
          </w:p>
        </w:tc>
      </w:tr>
      <w:tr w:rsidR="00D9531D" w:rsidTr="00023F45">
        <w:trPr>
          <w:trHeight w:val="17"/>
        </w:trPr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2.</w:t>
            </w:r>
          </w:p>
        </w:tc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4.</w:t>
            </w:r>
          </w:p>
        </w:tc>
      </w:tr>
    </w:tbl>
    <w:p w:rsidR="00013BCE" w:rsidRDefault="00013BCE" w:rsidP="00013BCE">
      <w:pPr>
        <w:spacing w:before="0" w:after="0" w:line="240" w:lineRule="auto"/>
        <w:ind w:firstLine="0"/>
        <w:rPr>
          <w:b/>
          <w:lang w:val="cs-CZ"/>
        </w:rPr>
      </w:pPr>
    </w:p>
    <w:p w:rsidR="00A9535D" w:rsidRPr="00FC080A" w:rsidRDefault="00FC080A" w:rsidP="00D9531D">
      <w:pPr>
        <w:pStyle w:val="Odstavecseseznamem"/>
        <w:numPr>
          <w:ilvl w:val="0"/>
          <w:numId w:val="5"/>
        </w:numPr>
        <w:spacing w:before="0" w:line="240" w:lineRule="auto"/>
        <w:ind w:left="284" w:hanging="284"/>
        <w:rPr>
          <w:b/>
          <w:lang w:val="cs-CZ"/>
        </w:rPr>
      </w:pPr>
      <w:r w:rsidRPr="00FC080A">
        <w:rPr>
          <w:lang w:val="cs-CZ"/>
        </w:rPr>
        <w:t>Vaš</w:t>
      </w:r>
      <w:r w:rsidR="00F32BE0">
        <w:rPr>
          <w:lang w:val="cs-CZ"/>
        </w:rPr>
        <w:t>í</w:t>
      </w:r>
      <w:r w:rsidRPr="00FC080A">
        <w:rPr>
          <w:lang w:val="cs-CZ"/>
        </w:rPr>
        <w:t xml:space="preserve">m </w:t>
      </w:r>
      <w:r w:rsidR="00F32BE0">
        <w:rPr>
          <w:lang w:val="cs-CZ"/>
        </w:rPr>
        <w:t xml:space="preserve">prvním </w:t>
      </w:r>
      <w:r w:rsidRPr="00FC080A">
        <w:rPr>
          <w:lang w:val="cs-CZ"/>
        </w:rPr>
        <w:t xml:space="preserve">úkolem bude si zvolit jednoho z těchto online maloobchodníků, prodávajících potraviny online: </w:t>
      </w:r>
      <w:r w:rsidR="00F32BE0">
        <w:rPr>
          <w:i/>
          <w:lang w:val="cs-CZ"/>
        </w:rPr>
        <w:t xml:space="preserve">iTesco.cz, Košík.cz </w:t>
      </w:r>
      <w:r w:rsidR="00F32BE0" w:rsidRPr="00F32BE0">
        <w:rPr>
          <w:lang w:val="cs-CZ"/>
        </w:rPr>
        <w:t>nebo</w:t>
      </w:r>
      <w:r w:rsidRPr="00F32BE0">
        <w:rPr>
          <w:i/>
          <w:lang w:val="cs-CZ"/>
        </w:rPr>
        <w:t xml:space="preserve"> Rohlík.cz</w:t>
      </w:r>
      <w:r w:rsidRPr="00F32BE0">
        <w:rPr>
          <w:lang w:val="cs-CZ"/>
        </w:rPr>
        <w:t>.</w:t>
      </w:r>
      <w:r w:rsidRPr="00FC080A">
        <w:rPr>
          <w:lang w:val="cs-CZ"/>
        </w:rPr>
        <w:t xml:space="preserve"> U zvoleného maloobchodníka </w:t>
      </w:r>
      <w:r w:rsidRPr="00CA5FD3">
        <w:rPr>
          <w:b/>
          <w:lang w:val="cs-CZ"/>
        </w:rPr>
        <w:t>rozhodněte o šířce sortimentu</w:t>
      </w:r>
      <w:r>
        <w:rPr>
          <w:lang w:val="cs-CZ"/>
        </w:rPr>
        <w:t xml:space="preserve"> (vypište, jak maloobchodník člení zboží dle šířky sortimentu a následně vypište jednotlivé výrobkové řady v tomto členění)</w:t>
      </w:r>
      <w:r w:rsidRPr="00FC080A">
        <w:rPr>
          <w:lang w:val="cs-CZ"/>
        </w:rPr>
        <w:t xml:space="preserve">. Následně si vyberte </w:t>
      </w:r>
      <w:r w:rsidRPr="00CA5FD3">
        <w:rPr>
          <w:b/>
          <w:lang w:val="cs-CZ"/>
        </w:rPr>
        <w:t>pouze jednu výrobkovou řadu</w:t>
      </w:r>
      <w:r w:rsidRPr="00FC080A">
        <w:rPr>
          <w:lang w:val="cs-CZ"/>
        </w:rPr>
        <w:t xml:space="preserve"> a u ní určete hloubku sortimentu</w:t>
      </w:r>
      <w:r>
        <w:rPr>
          <w:lang w:val="cs-CZ"/>
        </w:rPr>
        <w:t xml:space="preserve"> (určete počet sortimentních druhů</w:t>
      </w:r>
      <w:r w:rsidR="00FC5150">
        <w:rPr>
          <w:lang w:val="cs-CZ"/>
        </w:rPr>
        <w:t xml:space="preserve"> a napište kritérium, podle kterého jste určovali hloubku sortimentu</w:t>
      </w:r>
      <w:r>
        <w:rPr>
          <w:lang w:val="cs-CZ"/>
        </w:rPr>
        <w:t>)</w:t>
      </w:r>
      <w:r w:rsidRPr="00FC080A">
        <w:rPr>
          <w:lang w:val="cs-CZ"/>
        </w:rPr>
        <w:t xml:space="preserve">. </w:t>
      </w:r>
    </w:p>
    <w:p w:rsidR="00E06122" w:rsidRDefault="00E06122" w:rsidP="00786F6C">
      <w:pPr>
        <w:spacing w:before="0" w:line="240" w:lineRule="auto"/>
        <w:ind w:left="567" w:hanging="567"/>
        <w:rPr>
          <w:b/>
          <w:lang w:val="cs-CZ"/>
        </w:rPr>
      </w:pPr>
    </w:p>
    <w:p w:rsidR="00CA5FD3" w:rsidRDefault="00CA5FD3" w:rsidP="00D9531D">
      <w:pPr>
        <w:spacing w:before="0" w:line="240" w:lineRule="auto"/>
        <w:ind w:firstLine="0"/>
        <w:rPr>
          <w:b/>
          <w:lang w:val="cs-CZ"/>
        </w:rPr>
      </w:pPr>
      <w:r w:rsidRPr="00CA5FD3">
        <w:rPr>
          <w:i/>
          <w:lang w:val="cs-CZ"/>
        </w:rPr>
        <w:t xml:space="preserve">(Nápověda: 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>V prodejně potravin může být členění zboží na maso a uzeniny, mléko a mlékárenské výrobky, pečivo, ovoce a zelenina atd.</w:t>
      </w:r>
      <w:r>
        <w:rPr>
          <w:i/>
          <w:iCs/>
          <w:color w:val="000000"/>
          <w:szCs w:val="27"/>
          <w:shd w:val="clear" w:color="auto" w:fill="FFFFFF"/>
          <w:lang w:val="cs-CZ"/>
        </w:rPr>
        <w:t>, což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 xml:space="preserve"> představuje šířku sortimentu. Dále členění mléka a mlékárenských výrobků na mléko, sýry, jogurty atd. je stále šířka sortimentu</w:t>
      </w:r>
      <w:r w:rsidR="00193374">
        <w:rPr>
          <w:i/>
          <w:iCs/>
          <w:color w:val="000000"/>
          <w:szCs w:val="27"/>
          <w:shd w:val="clear" w:color="auto" w:fill="FFFFFF"/>
          <w:lang w:val="cs-CZ"/>
        </w:rPr>
        <w:t xml:space="preserve"> (sortimentní podskupina)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 xml:space="preserve">, ale členění jogurtů podle příchutí, atd. je </w:t>
      </w:r>
      <w:r>
        <w:rPr>
          <w:i/>
          <w:iCs/>
          <w:color w:val="000000"/>
          <w:szCs w:val="27"/>
          <w:shd w:val="clear" w:color="auto" w:fill="FFFFFF"/>
          <w:lang w:val="cs-CZ"/>
        </w:rPr>
        <w:t xml:space="preserve">již 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>hloubka sortimentu.</w:t>
      </w:r>
      <w:r>
        <w:rPr>
          <w:i/>
          <w:iCs/>
          <w:color w:val="000000"/>
          <w:szCs w:val="27"/>
          <w:shd w:val="clear" w:color="auto" w:fill="FFFFFF"/>
          <w:lang w:val="cs-CZ"/>
        </w:rPr>
        <w:t>)</w:t>
      </w:r>
    </w:p>
    <w:p w:rsidR="00E06122" w:rsidRDefault="00E06122" w:rsidP="00786F6C">
      <w:pPr>
        <w:spacing w:before="0" w:line="240" w:lineRule="auto"/>
        <w:ind w:left="567" w:hanging="567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>Zvolený maloobchodník:</w:t>
      </w: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>Šířka sortimentu:</w:t>
      </w: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D9531D" w:rsidRDefault="00D9531D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>Vybraná výrobková řada:</w:t>
      </w: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>Určení hloubky sortimentu:</w:t>
      </w: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F32BE0" w:rsidRDefault="00D9531D" w:rsidP="00786F6C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>Jak byste zjistili průměrnou hloubku výrobkové řady?</w:t>
      </w:r>
    </w:p>
    <w:p w:rsidR="00FC5150" w:rsidRPr="00FC5150" w:rsidRDefault="00FC5150" w:rsidP="00D9531D">
      <w:pPr>
        <w:pStyle w:val="Odstavecseseznamem"/>
        <w:numPr>
          <w:ilvl w:val="0"/>
          <w:numId w:val="5"/>
        </w:numPr>
        <w:spacing w:before="0" w:line="240" w:lineRule="auto"/>
        <w:ind w:left="284" w:hanging="284"/>
        <w:rPr>
          <w:b/>
          <w:lang w:val="cs-CZ"/>
        </w:rPr>
      </w:pPr>
      <w:r>
        <w:rPr>
          <w:lang w:val="cs-CZ"/>
        </w:rPr>
        <w:lastRenderedPageBreak/>
        <w:t xml:space="preserve">Vaším dalším úkolem bude rozhodnout, o </w:t>
      </w:r>
      <w:r w:rsidRPr="00F32BE0">
        <w:rPr>
          <w:b/>
          <w:lang w:val="cs-CZ"/>
        </w:rPr>
        <w:t>jaký sortiment se jedná z pohledu mezinárodního členění sortimentu spotřebního zboží a</w:t>
      </w:r>
      <w:r w:rsidR="00D9531D">
        <w:rPr>
          <w:b/>
          <w:lang w:val="cs-CZ"/>
        </w:rPr>
        <w:t> </w:t>
      </w:r>
      <w:r w:rsidRPr="00F32BE0">
        <w:rPr>
          <w:b/>
          <w:lang w:val="cs-CZ"/>
        </w:rPr>
        <w:t xml:space="preserve">z pohledu technologické skupiny zboží </w:t>
      </w:r>
      <w:r>
        <w:rPr>
          <w:lang w:val="cs-CZ"/>
        </w:rPr>
        <w:t xml:space="preserve">(pokud je to možné, ne u všech příkladů je možné toto určit) u následujících případů:   </w:t>
      </w:r>
    </w:p>
    <w:p w:rsidR="00FC5150" w:rsidRDefault="00FC5150" w:rsidP="00FC5150">
      <w:pPr>
        <w:pStyle w:val="Odstavecseseznamem"/>
        <w:spacing w:before="0" w:after="0" w:line="240" w:lineRule="auto"/>
        <w:ind w:left="284" w:firstLine="0"/>
      </w:pPr>
    </w:p>
    <w:tbl>
      <w:tblPr>
        <w:tblStyle w:val="Mkatabulky2"/>
        <w:tblpPr w:leftFromText="141" w:rightFromText="141" w:vertAnchor="page" w:horzAnchor="margin" w:tblpY="2257"/>
        <w:tblW w:w="14019" w:type="dxa"/>
        <w:tblLayout w:type="fixed"/>
        <w:tblLook w:val="04A0" w:firstRow="1" w:lastRow="0" w:firstColumn="1" w:lastColumn="0" w:noHBand="0" w:noVBand="1"/>
      </w:tblPr>
      <w:tblGrid>
        <w:gridCol w:w="2679"/>
        <w:gridCol w:w="1701"/>
        <w:gridCol w:w="1992"/>
        <w:gridCol w:w="1133"/>
        <w:gridCol w:w="1135"/>
        <w:gridCol w:w="1134"/>
        <w:gridCol w:w="1551"/>
        <w:gridCol w:w="2694"/>
      </w:tblGrid>
      <w:tr w:rsidR="009532FB" w:rsidRPr="00D9531D" w:rsidTr="009532FB"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32FB" w:rsidRPr="00D9531D" w:rsidRDefault="009532FB" w:rsidP="009532FB">
            <w:pPr>
              <w:spacing w:before="120" w:after="0" w:line="240" w:lineRule="auto"/>
              <w:ind w:firstLine="0"/>
              <w:rPr>
                <w:b/>
                <w:lang w:val="cs-CZ"/>
              </w:rPr>
            </w:pPr>
            <w:r w:rsidRPr="00D9531D">
              <w:rPr>
                <w:b/>
                <w:sz w:val="22"/>
                <w:szCs w:val="22"/>
                <w:lang w:val="cs-CZ"/>
              </w:rPr>
              <w:t>Druh zboží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32FB" w:rsidRPr="00D9531D" w:rsidRDefault="009532FB" w:rsidP="00464E61">
            <w:pPr>
              <w:spacing w:before="0" w:after="160" w:line="259" w:lineRule="auto"/>
              <w:ind w:firstLine="0"/>
              <w:contextualSpacing w:val="0"/>
              <w:jc w:val="center"/>
              <w:rPr>
                <w:b/>
                <w:lang w:val="cs-CZ"/>
              </w:rPr>
            </w:pPr>
            <w:r w:rsidRPr="00D9531D">
              <w:rPr>
                <w:b/>
                <w:lang w:val="cs-CZ"/>
              </w:rPr>
              <w:t>MEZINÁRODNÍ ČLENĚNÍ SORTIMENTU SPOTŘEBNÍHO ZBOŽÍ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32FB" w:rsidRPr="00D9531D" w:rsidRDefault="009532FB" w:rsidP="00464E61">
            <w:pPr>
              <w:spacing w:before="0" w:after="160" w:line="259" w:lineRule="auto"/>
              <w:ind w:firstLine="0"/>
              <w:contextualSpacing w:val="0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TECHNOLOGICKÁ SKUPINA</w:t>
            </w:r>
          </w:p>
        </w:tc>
      </w:tr>
      <w:tr w:rsidR="009532FB" w:rsidRPr="00D9531D" w:rsidTr="009532FB"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jc w:val="left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3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32FB" w:rsidRPr="00D9531D" w:rsidRDefault="009532FB" w:rsidP="00464E61">
            <w:pPr>
              <w:spacing w:before="0" w:after="160" w:line="259" w:lineRule="auto"/>
              <w:ind w:firstLine="0"/>
              <w:contextualSpacing w:val="0"/>
              <w:jc w:val="center"/>
              <w:rPr>
                <w:b/>
                <w:lang w:val="cs-CZ"/>
              </w:rPr>
            </w:pPr>
            <w:r w:rsidRPr="00D9531D">
              <w:rPr>
                <w:b/>
                <w:lang w:val="cs-CZ"/>
              </w:rPr>
              <w:t>POTRAVINÁŘSKÉ ZBOŽÍ</w:t>
            </w:r>
          </w:p>
        </w:tc>
        <w:tc>
          <w:tcPr>
            <w:tcW w:w="49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32FB" w:rsidRPr="00D9531D" w:rsidRDefault="009532FB" w:rsidP="00464E61">
            <w:pPr>
              <w:spacing w:before="0" w:after="160" w:line="259" w:lineRule="auto"/>
              <w:ind w:firstLine="0"/>
              <w:contextualSpacing w:val="0"/>
              <w:jc w:val="center"/>
              <w:rPr>
                <w:b/>
                <w:lang w:val="cs-CZ"/>
              </w:rPr>
            </w:pPr>
            <w:r w:rsidRPr="00D9531D">
              <w:rPr>
                <w:b/>
                <w:lang w:val="cs-CZ"/>
              </w:rPr>
              <w:t>NEPOTRAVINÁŘSKÉ ZBOŽÍ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532FB" w:rsidRPr="00D9531D" w:rsidRDefault="009532FB" w:rsidP="00464E61">
            <w:pPr>
              <w:spacing w:before="0" w:after="160" w:line="259" w:lineRule="auto"/>
              <w:ind w:firstLine="0"/>
              <w:contextualSpacing w:val="0"/>
              <w:jc w:val="center"/>
              <w:rPr>
                <w:b/>
                <w:lang w:val="cs-CZ"/>
              </w:rPr>
            </w:pPr>
          </w:p>
        </w:tc>
      </w:tr>
      <w:tr w:rsidR="009532FB" w:rsidRPr="00D9531D" w:rsidTr="009532FB"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jc w:val="center"/>
              <w:rPr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Suchý sortiment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jc w:val="center"/>
              <w:rPr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Rychle se kazící sortiment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jc w:val="center"/>
              <w:rPr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Měkké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2FB" w:rsidRPr="009532FB" w:rsidRDefault="009532FB" w:rsidP="00464E61">
            <w:pPr>
              <w:spacing w:before="120" w:after="0" w:line="240" w:lineRule="auto"/>
              <w:ind w:firstLine="0"/>
              <w:jc w:val="center"/>
              <w:rPr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Tvrdé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jc w:val="center"/>
              <w:rPr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Bílé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jc w:val="center"/>
              <w:rPr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Hnědé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2FB" w:rsidRPr="00D9531D" w:rsidRDefault="009532FB" w:rsidP="00464E61">
            <w:pPr>
              <w:spacing w:before="120" w:after="0" w:line="240" w:lineRule="auto"/>
              <w:ind w:firstLine="0"/>
              <w:jc w:val="center"/>
              <w:rPr>
                <w:sz w:val="22"/>
                <w:szCs w:val="22"/>
                <w:lang w:val="cs-CZ"/>
              </w:rPr>
            </w:pPr>
            <w:r w:rsidRPr="009532FB">
              <w:rPr>
                <w:sz w:val="22"/>
                <w:szCs w:val="22"/>
                <w:lang w:val="cs-CZ"/>
              </w:rPr>
              <w:t>*</w:t>
            </w:r>
          </w:p>
        </w:tc>
      </w:tr>
      <w:tr w:rsidR="00464E61" w:rsidRPr="00D9531D" w:rsidTr="009532FB"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Jablka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/>
              </w:rPr>
              <w:t>Granny</w:t>
            </w:r>
            <w:proofErr w:type="spellEnd"/>
            <w:r>
              <w:rPr>
                <w:sz w:val="22"/>
                <w:szCs w:val="22"/>
                <w:lang w:val="cs-CZ"/>
              </w:rPr>
              <w:t xml:space="preserve"> Smith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Jahodový mléčný nápoj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0" w:after="0" w:line="240" w:lineRule="auto"/>
              <w:ind w:firstLine="0"/>
              <w:jc w:val="left"/>
              <w:rPr>
                <w:b/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 xml:space="preserve">Králičí maso – pult. </w:t>
            </w:r>
            <w:proofErr w:type="gramStart"/>
            <w:r w:rsidRPr="00D9531D">
              <w:rPr>
                <w:sz w:val="22"/>
                <w:szCs w:val="22"/>
                <w:lang w:val="cs-CZ"/>
              </w:rPr>
              <w:t>prodej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Sůl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Lněný olej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E0217F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Exotické ovoce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Stůl z borovice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Prášek na praní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Parfémy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 w:rsidRPr="00D9531D">
              <w:rPr>
                <w:sz w:val="22"/>
                <w:szCs w:val="22"/>
                <w:lang w:val="cs-CZ"/>
              </w:rPr>
              <w:t>Krmivo pro kočky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E0217F" w:rsidP="00464E61">
            <w:pPr>
              <w:spacing w:before="120" w:after="0" w:line="240" w:lineRule="auto"/>
              <w:ind w:firstLine="0"/>
              <w:rPr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Kakao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Bílá čokoláda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Rádio na baterky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Smart televize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Likéry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  <w:tr w:rsidR="00464E61" w:rsidRPr="00D9531D" w:rsidTr="009532FB">
        <w:tc>
          <w:tcPr>
            <w:tcW w:w="2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Kotníkové boty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lang w:val="cs-CZ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  <w:tc>
          <w:tcPr>
            <w:tcW w:w="1551" w:type="dxa"/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464E61" w:rsidRPr="00D9531D" w:rsidRDefault="00464E61" w:rsidP="00464E61">
            <w:pPr>
              <w:spacing w:before="120" w:after="0" w:line="240" w:lineRule="auto"/>
              <w:ind w:firstLine="0"/>
              <w:jc w:val="center"/>
              <w:rPr>
                <w:b/>
                <w:lang w:val="cs-CZ"/>
              </w:rPr>
            </w:pPr>
          </w:p>
        </w:tc>
      </w:tr>
    </w:tbl>
    <w:p w:rsidR="00B967B7" w:rsidRPr="00464E61" w:rsidRDefault="00B967B7" w:rsidP="00770357">
      <w:pPr>
        <w:spacing w:before="120" w:after="0" w:line="240" w:lineRule="auto"/>
        <w:ind w:firstLine="0"/>
        <w:rPr>
          <w:lang w:val="cs-CZ"/>
        </w:rPr>
      </w:pPr>
      <w:r w:rsidRPr="00464E61">
        <w:rPr>
          <w:lang w:val="cs-CZ"/>
        </w:rPr>
        <w:t xml:space="preserve">*1) Aromaticky agresivní, 2) Absorbující pachy, 3) Vyžadující </w:t>
      </w:r>
      <w:proofErr w:type="spellStart"/>
      <w:r w:rsidRPr="00464E61">
        <w:rPr>
          <w:lang w:val="cs-CZ"/>
        </w:rPr>
        <w:t>spec</w:t>
      </w:r>
      <w:proofErr w:type="spellEnd"/>
      <w:r w:rsidRPr="00464E61">
        <w:rPr>
          <w:lang w:val="cs-CZ"/>
        </w:rPr>
        <w:t xml:space="preserve">. </w:t>
      </w:r>
      <w:proofErr w:type="gramStart"/>
      <w:r w:rsidRPr="00464E61">
        <w:rPr>
          <w:lang w:val="cs-CZ"/>
        </w:rPr>
        <w:t>klimatické</w:t>
      </w:r>
      <w:proofErr w:type="gramEnd"/>
      <w:r w:rsidRPr="00464E61">
        <w:rPr>
          <w:lang w:val="cs-CZ"/>
        </w:rPr>
        <w:t xml:space="preserve"> podmínky, 4) Vyžadující </w:t>
      </w:r>
      <w:proofErr w:type="spellStart"/>
      <w:r w:rsidRPr="00464E61">
        <w:rPr>
          <w:lang w:val="cs-CZ"/>
        </w:rPr>
        <w:t>spec</w:t>
      </w:r>
      <w:proofErr w:type="spellEnd"/>
      <w:r w:rsidRPr="00464E61">
        <w:rPr>
          <w:lang w:val="cs-CZ"/>
        </w:rPr>
        <w:t>. bezpečnostní podmínky, 5) Náročné na manipulaci, dopravu</w:t>
      </w:r>
    </w:p>
    <w:sectPr w:rsidR="00B967B7" w:rsidRPr="00464E61" w:rsidSect="00D9531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3D" w:rsidRDefault="0031753D" w:rsidP="002B2843">
      <w:pPr>
        <w:spacing w:before="0" w:after="0" w:line="240" w:lineRule="auto"/>
      </w:pPr>
      <w:r>
        <w:separator/>
      </w:r>
    </w:p>
  </w:endnote>
  <w:endnote w:type="continuationSeparator" w:id="0">
    <w:p w:rsidR="0031753D" w:rsidRDefault="0031753D" w:rsidP="002B28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3D" w:rsidRDefault="0031753D" w:rsidP="002B2843">
      <w:pPr>
        <w:spacing w:before="0" w:after="0" w:line="240" w:lineRule="auto"/>
      </w:pPr>
      <w:r>
        <w:separator/>
      </w:r>
    </w:p>
  </w:footnote>
  <w:footnote w:type="continuationSeparator" w:id="0">
    <w:p w:rsidR="0031753D" w:rsidRDefault="0031753D" w:rsidP="002B28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01" w:rsidRPr="00854901" w:rsidRDefault="00854901" w:rsidP="00854901">
    <w:pPr>
      <w:ind w:firstLine="0"/>
      <w:jc w:val="center"/>
      <w:rPr>
        <w:b/>
        <w:lang w:val="cs-CZ"/>
      </w:rPr>
    </w:pPr>
    <w:r>
      <w:rPr>
        <w:b/>
        <w:lang w:val="cs-CZ"/>
      </w:rPr>
      <w:t xml:space="preserve">Ekonomika obchodu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100"/>
    <w:multiLevelType w:val="hybridMultilevel"/>
    <w:tmpl w:val="FDF41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2B8A"/>
    <w:multiLevelType w:val="hybridMultilevel"/>
    <w:tmpl w:val="2A7A1278"/>
    <w:lvl w:ilvl="0" w:tplc="F7DEAD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8D20FB"/>
    <w:multiLevelType w:val="hybridMultilevel"/>
    <w:tmpl w:val="5AAC085E"/>
    <w:lvl w:ilvl="0" w:tplc="00225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B61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6E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A8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5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A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AF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E503D"/>
    <w:multiLevelType w:val="hybridMultilevel"/>
    <w:tmpl w:val="3B8007B4"/>
    <w:lvl w:ilvl="0" w:tplc="9488A6F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MDM3MjO2sDAyNzNT0lEKTi0uzszPAykwqQUADGsOtCwAAAA="/>
  </w:docVars>
  <w:rsids>
    <w:rsidRoot w:val="002B2843"/>
    <w:rsid w:val="00013BCE"/>
    <w:rsid w:val="00076856"/>
    <w:rsid w:val="00082081"/>
    <w:rsid w:val="000F470F"/>
    <w:rsid w:val="00101E92"/>
    <w:rsid w:val="00106E9B"/>
    <w:rsid w:val="00165EB2"/>
    <w:rsid w:val="00193374"/>
    <w:rsid w:val="001B1092"/>
    <w:rsid w:val="001B53EF"/>
    <w:rsid w:val="001D2B61"/>
    <w:rsid w:val="002235FE"/>
    <w:rsid w:val="002B2843"/>
    <w:rsid w:val="002F54DF"/>
    <w:rsid w:val="00303097"/>
    <w:rsid w:val="0031753D"/>
    <w:rsid w:val="00425CE3"/>
    <w:rsid w:val="00427A55"/>
    <w:rsid w:val="00464E61"/>
    <w:rsid w:val="0054257F"/>
    <w:rsid w:val="00552A5D"/>
    <w:rsid w:val="0064195C"/>
    <w:rsid w:val="00667D35"/>
    <w:rsid w:val="006842E1"/>
    <w:rsid w:val="00696429"/>
    <w:rsid w:val="006A1D39"/>
    <w:rsid w:val="006C1B07"/>
    <w:rsid w:val="006D74FA"/>
    <w:rsid w:val="006E7FAA"/>
    <w:rsid w:val="00752610"/>
    <w:rsid w:val="00770357"/>
    <w:rsid w:val="00782418"/>
    <w:rsid w:val="00786F6C"/>
    <w:rsid w:val="007972E7"/>
    <w:rsid w:val="007A36CA"/>
    <w:rsid w:val="007A6DC5"/>
    <w:rsid w:val="007C21C4"/>
    <w:rsid w:val="0081694F"/>
    <w:rsid w:val="00817D2C"/>
    <w:rsid w:val="00854901"/>
    <w:rsid w:val="00872904"/>
    <w:rsid w:val="008906D4"/>
    <w:rsid w:val="009532FB"/>
    <w:rsid w:val="0098305B"/>
    <w:rsid w:val="009F5D4A"/>
    <w:rsid w:val="00A01C2E"/>
    <w:rsid w:val="00A4266C"/>
    <w:rsid w:val="00A50F18"/>
    <w:rsid w:val="00A804D9"/>
    <w:rsid w:val="00A822F8"/>
    <w:rsid w:val="00A8545B"/>
    <w:rsid w:val="00A91DBA"/>
    <w:rsid w:val="00A9535D"/>
    <w:rsid w:val="00AB7AF1"/>
    <w:rsid w:val="00AF7657"/>
    <w:rsid w:val="00B043BE"/>
    <w:rsid w:val="00B822EF"/>
    <w:rsid w:val="00B842CC"/>
    <w:rsid w:val="00B846DD"/>
    <w:rsid w:val="00B967B7"/>
    <w:rsid w:val="00BA0697"/>
    <w:rsid w:val="00BE284D"/>
    <w:rsid w:val="00BE7CCF"/>
    <w:rsid w:val="00C05DBD"/>
    <w:rsid w:val="00CA5FD3"/>
    <w:rsid w:val="00D114CF"/>
    <w:rsid w:val="00D344A5"/>
    <w:rsid w:val="00D35A57"/>
    <w:rsid w:val="00D3671A"/>
    <w:rsid w:val="00D41ABA"/>
    <w:rsid w:val="00D55E98"/>
    <w:rsid w:val="00D64143"/>
    <w:rsid w:val="00D75B78"/>
    <w:rsid w:val="00D92AFA"/>
    <w:rsid w:val="00D9531D"/>
    <w:rsid w:val="00E0217F"/>
    <w:rsid w:val="00E06122"/>
    <w:rsid w:val="00E136EA"/>
    <w:rsid w:val="00E36ED3"/>
    <w:rsid w:val="00E427B9"/>
    <w:rsid w:val="00E75F7F"/>
    <w:rsid w:val="00E93052"/>
    <w:rsid w:val="00F32BE0"/>
    <w:rsid w:val="00F72AB6"/>
    <w:rsid w:val="00FC080A"/>
    <w:rsid w:val="00FC3345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B7FE"/>
  <w15:chartTrackingRefBased/>
  <w15:docId w15:val="{D078903A-3D85-43CF-87F8-8C33404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2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2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843"/>
    <w:rPr>
      <w:rFonts w:ascii="Times New Roman" w:hAnsi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2B2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843"/>
    <w:rPr>
      <w:rFonts w:ascii="Times New Roman" w:hAnsi="Times New Roman"/>
      <w:sz w:val="24"/>
      <w:szCs w:val="24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427A5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080A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D95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95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ADB1-1037-47D1-8389-28AFF317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2021-10-10T11:30:00Z</dcterms:created>
  <dcterms:modified xsi:type="dcterms:W3CDTF">2021-10-10T11:30:00Z</dcterms:modified>
</cp:coreProperties>
</file>