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E2" w:rsidRPr="00124254" w:rsidRDefault="003338E2" w:rsidP="003338E2">
      <w:pPr>
        <w:rPr>
          <w:rFonts w:ascii="Times New Roman" w:hAnsi="Times New Roman" w:cs="Times New Roman"/>
          <w:b/>
          <w:sz w:val="24"/>
          <w:u w:val="single"/>
        </w:rPr>
      </w:pPr>
      <w:r w:rsidRPr="00124254">
        <w:rPr>
          <w:rFonts w:ascii="Times New Roman" w:hAnsi="Times New Roman" w:cs="Times New Roman"/>
          <w:b/>
          <w:sz w:val="24"/>
          <w:u w:val="single"/>
        </w:rPr>
        <w:t>Example 1</w:t>
      </w:r>
    </w:p>
    <w:p w:rsidR="009E3FA7" w:rsidRPr="00124254" w:rsidRDefault="009E3FA7" w:rsidP="003338E2">
      <w:pPr>
        <w:rPr>
          <w:rFonts w:ascii="Times New Roman" w:hAnsi="Times New Roman" w:cs="Times New Roman"/>
          <w:b/>
          <w:sz w:val="24"/>
          <w:u w:val="single"/>
        </w:rPr>
      </w:pPr>
    </w:p>
    <w:tbl>
      <w:tblPr>
        <w:tblStyle w:val="Mkatabulky"/>
        <w:tblW w:w="8832" w:type="dxa"/>
        <w:tblLook w:val="04A0" w:firstRow="1" w:lastRow="0" w:firstColumn="1" w:lastColumn="0" w:noHBand="0" w:noVBand="1"/>
      </w:tblPr>
      <w:tblGrid>
        <w:gridCol w:w="5250"/>
        <w:gridCol w:w="3582"/>
      </w:tblGrid>
      <w:tr w:rsidR="008A23CE" w:rsidRPr="00124254" w:rsidTr="001961AC">
        <w:trPr>
          <w:trHeight w:val="407"/>
        </w:trPr>
        <w:tc>
          <w:tcPr>
            <w:tcW w:w="5250"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b/>
                <w:bCs/>
                <w:sz w:val="24"/>
                <w:lang w:val="en-GB"/>
              </w:rPr>
              <w:t>Items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b/>
                <w:bCs/>
                <w:sz w:val="24"/>
                <w:lang w:val="en-GB"/>
              </w:rPr>
              <w:t>Units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Annual production</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100 000 pcs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material costs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direct wages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20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variable production overhead</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 of direct wages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Production machine leasing</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500 000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Contribution to the payment of fixed costs and the creation of profit</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5 000 000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Recommended price by the marketing department</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190 CZK – 210 CZK</w:t>
            </w:r>
          </w:p>
        </w:tc>
      </w:tr>
    </w:tbl>
    <w:p w:rsidR="008A23CE" w:rsidRPr="00124254" w:rsidRDefault="008A23CE" w:rsidP="008A23CE"/>
    <w:p w:rsidR="008A23CE" w:rsidRPr="00124254" w:rsidRDefault="008A23CE" w:rsidP="008A23CE">
      <w:pPr>
        <w:pStyle w:val="Odstavecseseznamem"/>
        <w:numPr>
          <w:ilvl w:val="0"/>
          <w:numId w:val="24"/>
        </w:numPr>
        <w:spacing w:after="160" w:line="259" w:lineRule="auto"/>
        <w:jc w:val="left"/>
        <w:rPr>
          <w:lang w:val="en-GB"/>
        </w:rPr>
      </w:pPr>
      <w:r w:rsidRPr="00124254">
        <w:rPr>
          <w:rStyle w:val="rynqvb"/>
          <w:lang w:val="en-GB"/>
        </w:rPr>
        <w:t xml:space="preserve">What will be the proposed </w:t>
      </w:r>
      <w:r w:rsidR="002A5169">
        <w:rPr>
          <w:rStyle w:val="rynqvb"/>
          <w:lang w:val="en-GB"/>
        </w:rPr>
        <w:t xml:space="preserve">selling </w:t>
      </w:r>
      <w:bookmarkStart w:id="0" w:name="_GoBack"/>
      <w:bookmarkEnd w:id="0"/>
      <w:r w:rsidRPr="00124254">
        <w:rPr>
          <w:rStyle w:val="rynqvb"/>
          <w:lang w:val="en-GB"/>
        </w:rPr>
        <w:t>price of the product?</w:t>
      </w:r>
    </w:p>
    <w:p w:rsidR="009E3FA7" w:rsidRPr="00124254" w:rsidRDefault="009E3FA7" w:rsidP="003338E2">
      <w:pPr>
        <w:rPr>
          <w:rFonts w:ascii="Times New Roman" w:hAnsi="Times New Roman" w:cs="Times New Roman"/>
          <w:b/>
          <w:sz w:val="24"/>
          <w:u w:val="single"/>
        </w:rPr>
      </w:pPr>
    </w:p>
    <w:p w:rsidR="00C97DC5" w:rsidRPr="00124254" w:rsidRDefault="00C97DC5" w:rsidP="003338E2">
      <w:pPr>
        <w:rPr>
          <w:rFonts w:ascii="Times New Roman" w:hAnsi="Times New Roman" w:cs="Times New Roman"/>
          <w:b/>
          <w:sz w:val="24"/>
          <w:u w:val="single"/>
        </w:rPr>
      </w:pPr>
      <w:r w:rsidRPr="00124254">
        <w:rPr>
          <w:rFonts w:ascii="Times New Roman" w:hAnsi="Times New Roman" w:cs="Times New Roman"/>
          <w:b/>
          <w:sz w:val="24"/>
          <w:u w:val="single"/>
        </w:rPr>
        <w:t>Example 2</w:t>
      </w:r>
    </w:p>
    <w:p w:rsidR="00C31321" w:rsidRPr="00124254" w:rsidRDefault="00C31321" w:rsidP="00016147">
      <w:pPr>
        <w:autoSpaceDE w:val="0"/>
        <w:autoSpaceDN w:val="0"/>
        <w:adjustRightInd w:val="0"/>
        <w:rPr>
          <w:rStyle w:val="tlid-translation"/>
          <w:rFonts w:ascii="Times New Roman" w:hAnsi="Times New Roman" w:cs="Times New Roman"/>
          <w:sz w:val="24"/>
        </w:rPr>
      </w:pPr>
      <w:r w:rsidRPr="00124254">
        <w:rPr>
          <w:rStyle w:val="tlid-translation"/>
          <w:rFonts w:ascii="Times New Roman" w:hAnsi="Times New Roman" w:cs="Times New Roman"/>
          <w:sz w:val="24"/>
        </w:rPr>
        <w:t>In the company, the following unit cost calculation is currently valid for the product marked as ABC, which is valid for 50.000 products (CZK/piece):</w:t>
      </w:r>
    </w:p>
    <w:tbl>
      <w:tblPr>
        <w:tblStyle w:val="Mkatabulky"/>
        <w:tblW w:w="0" w:type="auto"/>
        <w:tblLook w:val="04A0" w:firstRow="1" w:lastRow="0" w:firstColumn="1" w:lastColumn="0" w:noHBand="0" w:noVBand="1"/>
      </w:tblPr>
      <w:tblGrid>
        <w:gridCol w:w="4531"/>
        <w:gridCol w:w="4531"/>
      </w:tblGrid>
      <w:tr w:rsidR="00C31321" w:rsidRPr="00124254" w:rsidTr="001961AC">
        <w:tc>
          <w:tcPr>
            <w:tcW w:w="4531" w:type="dxa"/>
          </w:tcPr>
          <w:p w:rsidR="00C31321" w:rsidRPr="00124254" w:rsidRDefault="00C31321" w:rsidP="00C31321">
            <w:pPr>
              <w:jc w:val="center"/>
              <w:rPr>
                <w:rFonts w:ascii="Times New Roman" w:hAnsi="Times New Roman" w:cs="Times New Roman"/>
                <w:b/>
                <w:sz w:val="24"/>
                <w:lang w:val="en-GB"/>
              </w:rPr>
            </w:pPr>
            <w:r w:rsidRPr="00124254">
              <w:rPr>
                <w:rFonts w:ascii="Times New Roman" w:hAnsi="Times New Roman" w:cs="Times New Roman"/>
                <w:b/>
                <w:sz w:val="24"/>
                <w:lang w:val="en-GB"/>
              </w:rPr>
              <w:t>Items</w:t>
            </w:r>
          </w:p>
        </w:tc>
        <w:tc>
          <w:tcPr>
            <w:tcW w:w="4531" w:type="dxa"/>
          </w:tcPr>
          <w:p w:rsidR="00C31321" w:rsidRPr="00124254" w:rsidRDefault="00C31321" w:rsidP="00C31321">
            <w:pPr>
              <w:jc w:val="center"/>
              <w:rPr>
                <w:rFonts w:ascii="Times New Roman" w:hAnsi="Times New Roman" w:cs="Times New Roman"/>
                <w:b/>
                <w:sz w:val="24"/>
                <w:lang w:val="en-GB"/>
              </w:rPr>
            </w:pPr>
            <w:r w:rsidRPr="00124254">
              <w:rPr>
                <w:rFonts w:ascii="Times New Roman" w:hAnsi="Times New Roman" w:cs="Times New Roman"/>
                <w:b/>
                <w:sz w:val="24"/>
                <w:lang w:val="en-GB"/>
              </w:rPr>
              <w:t>Units</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Selling price of the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500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Variable costs</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300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Fonts w:ascii="Times New Roman" w:hAnsi="Times New Roman" w:cs="Times New Roman"/>
                <w:sz w:val="24"/>
                <w:lang w:val="en-GB"/>
              </w:rPr>
              <w:t>Contribution margin</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200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Fixed costs of the assigned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120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Profit per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80</w:t>
            </w:r>
          </w:p>
        </w:tc>
      </w:tr>
    </w:tbl>
    <w:p w:rsidR="00C31321" w:rsidRPr="00124254" w:rsidRDefault="00C31321" w:rsidP="00016147">
      <w:pPr>
        <w:autoSpaceDE w:val="0"/>
        <w:autoSpaceDN w:val="0"/>
        <w:adjustRightInd w:val="0"/>
        <w:rPr>
          <w:rStyle w:val="tlid-translation"/>
          <w:rFonts w:ascii="Times New Roman" w:hAnsi="Times New Roman" w:cs="Times New Roman"/>
          <w:sz w:val="24"/>
        </w:rPr>
      </w:pPr>
    </w:p>
    <w:tbl>
      <w:tblPr>
        <w:tblStyle w:val="Mkatabulky"/>
        <w:tblpPr w:leftFromText="141" w:rightFromText="141" w:vertAnchor="page" w:horzAnchor="margin" w:tblpY="11701"/>
        <w:tblW w:w="9188" w:type="dxa"/>
        <w:tblLook w:val="04A0" w:firstRow="1" w:lastRow="0" w:firstColumn="1" w:lastColumn="0" w:noHBand="0" w:noVBand="1"/>
      </w:tblPr>
      <w:tblGrid>
        <w:gridCol w:w="5454"/>
        <w:gridCol w:w="3734"/>
      </w:tblGrid>
      <w:tr w:rsidR="00F310B7" w:rsidRPr="00124254" w:rsidTr="00F310B7">
        <w:trPr>
          <w:trHeight w:val="224"/>
        </w:trPr>
        <w:tc>
          <w:tcPr>
            <w:tcW w:w="5454" w:type="dxa"/>
            <w:hideMark/>
          </w:tcPr>
          <w:p w:rsidR="00F310B7" w:rsidRPr="00124254" w:rsidRDefault="00F310B7" w:rsidP="00F310B7">
            <w:pPr>
              <w:jc w:val="center"/>
              <w:rPr>
                <w:rFonts w:ascii="Times New Roman" w:hAnsi="Times New Roman" w:cs="Times New Roman"/>
                <w:b/>
                <w:sz w:val="24"/>
                <w:szCs w:val="24"/>
                <w:lang w:val="en-GB"/>
              </w:rPr>
            </w:pPr>
            <w:r w:rsidRPr="00124254">
              <w:rPr>
                <w:rFonts w:ascii="Times New Roman" w:hAnsi="Times New Roman" w:cs="Times New Roman"/>
                <w:b/>
                <w:sz w:val="24"/>
                <w:szCs w:val="24"/>
                <w:lang w:val="en-GB"/>
              </w:rPr>
              <w:t>Items</w:t>
            </w:r>
          </w:p>
        </w:tc>
        <w:tc>
          <w:tcPr>
            <w:tcW w:w="3734" w:type="dxa"/>
            <w:hideMark/>
          </w:tcPr>
          <w:p w:rsidR="00F310B7" w:rsidRPr="00124254" w:rsidRDefault="00F310B7" w:rsidP="00F310B7">
            <w:pPr>
              <w:jc w:val="center"/>
              <w:rPr>
                <w:rFonts w:ascii="Times New Roman" w:hAnsi="Times New Roman" w:cs="Times New Roman"/>
                <w:b/>
                <w:sz w:val="24"/>
                <w:szCs w:val="24"/>
                <w:lang w:val="en-GB"/>
              </w:rPr>
            </w:pPr>
            <w:r w:rsidRPr="00124254">
              <w:rPr>
                <w:rFonts w:ascii="Times New Roman" w:hAnsi="Times New Roman" w:cs="Times New Roman"/>
                <w:b/>
                <w:bCs/>
                <w:sz w:val="24"/>
                <w:szCs w:val="24"/>
                <w:lang w:val="en-GB"/>
              </w:rPr>
              <w:t>Units</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The newly agreed number of manufactured products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2x more</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Reduced unit price</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400 CZK/piece</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An increase in total fixed costs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50 %</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Reduction of unit variable costs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20 %</w:t>
            </w:r>
          </w:p>
        </w:tc>
      </w:tr>
    </w:tbl>
    <w:p w:rsidR="00C31321" w:rsidRPr="00124254" w:rsidRDefault="00F310B7" w:rsidP="00016147">
      <w:pPr>
        <w:autoSpaceDE w:val="0"/>
        <w:autoSpaceDN w:val="0"/>
        <w:adjustRightInd w:val="0"/>
        <w:rPr>
          <w:rStyle w:val="tlid-translation"/>
          <w:rFonts w:ascii="Times New Roman" w:hAnsi="Times New Roman" w:cs="Times New Roman"/>
          <w:sz w:val="24"/>
        </w:rPr>
      </w:pPr>
      <w:r w:rsidRPr="00124254">
        <w:rPr>
          <w:rStyle w:val="tlid-translation"/>
          <w:rFonts w:ascii="Times New Roman" w:hAnsi="Times New Roman" w:cs="Times New Roman"/>
          <w:sz w:val="24"/>
        </w:rPr>
        <w:t>The management of the company is considering a new situation where they managed to acquire a new large customer. All information is provided in the following table.</w:t>
      </w:r>
    </w:p>
    <w:p w:rsidR="00016147" w:rsidRPr="00124254" w:rsidRDefault="0001614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F310B7">
      <w:pPr>
        <w:pStyle w:val="Odstavecseseznamem"/>
        <w:numPr>
          <w:ilvl w:val="0"/>
          <w:numId w:val="24"/>
        </w:numPr>
        <w:autoSpaceDE w:val="0"/>
        <w:autoSpaceDN w:val="0"/>
        <w:adjustRightInd w:val="0"/>
        <w:rPr>
          <w:rStyle w:val="tlid-translation"/>
          <w:lang w:val="en-GB"/>
        </w:rPr>
      </w:pPr>
      <w:r w:rsidRPr="00124254">
        <w:rPr>
          <w:rStyle w:val="tlid-translation"/>
          <w:rFonts w:cs="Times New Roman"/>
          <w:lang w:val="en-GB"/>
        </w:rPr>
        <w:t>Determine the unit costing for the new situation and the change in total profit.</w:t>
      </w: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016147" w:rsidRPr="00124254" w:rsidRDefault="003338E2" w:rsidP="00016147">
      <w:pPr>
        <w:jc w:val="both"/>
        <w:rPr>
          <w:rFonts w:ascii="Times New Roman" w:hAnsi="Times New Roman" w:cs="Times New Roman"/>
          <w:b/>
          <w:sz w:val="24"/>
          <w:szCs w:val="24"/>
          <w:u w:val="single"/>
        </w:rPr>
      </w:pPr>
      <w:r w:rsidRPr="00124254">
        <w:rPr>
          <w:rFonts w:ascii="Times New Roman" w:hAnsi="Times New Roman" w:cs="Times New Roman"/>
          <w:b/>
          <w:sz w:val="24"/>
          <w:szCs w:val="24"/>
          <w:u w:val="single"/>
        </w:rPr>
        <w:lastRenderedPageBreak/>
        <w:t>Example 3</w:t>
      </w:r>
    </w:p>
    <w:p w:rsidR="00571246" w:rsidRPr="00124254" w:rsidRDefault="00571246" w:rsidP="003338E2">
      <w:pPr>
        <w:jc w:val="both"/>
        <w:rPr>
          <w:rFonts w:ascii="Times New Roman" w:hAnsi="Times New Roman" w:cs="Times New Roman"/>
          <w:sz w:val="24"/>
        </w:rPr>
      </w:pPr>
      <w:r w:rsidRPr="00124254">
        <w:rPr>
          <w:rFonts w:ascii="Times New Roman" w:hAnsi="Times New Roman" w:cs="Times New Roman"/>
          <w:sz w:val="24"/>
        </w:rPr>
        <w:t xml:space="preserve">The company produces one type of product A. The preliminary calculation of full costs </w:t>
      </w:r>
      <w:proofErr w:type="gramStart"/>
      <w:r w:rsidRPr="00124254">
        <w:rPr>
          <w:rFonts w:ascii="Times New Roman" w:hAnsi="Times New Roman" w:cs="Times New Roman"/>
          <w:sz w:val="24"/>
        </w:rPr>
        <w:t>is based on the assumption</w:t>
      </w:r>
      <w:proofErr w:type="gramEnd"/>
      <w:r w:rsidRPr="00124254">
        <w:rPr>
          <w:rFonts w:ascii="Times New Roman" w:hAnsi="Times New Roman" w:cs="Times New Roman"/>
          <w:sz w:val="24"/>
        </w:rPr>
        <w:t xml:space="preserve"> that the volume of production and sales will be 50.000 pieces in the monitored period and includes the following items:</w:t>
      </w:r>
    </w:p>
    <w:tbl>
      <w:tblPr>
        <w:tblStyle w:val="Mkatabulky"/>
        <w:tblpPr w:leftFromText="141" w:rightFromText="141" w:vertAnchor="text" w:horzAnchor="margin" w:tblpXSpec="center" w:tblpY="537"/>
        <w:tblW w:w="8099" w:type="dxa"/>
        <w:tblLook w:val="04A0" w:firstRow="1" w:lastRow="0" w:firstColumn="1" w:lastColumn="0" w:noHBand="0" w:noVBand="1"/>
      </w:tblPr>
      <w:tblGrid>
        <w:gridCol w:w="5524"/>
        <w:gridCol w:w="2575"/>
      </w:tblGrid>
      <w:tr w:rsidR="00571246" w:rsidRPr="00124254" w:rsidTr="00995B05">
        <w:trPr>
          <w:trHeight w:val="394"/>
        </w:trPr>
        <w:tc>
          <w:tcPr>
            <w:tcW w:w="5524" w:type="dxa"/>
            <w:hideMark/>
          </w:tcPr>
          <w:p w:rsidR="00571246" w:rsidRPr="00124254" w:rsidRDefault="00571246" w:rsidP="00571246">
            <w:pPr>
              <w:tabs>
                <w:tab w:val="left" w:pos="1770"/>
              </w:tabs>
              <w:jc w:val="center"/>
              <w:rPr>
                <w:rFonts w:ascii="Times New Roman" w:hAnsi="Times New Roman" w:cs="Times New Roman"/>
                <w:b/>
                <w:sz w:val="24"/>
                <w:lang w:val="en-GB"/>
              </w:rPr>
            </w:pPr>
            <w:r w:rsidRPr="00124254">
              <w:rPr>
                <w:rFonts w:ascii="Times New Roman" w:hAnsi="Times New Roman" w:cs="Times New Roman"/>
                <w:b/>
                <w:sz w:val="24"/>
                <w:lang w:val="en-GB"/>
              </w:rPr>
              <w:t>Items</w:t>
            </w:r>
          </w:p>
        </w:tc>
        <w:tc>
          <w:tcPr>
            <w:tcW w:w="2575" w:type="dxa"/>
            <w:hideMark/>
          </w:tcPr>
          <w:p w:rsidR="00571246" w:rsidRPr="00124254" w:rsidRDefault="00571246" w:rsidP="00571246">
            <w:pPr>
              <w:tabs>
                <w:tab w:val="left" w:pos="1770"/>
              </w:tabs>
              <w:jc w:val="center"/>
              <w:rPr>
                <w:rFonts w:ascii="Times New Roman" w:hAnsi="Times New Roman" w:cs="Times New Roman"/>
                <w:b/>
                <w:sz w:val="24"/>
                <w:lang w:val="en-GB"/>
              </w:rPr>
            </w:pPr>
            <w:r w:rsidRPr="00124254">
              <w:rPr>
                <w:rFonts w:ascii="Times New Roman" w:hAnsi="Times New Roman" w:cs="Times New Roman"/>
                <w:b/>
                <w:bCs/>
                <w:sz w:val="24"/>
                <w:lang w:val="en-GB"/>
              </w:rPr>
              <w:t>CZK/piece</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Direct (unit) material</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30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Direct (unit) personnel costs</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10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Manufacturing overhead (2.500.000/50.000)</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50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Full cost of production (total cost)</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b/>
                <w:bCs/>
                <w:sz w:val="24"/>
                <w:lang w:val="en-GB"/>
              </w:rPr>
              <w:t>90</w:t>
            </w:r>
          </w:p>
        </w:tc>
      </w:tr>
    </w:tbl>
    <w:p w:rsidR="00571246" w:rsidRPr="00124254" w:rsidRDefault="00571246" w:rsidP="003338E2">
      <w:pPr>
        <w:jc w:val="both"/>
        <w:rPr>
          <w:rFonts w:ascii="Times New Roman" w:hAnsi="Times New Roman" w:cs="Times New Roman"/>
          <w:sz w:val="24"/>
        </w:rPr>
      </w:pPr>
    </w:p>
    <w:p w:rsidR="00571246" w:rsidRPr="00124254" w:rsidRDefault="00571246" w:rsidP="003338E2">
      <w:pPr>
        <w:jc w:val="both"/>
        <w:rPr>
          <w:rFonts w:ascii="Times New Roman" w:hAnsi="Times New Roman" w:cs="Times New Roman"/>
          <w:sz w:val="24"/>
        </w:rPr>
      </w:pPr>
    </w:p>
    <w:p w:rsidR="00995B05" w:rsidRPr="00124254" w:rsidRDefault="00995B05" w:rsidP="003338E2">
      <w:pPr>
        <w:jc w:val="both"/>
        <w:rPr>
          <w:rFonts w:ascii="Times New Roman" w:hAnsi="Times New Roman" w:cs="Times New Roman"/>
          <w:sz w:val="24"/>
        </w:rPr>
      </w:pPr>
      <w:r w:rsidRPr="00124254">
        <w:rPr>
          <w:rFonts w:ascii="Times New Roman" w:hAnsi="Times New Roman" w:cs="Times New Roman"/>
          <w:sz w:val="24"/>
        </w:rPr>
        <w:t xml:space="preserve">During a more detailed analysis of production overhead, it was found that only a fifth of it has a variable nature. The remaining part consists of fixed costs, which are an expression of the created production capacity. This enables maximum production for the monitored period in the range of 60.000 pieces. </w:t>
      </w:r>
    </w:p>
    <w:p w:rsidR="00571246" w:rsidRPr="00124254" w:rsidRDefault="00995B05" w:rsidP="00995B05">
      <w:pPr>
        <w:pStyle w:val="Odstavecseseznamem"/>
        <w:numPr>
          <w:ilvl w:val="0"/>
          <w:numId w:val="24"/>
        </w:numPr>
        <w:rPr>
          <w:rFonts w:cs="Times New Roman"/>
          <w:lang w:val="en-GB"/>
        </w:rPr>
      </w:pPr>
      <w:r w:rsidRPr="00124254">
        <w:rPr>
          <w:rFonts w:cs="Times New Roman"/>
          <w:lang w:val="en-GB"/>
        </w:rPr>
        <w:t>Find the average cost of production per unit of product A produced and sold when 40.000 units and 60.000 units are produced and sold.</w:t>
      </w: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sectPr w:rsidR="00571246" w:rsidRPr="001242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EA" w:rsidRDefault="00B30DEA" w:rsidP="008E6688">
      <w:pPr>
        <w:spacing w:after="0" w:line="240" w:lineRule="auto"/>
      </w:pPr>
      <w:r>
        <w:separator/>
      </w:r>
    </w:p>
  </w:endnote>
  <w:endnote w:type="continuationSeparator" w:id="0">
    <w:p w:rsidR="00B30DEA" w:rsidRDefault="00B30DE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790B87" w:rsidRPr="00790B87">
          <w:rPr>
            <w:noProof/>
            <w:lang w:val="cs-CZ"/>
          </w:rPr>
          <w:t>1</w:t>
        </w:r>
        <w:r>
          <w:fldChar w:fldCharType="end"/>
        </w:r>
      </w:p>
    </w:sdtContent>
  </w:sdt>
  <w:p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EA" w:rsidRDefault="00B30DEA" w:rsidP="008E6688">
      <w:pPr>
        <w:spacing w:after="0" w:line="240" w:lineRule="auto"/>
      </w:pPr>
      <w:r>
        <w:separator/>
      </w:r>
    </w:p>
  </w:footnote>
  <w:footnote w:type="continuationSeparator" w:id="0">
    <w:p w:rsidR="00B30DEA" w:rsidRDefault="00B30DEA" w:rsidP="008E6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609D9"/>
    <w:multiLevelType w:val="hybridMultilevel"/>
    <w:tmpl w:val="D174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9710A6"/>
    <w:multiLevelType w:val="hybridMultilevel"/>
    <w:tmpl w:val="DA208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19"/>
  </w:num>
  <w:num w:numId="4">
    <w:abstractNumId w:val="23"/>
  </w:num>
  <w:num w:numId="5">
    <w:abstractNumId w:val="0"/>
  </w:num>
  <w:num w:numId="6">
    <w:abstractNumId w:val="8"/>
  </w:num>
  <w:num w:numId="7">
    <w:abstractNumId w:val="14"/>
  </w:num>
  <w:num w:numId="8">
    <w:abstractNumId w:val="1"/>
  </w:num>
  <w:num w:numId="9">
    <w:abstractNumId w:val="18"/>
  </w:num>
  <w:num w:numId="10">
    <w:abstractNumId w:val="10"/>
  </w:num>
  <w:num w:numId="11">
    <w:abstractNumId w:val="11"/>
  </w:num>
  <w:num w:numId="12">
    <w:abstractNumId w:val="15"/>
  </w:num>
  <w:num w:numId="13">
    <w:abstractNumId w:val="7"/>
  </w:num>
  <w:num w:numId="14">
    <w:abstractNumId w:val="9"/>
  </w:num>
  <w:num w:numId="15">
    <w:abstractNumId w:val="5"/>
  </w:num>
  <w:num w:numId="16">
    <w:abstractNumId w:val="2"/>
  </w:num>
  <w:num w:numId="17">
    <w:abstractNumId w:val="21"/>
  </w:num>
  <w:num w:numId="18">
    <w:abstractNumId w:val="22"/>
  </w:num>
  <w:num w:numId="19">
    <w:abstractNumId w:val="16"/>
  </w:num>
  <w:num w:numId="20">
    <w:abstractNumId w:val="20"/>
  </w:num>
  <w:num w:numId="21">
    <w:abstractNumId w:val="6"/>
  </w:num>
  <w:num w:numId="22">
    <w:abstractNumId w:val="3"/>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16147"/>
    <w:rsid w:val="000200DE"/>
    <w:rsid w:val="00034C27"/>
    <w:rsid w:val="00054686"/>
    <w:rsid w:val="0006348B"/>
    <w:rsid w:val="000756EF"/>
    <w:rsid w:val="00076437"/>
    <w:rsid w:val="000B42E8"/>
    <w:rsid w:val="000D74B8"/>
    <w:rsid w:val="000E282A"/>
    <w:rsid w:val="00124254"/>
    <w:rsid w:val="00181F07"/>
    <w:rsid w:val="0019219F"/>
    <w:rsid w:val="001A4841"/>
    <w:rsid w:val="001E4CF5"/>
    <w:rsid w:val="002A5169"/>
    <w:rsid w:val="002C1A8E"/>
    <w:rsid w:val="002E4419"/>
    <w:rsid w:val="00301415"/>
    <w:rsid w:val="003338E2"/>
    <w:rsid w:val="0035777D"/>
    <w:rsid w:val="00375ECD"/>
    <w:rsid w:val="00377CD0"/>
    <w:rsid w:val="003B4D00"/>
    <w:rsid w:val="00427BDE"/>
    <w:rsid w:val="00432AC2"/>
    <w:rsid w:val="0045121D"/>
    <w:rsid w:val="00463613"/>
    <w:rsid w:val="004D0539"/>
    <w:rsid w:val="004D275E"/>
    <w:rsid w:val="004E3243"/>
    <w:rsid w:val="004F7C3A"/>
    <w:rsid w:val="00546CED"/>
    <w:rsid w:val="00571246"/>
    <w:rsid w:val="005747DA"/>
    <w:rsid w:val="0057626A"/>
    <w:rsid w:val="005C762D"/>
    <w:rsid w:val="005D46A1"/>
    <w:rsid w:val="005F5E91"/>
    <w:rsid w:val="00614F9F"/>
    <w:rsid w:val="006B615F"/>
    <w:rsid w:val="006C198A"/>
    <w:rsid w:val="006E090F"/>
    <w:rsid w:val="00701BEA"/>
    <w:rsid w:val="00702EBB"/>
    <w:rsid w:val="00742C35"/>
    <w:rsid w:val="00765632"/>
    <w:rsid w:val="00790B87"/>
    <w:rsid w:val="007A3987"/>
    <w:rsid w:val="007C2A9C"/>
    <w:rsid w:val="007D7586"/>
    <w:rsid w:val="007E77BF"/>
    <w:rsid w:val="008142B4"/>
    <w:rsid w:val="008276AA"/>
    <w:rsid w:val="00836F3A"/>
    <w:rsid w:val="00847E87"/>
    <w:rsid w:val="00871A38"/>
    <w:rsid w:val="00877E12"/>
    <w:rsid w:val="00877EB5"/>
    <w:rsid w:val="008A23CE"/>
    <w:rsid w:val="008E6688"/>
    <w:rsid w:val="008F16C2"/>
    <w:rsid w:val="00940178"/>
    <w:rsid w:val="00960B5C"/>
    <w:rsid w:val="009630EF"/>
    <w:rsid w:val="00967BC9"/>
    <w:rsid w:val="00995B05"/>
    <w:rsid w:val="009A379A"/>
    <w:rsid w:val="009B1EDD"/>
    <w:rsid w:val="009E3FA7"/>
    <w:rsid w:val="009E4676"/>
    <w:rsid w:val="00A05633"/>
    <w:rsid w:val="00A56D6C"/>
    <w:rsid w:val="00A6560D"/>
    <w:rsid w:val="00A67375"/>
    <w:rsid w:val="00A90DF6"/>
    <w:rsid w:val="00AA38D4"/>
    <w:rsid w:val="00AE6692"/>
    <w:rsid w:val="00B125E8"/>
    <w:rsid w:val="00B154D3"/>
    <w:rsid w:val="00B30DEA"/>
    <w:rsid w:val="00B5490D"/>
    <w:rsid w:val="00B6347C"/>
    <w:rsid w:val="00B876BD"/>
    <w:rsid w:val="00B90265"/>
    <w:rsid w:val="00C31321"/>
    <w:rsid w:val="00C31F12"/>
    <w:rsid w:val="00C532B7"/>
    <w:rsid w:val="00C97DC5"/>
    <w:rsid w:val="00CC4EAF"/>
    <w:rsid w:val="00CF70B6"/>
    <w:rsid w:val="00D0316A"/>
    <w:rsid w:val="00D05A9D"/>
    <w:rsid w:val="00D16233"/>
    <w:rsid w:val="00D16FA5"/>
    <w:rsid w:val="00D17586"/>
    <w:rsid w:val="00D242CC"/>
    <w:rsid w:val="00D864F8"/>
    <w:rsid w:val="00D9179F"/>
    <w:rsid w:val="00D93D4F"/>
    <w:rsid w:val="00DE0B56"/>
    <w:rsid w:val="00E12D56"/>
    <w:rsid w:val="00E131C8"/>
    <w:rsid w:val="00E6083E"/>
    <w:rsid w:val="00E859CA"/>
    <w:rsid w:val="00E90A4E"/>
    <w:rsid w:val="00EB4230"/>
    <w:rsid w:val="00EE037F"/>
    <w:rsid w:val="00F310B7"/>
    <w:rsid w:val="00F75EE6"/>
    <w:rsid w:val="00F930F1"/>
    <w:rsid w:val="00FB3E31"/>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AA83"/>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Tlotextu">
    <w:name w:val="Tělo textu"/>
    <w:basedOn w:val="Normln"/>
    <w:qFormat/>
    <w:rsid w:val="000D74B8"/>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0D74B8"/>
    <w:pPr>
      <w:numPr>
        <w:numId w:val="15"/>
      </w:numPr>
    </w:pPr>
  </w:style>
  <w:style w:type="paragraph" w:customStyle="1" w:styleId="parNadpisSeznamuTucny">
    <w:name w:val="parNadpisSeznamuTucny"/>
    <w:basedOn w:val="Normln"/>
    <w:qFormat/>
    <w:rsid w:val="00D242CC"/>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847E87"/>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338E2"/>
  </w:style>
  <w:style w:type="character" w:customStyle="1" w:styleId="rynqvb">
    <w:name w:val="rynqvb"/>
    <w:basedOn w:val="Standardnpsmoodstavce"/>
    <w:rsid w:val="00C97DC5"/>
  </w:style>
  <w:style w:type="character" w:customStyle="1" w:styleId="hwtze">
    <w:name w:val="hwtze"/>
    <w:basedOn w:val="Standardnpsmoodstavce"/>
    <w:rsid w:val="00F3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388601584">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293</Words>
  <Characters>1735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Skupieňová</cp:lastModifiedBy>
  <cp:revision>14</cp:revision>
  <dcterms:created xsi:type="dcterms:W3CDTF">2022-10-13T06:01:00Z</dcterms:created>
  <dcterms:modified xsi:type="dcterms:W3CDTF">2023-11-10T13:28:00Z</dcterms:modified>
</cp:coreProperties>
</file>