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986" w:type="dxa"/>
        <w:tblInd w:w="-1026" w:type="dxa"/>
        <w:tblLook w:val="04A0" w:firstRow="1" w:lastRow="0" w:firstColumn="1" w:lastColumn="0" w:noHBand="0" w:noVBand="1"/>
      </w:tblPr>
      <w:tblGrid>
        <w:gridCol w:w="1227"/>
        <w:gridCol w:w="1321"/>
        <w:gridCol w:w="1426"/>
        <w:gridCol w:w="1485"/>
        <w:gridCol w:w="1310"/>
        <w:gridCol w:w="1321"/>
        <w:gridCol w:w="1259"/>
        <w:gridCol w:w="1323"/>
        <w:gridCol w:w="1254"/>
        <w:gridCol w:w="1321"/>
        <w:gridCol w:w="1387"/>
        <w:gridCol w:w="1352"/>
      </w:tblGrid>
      <w:tr w:rsidR="00BA2432" w:rsidRPr="00BA2432" w:rsidTr="00BA2432">
        <w:trPr>
          <w:trHeight w:val="645"/>
        </w:trPr>
        <w:tc>
          <w:tcPr>
            <w:tcW w:w="5459" w:type="dxa"/>
            <w:gridSpan w:val="4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Varianta 1</w:t>
            </w:r>
          </w:p>
        </w:tc>
        <w:tc>
          <w:tcPr>
            <w:tcW w:w="5213" w:type="dxa"/>
            <w:gridSpan w:val="4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Varianta 2</w:t>
            </w:r>
          </w:p>
        </w:tc>
        <w:tc>
          <w:tcPr>
            <w:tcW w:w="5314" w:type="dxa"/>
            <w:gridSpan w:val="4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Varianta 3</w:t>
            </w:r>
          </w:p>
        </w:tc>
      </w:tr>
      <w:tr w:rsidR="00BA2432" w:rsidRPr="00BA2432" w:rsidTr="00BA2432">
        <w:trPr>
          <w:trHeight w:val="535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bookmarkStart w:id="0" w:name="_Hlk50380959"/>
            <w:r w:rsidRPr="00BA2432">
              <w:rPr>
                <w:sz w:val="18"/>
                <w:szCs w:val="12"/>
              </w:rPr>
              <w:t>Výhody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Nevýhody</w:t>
            </w: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Výhody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Nevýhody</w:t>
            </w: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Výhody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Nevýhody</w:t>
            </w: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 xml:space="preserve">Škála </w:t>
            </w:r>
            <w:r w:rsidRPr="00BA2432">
              <w:rPr>
                <w:sz w:val="18"/>
                <w:szCs w:val="12"/>
              </w:rPr>
              <w:br/>
              <w:t xml:space="preserve">-5 nejzávažnější důsledek 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 nejlepší důsledek</w:t>
            </w:r>
          </w:p>
        </w:tc>
      </w:tr>
      <w:tr w:rsidR="00BA2432" w:rsidRPr="00BA2432" w:rsidTr="00BA2432">
        <w:trPr>
          <w:trHeight w:val="2905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</w:t>
            </w: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nevýhoda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-3</w:t>
            </w: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+2</w:t>
            </w: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nevýhoda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-2</w:t>
            </w: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+5</w:t>
            </w: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 nevýhoda 1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</w:t>
            </w:r>
          </w:p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-4</w:t>
            </w:r>
          </w:p>
        </w:tc>
      </w:tr>
      <w:bookmarkEnd w:id="0"/>
      <w:tr w:rsidR="00BA2432" w:rsidRPr="00BA2432" w:rsidTr="00BA2432">
        <w:trPr>
          <w:trHeight w:val="645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</w:tr>
      <w:tr w:rsidR="00BA2432" w:rsidRPr="00BA2432" w:rsidTr="00BA2432">
        <w:trPr>
          <w:trHeight w:val="621"/>
        </w:trPr>
        <w:tc>
          <w:tcPr>
            <w:tcW w:w="122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  <w:r w:rsidRPr="00BA2432">
              <w:rPr>
                <w:sz w:val="18"/>
                <w:szCs w:val="12"/>
              </w:rPr>
              <w:t>CELKEM</w:t>
            </w: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26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48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10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9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2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254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2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87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  <w:tc>
          <w:tcPr>
            <w:tcW w:w="1351" w:type="dxa"/>
          </w:tcPr>
          <w:p w:rsidR="00BA2432" w:rsidRPr="00BA2432" w:rsidRDefault="00BA2432" w:rsidP="00FE068B">
            <w:pPr>
              <w:spacing w:line="360" w:lineRule="auto"/>
              <w:jc w:val="both"/>
              <w:rPr>
                <w:sz w:val="18"/>
                <w:szCs w:val="12"/>
              </w:rPr>
            </w:pPr>
          </w:p>
        </w:tc>
      </w:tr>
    </w:tbl>
    <w:p w:rsidR="00B22C23" w:rsidRDefault="00B22C23"/>
    <w:p w:rsidR="000478F3" w:rsidRDefault="000478F3"/>
    <w:bookmarkStart w:id="1" w:name="_GoBack"/>
    <w:p w:rsidR="000478F3" w:rsidRPr="000478F3" w:rsidRDefault="000478F3" w:rsidP="000478F3">
      <w:pPr>
        <w:rPr>
          <w:sz w:val="36"/>
          <w:lang w:val="en-GB"/>
        </w:rPr>
      </w:pPr>
      <w:r w:rsidRPr="000478F3">
        <w:rPr>
          <w:sz w:val="36"/>
          <w:lang w:val="en-GB"/>
        </w:rPr>
        <w:fldChar w:fldCharType="begin"/>
      </w:r>
      <w:r w:rsidRPr="000478F3">
        <w:rPr>
          <w:sz w:val="36"/>
          <w:lang w:val="en-GB"/>
        </w:rPr>
        <w:instrText xml:space="preserve"> HYPERLINK "http://www.casmp.cz/drozhod.htm" </w:instrText>
      </w:r>
      <w:r w:rsidRPr="000478F3">
        <w:rPr>
          <w:sz w:val="36"/>
          <w:lang w:val="en-GB"/>
        </w:rPr>
        <w:fldChar w:fldCharType="separate"/>
      </w:r>
      <w:r w:rsidRPr="000478F3">
        <w:rPr>
          <w:rStyle w:val="Hypertextovodkaz"/>
          <w:sz w:val="36"/>
          <w:lang w:val="en-GB"/>
        </w:rPr>
        <w:t>http://www.casmp.cz/drozhod.</w:t>
      </w:r>
      <w:r w:rsidRPr="000478F3">
        <w:rPr>
          <w:sz w:val="36"/>
        </w:rPr>
        <w:fldChar w:fldCharType="end"/>
      </w:r>
      <w:hyperlink r:id="rId4" w:history="1">
        <w:r w:rsidRPr="000478F3">
          <w:rPr>
            <w:rStyle w:val="Hypertextovodkaz"/>
            <w:sz w:val="36"/>
            <w:lang w:val="en-GB"/>
          </w:rPr>
          <w:t>htm</w:t>
        </w:r>
      </w:hyperlink>
    </w:p>
    <w:bookmarkEnd w:id="1"/>
    <w:p w:rsidR="000478F3" w:rsidRDefault="000478F3"/>
    <w:sectPr w:rsidR="000478F3" w:rsidSect="00BA2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32"/>
    <w:rsid w:val="000478F3"/>
    <w:rsid w:val="00B22C23"/>
    <w:rsid w:val="00BA2432"/>
    <w:rsid w:val="00E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5F17"/>
  <w15:chartTrackingRefBased/>
  <w15:docId w15:val="{E64785E4-8122-4C78-A98E-BE2DA04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432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24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78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mp.cz/drozhod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cp:keywords/>
  <dc:description/>
  <cp:lastModifiedBy>Lucie Reczkova (Researcher)</cp:lastModifiedBy>
  <cp:revision>2</cp:revision>
  <dcterms:created xsi:type="dcterms:W3CDTF">2022-10-13T08:59:00Z</dcterms:created>
  <dcterms:modified xsi:type="dcterms:W3CDTF">2022-10-13T09:12:00Z</dcterms:modified>
</cp:coreProperties>
</file>