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jc w:val="center"/>
        <w:tblLook w:val="01E0" w:firstRow="1" w:lastRow="1" w:firstColumn="1" w:lastColumn="1" w:noHBand="0" w:noVBand="0"/>
      </w:tblPr>
      <w:tblGrid>
        <w:gridCol w:w="9070"/>
      </w:tblGrid>
      <w:tr w:rsidR="00E811DF" w:rsidRPr="0044356C" w14:paraId="3D923ECF" w14:textId="77777777" w:rsidTr="008608C9">
        <w:trPr>
          <w:jc w:val="center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0D5643"/>
          </w:tcPr>
          <w:p w14:paraId="70AE02CF" w14:textId="77777777" w:rsidR="00E811DF" w:rsidRPr="0044356C" w:rsidRDefault="00E811DF" w:rsidP="008608C9">
            <w:pPr>
              <w:spacing w:before="120" w:after="120" w:line="240" w:lineRule="auto"/>
              <w:ind w:right="-7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44356C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TEMATICKÉ OKRUHY KE STÁTNÍ ZÁVĚREČNÉ ZKOUŠCE</w:t>
            </w:r>
          </w:p>
          <w:p w14:paraId="5EAEAB8B" w14:textId="77777777" w:rsidR="00E811DF" w:rsidRPr="0044356C" w:rsidRDefault="00E811DF" w:rsidP="008608C9">
            <w:pPr>
              <w:spacing w:before="120" w:after="120" w:line="240" w:lineRule="auto"/>
              <w:ind w:right="-7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44356C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 xml:space="preserve">V AKADEMICKÉM ROCE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2021/2022</w:t>
            </w:r>
          </w:p>
          <w:p w14:paraId="6DF7E682" w14:textId="77777777" w:rsidR="00E811DF" w:rsidRDefault="00E811DF" w:rsidP="008608C9">
            <w:pPr>
              <w:spacing w:before="120" w:after="120" w:line="240" w:lineRule="auto"/>
              <w:ind w:right="-7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44356C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PRO NAVAZUJÍCÍ MAGISTERSK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Ý</w:t>
            </w:r>
            <w:r w:rsidRPr="0044356C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TYP</w:t>
            </w:r>
            <w:r w:rsidRPr="0044356C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 xml:space="preserve"> STUDIA</w:t>
            </w:r>
          </w:p>
          <w:p w14:paraId="5A530276" w14:textId="77777777" w:rsidR="00E811DF" w:rsidRPr="0044356C" w:rsidRDefault="00E811DF" w:rsidP="008608C9">
            <w:pPr>
              <w:spacing w:before="120" w:after="120" w:line="240" w:lineRule="auto"/>
              <w:ind w:right="-7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</w:pPr>
            <w:r w:rsidRPr="004B1D08"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  <w:t xml:space="preserve">PRO STUDIJNÍ PROGRAM       </w:t>
            </w:r>
            <w:r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  <w:t>Bankovnictví, peněžnictví, pojišťovnictví</w:t>
            </w:r>
          </w:p>
        </w:tc>
      </w:tr>
    </w:tbl>
    <w:p w14:paraId="2E807227" w14:textId="77777777" w:rsidR="00E811DF" w:rsidRDefault="00E811DF" w:rsidP="00E811DF">
      <w:pPr>
        <w:spacing w:line="300" w:lineRule="auto"/>
        <w:jc w:val="center"/>
        <w:rPr>
          <w:b/>
          <w:sz w:val="28"/>
          <w:szCs w:val="28"/>
        </w:rPr>
      </w:pPr>
    </w:p>
    <w:p w14:paraId="10A80BAD" w14:textId="77777777" w:rsidR="006312CE" w:rsidRPr="000B0A79" w:rsidRDefault="006312CE" w:rsidP="006312CE">
      <w:pPr>
        <w:spacing w:line="240" w:lineRule="auto"/>
        <w:rPr>
          <w:sz w:val="24"/>
          <w:highlight w:val="yellow"/>
        </w:rPr>
      </w:pPr>
    </w:p>
    <w:p w14:paraId="19D4A698" w14:textId="77777777" w:rsidR="006312CE" w:rsidRPr="0010636C" w:rsidRDefault="006312CE" w:rsidP="006312CE">
      <w:pPr>
        <w:pStyle w:val="Default"/>
        <w:numPr>
          <w:ilvl w:val="0"/>
          <w:numId w:val="1"/>
        </w:numPr>
        <w:spacing w:line="20" w:lineRule="atLeast"/>
        <w:ind w:left="567" w:hanging="567"/>
        <w:rPr>
          <w:rFonts w:asciiTheme="minorHAnsi" w:hAnsiTheme="minorHAnsi" w:cstheme="minorHAnsi"/>
          <w:color w:val="auto"/>
          <w:sz w:val="22"/>
          <w:szCs w:val="22"/>
        </w:rPr>
      </w:pPr>
      <w:bookmarkStart w:id="0" w:name="_Hlk63195943"/>
      <w:r w:rsidRPr="0010636C">
        <w:rPr>
          <w:rFonts w:asciiTheme="minorHAnsi" w:hAnsiTheme="minorHAnsi" w:cstheme="minorHAnsi"/>
          <w:color w:val="auto"/>
          <w:sz w:val="22"/>
          <w:szCs w:val="22"/>
        </w:rPr>
        <w:t>Vývojové trendy v</w:t>
      </w:r>
      <w:r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10636C">
        <w:rPr>
          <w:rFonts w:asciiTheme="minorHAnsi" w:hAnsiTheme="minorHAnsi" w:cstheme="minorHAnsi"/>
          <w:color w:val="auto"/>
          <w:sz w:val="22"/>
          <w:szCs w:val="22"/>
        </w:rPr>
        <w:t>bankovnictví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E07D848" w14:textId="77777777" w:rsidR="006312CE" w:rsidRPr="0010636C" w:rsidRDefault="006312CE" w:rsidP="006312CE">
      <w:pPr>
        <w:pStyle w:val="Default"/>
        <w:numPr>
          <w:ilvl w:val="0"/>
          <w:numId w:val="1"/>
        </w:numPr>
        <w:spacing w:line="20" w:lineRule="atLeast"/>
        <w:ind w:left="567" w:hanging="567"/>
        <w:rPr>
          <w:rFonts w:asciiTheme="minorHAnsi" w:hAnsiTheme="minorHAnsi" w:cstheme="minorHAnsi"/>
          <w:color w:val="auto"/>
          <w:sz w:val="22"/>
          <w:szCs w:val="22"/>
        </w:rPr>
      </w:pPr>
      <w:r w:rsidRPr="0010636C">
        <w:rPr>
          <w:rFonts w:asciiTheme="minorHAnsi" w:hAnsiTheme="minorHAnsi" w:cstheme="minorHAnsi"/>
          <w:color w:val="auto"/>
          <w:sz w:val="22"/>
          <w:szCs w:val="22"/>
        </w:rPr>
        <w:t>Koncentrace a konkurence v</w:t>
      </w:r>
      <w:r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10636C">
        <w:rPr>
          <w:rFonts w:asciiTheme="minorHAnsi" w:hAnsiTheme="minorHAnsi" w:cstheme="minorHAnsi"/>
          <w:color w:val="auto"/>
          <w:sz w:val="22"/>
          <w:szCs w:val="22"/>
        </w:rPr>
        <w:t>bankovnictví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5E010B6F" w14:textId="77777777" w:rsidR="006312CE" w:rsidRPr="0010636C" w:rsidRDefault="006312CE" w:rsidP="006312CE">
      <w:pPr>
        <w:pStyle w:val="Default"/>
        <w:numPr>
          <w:ilvl w:val="0"/>
          <w:numId w:val="1"/>
        </w:numPr>
        <w:spacing w:line="20" w:lineRule="atLeast"/>
        <w:ind w:left="567" w:hanging="567"/>
        <w:rPr>
          <w:rFonts w:asciiTheme="minorHAnsi" w:hAnsiTheme="minorHAnsi" w:cstheme="minorHAnsi"/>
          <w:color w:val="auto"/>
          <w:sz w:val="22"/>
          <w:szCs w:val="22"/>
        </w:rPr>
      </w:pPr>
      <w:r w:rsidRPr="0010636C">
        <w:rPr>
          <w:rFonts w:asciiTheme="minorHAnsi" w:hAnsiTheme="minorHAnsi" w:cstheme="minorHAnsi"/>
          <w:color w:val="auto"/>
          <w:sz w:val="22"/>
          <w:szCs w:val="22"/>
        </w:rPr>
        <w:t>Mezinárodní bankovnictví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692093E3" w14:textId="77777777" w:rsidR="006312CE" w:rsidRPr="0010636C" w:rsidRDefault="006312CE" w:rsidP="006312CE">
      <w:pPr>
        <w:pStyle w:val="Default"/>
        <w:numPr>
          <w:ilvl w:val="0"/>
          <w:numId w:val="1"/>
        </w:numPr>
        <w:spacing w:line="20" w:lineRule="atLeast"/>
        <w:ind w:left="567" w:hanging="567"/>
        <w:rPr>
          <w:rFonts w:asciiTheme="minorHAnsi" w:hAnsiTheme="minorHAnsi" w:cstheme="minorHAnsi"/>
          <w:color w:val="auto"/>
          <w:sz w:val="22"/>
          <w:szCs w:val="22"/>
        </w:rPr>
      </w:pPr>
      <w:r w:rsidRPr="0010636C">
        <w:rPr>
          <w:rFonts w:asciiTheme="minorHAnsi" w:hAnsiTheme="minorHAnsi" w:cstheme="minorHAnsi"/>
          <w:color w:val="auto"/>
          <w:sz w:val="22"/>
          <w:szCs w:val="22"/>
        </w:rPr>
        <w:t>Audit, rating a efektivnost bank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21D66141" w14:textId="77777777" w:rsidR="006312CE" w:rsidRPr="0010636C" w:rsidRDefault="006312CE" w:rsidP="006312CE">
      <w:pPr>
        <w:pStyle w:val="Default"/>
        <w:numPr>
          <w:ilvl w:val="0"/>
          <w:numId w:val="1"/>
        </w:numPr>
        <w:spacing w:line="20" w:lineRule="atLeast"/>
        <w:ind w:left="567" w:hanging="567"/>
        <w:rPr>
          <w:rFonts w:asciiTheme="minorHAnsi" w:hAnsiTheme="minorHAnsi" w:cstheme="minorHAnsi"/>
          <w:color w:val="auto"/>
          <w:sz w:val="22"/>
          <w:szCs w:val="22"/>
        </w:rPr>
      </w:pPr>
      <w:r w:rsidRPr="0010636C">
        <w:rPr>
          <w:rFonts w:asciiTheme="minorHAnsi" w:hAnsiTheme="minorHAnsi" w:cstheme="minorHAnsi"/>
          <w:color w:val="auto"/>
          <w:sz w:val="22"/>
          <w:szCs w:val="22"/>
        </w:rPr>
        <w:t>Bankovní krize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85DC2C5" w14:textId="77777777" w:rsidR="006312CE" w:rsidRPr="0010636C" w:rsidRDefault="006312CE" w:rsidP="006312CE">
      <w:pPr>
        <w:pStyle w:val="Default"/>
        <w:numPr>
          <w:ilvl w:val="0"/>
          <w:numId w:val="1"/>
        </w:numPr>
        <w:spacing w:line="20" w:lineRule="atLeast"/>
        <w:ind w:left="567" w:hanging="567"/>
        <w:rPr>
          <w:rFonts w:asciiTheme="minorHAnsi" w:hAnsiTheme="minorHAnsi" w:cstheme="minorHAnsi"/>
          <w:color w:val="auto"/>
          <w:sz w:val="22"/>
          <w:szCs w:val="22"/>
        </w:rPr>
      </w:pPr>
      <w:r w:rsidRPr="0010636C">
        <w:rPr>
          <w:rFonts w:asciiTheme="minorHAnsi" w:hAnsiTheme="minorHAnsi" w:cstheme="minorHAnsi"/>
          <w:color w:val="auto"/>
          <w:sz w:val="22"/>
          <w:szCs w:val="22"/>
        </w:rPr>
        <w:t>Úvěrové riziko a modely jeho měření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005D656" w14:textId="77777777" w:rsidR="006312CE" w:rsidRPr="0010636C" w:rsidRDefault="006312CE" w:rsidP="006312CE">
      <w:pPr>
        <w:pStyle w:val="Default"/>
        <w:numPr>
          <w:ilvl w:val="0"/>
          <w:numId w:val="1"/>
        </w:numPr>
        <w:spacing w:line="20" w:lineRule="atLeast"/>
        <w:ind w:left="567" w:hanging="567"/>
        <w:rPr>
          <w:rFonts w:asciiTheme="minorHAnsi" w:hAnsiTheme="minorHAnsi" w:cstheme="minorHAnsi"/>
          <w:color w:val="auto"/>
          <w:sz w:val="22"/>
          <w:szCs w:val="22"/>
        </w:rPr>
      </w:pPr>
      <w:r w:rsidRPr="0010636C">
        <w:rPr>
          <w:rFonts w:asciiTheme="minorHAnsi" w:hAnsiTheme="minorHAnsi" w:cstheme="minorHAnsi"/>
          <w:color w:val="auto"/>
          <w:sz w:val="22"/>
          <w:szCs w:val="22"/>
        </w:rPr>
        <w:t>Transfer úvěrového rizika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7AFC61C1" w14:textId="77777777" w:rsidR="006312CE" w:rsidRPr="0010636C" w:rsidRDefault="006312CE" w:rsidP="006312CE">
      <w:pPr>
        <w:pStyle w:val="Default"/>
        <w:numPr>
          <w:ilvl w:val="0"/>
          <w:numId w:val="1"/>
        </w:numPr>
        <w:spacing w:line="20" w:lineRule="atLeast"/>
        <w:ind w:left="567" w:hanging="567"/>
        <w:rPr>
          <w:rFonts w:asciiTheme="minorHAnsi" w:hAnsiTheme="minorHAnsi" w:cstheme="minorHAnsi"/>
          <w:color w:val="auto"/>
          <w:sz w:val="22"/>
          <w:szCs w:val="22"/>
        </w:rPr>
      </w:pPr>
      <w:r w:rsidRPr="0010636C">
        <w:rPr>
          <w:rFonts w:asciiTheme="minorHAnsi" w:hAnsiTheme="minorHAnsi" w:cstheme="minorHAnsi"/>
          <w:color w:val="auto"/>
          <w:sz w:val="22"/>
          <w:szCs w:val="22"/>
        </w:rPr>
        <w:t>Operační a tržní riziko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F3F1204" w14:textId="77777777" w:rsidR="006312CE" w:rsidRPr="0010636C" w:rsidRDefault="006312CE" w:rsidP="006312CE">
      <w:pPr>
        <w:pStyle w:val="Default"/>
        <w:numPr>
          <w:ilvl w:val="0"/>
          <w:numId w:val="1"/>
        </w:numPr>
        <w:spacing w:line="20" w:lineRule="atLeast"/>
        <w:ind w:left="567" w:hanging="567"/>
        <w:rPr>
          <w:rFonts w:asciiTheme="minorHAnsi" w:hAnsiTheme="minorHAnsi" w:cstheme="minorHAnsi"/>
          <w:color w:val="auto"/>
          <w:sz w:val="22"/>
          <w:szCs w:val="22"/>
        </w:rPr>
      </w:pPr>
      <w:r w:rsidRPr="0010636C">
        <w:rPr>
          <w:rFonts w:asciiTheme="minorHAnsi" w:hAnsiTheme="minorHAnsi" w:cstheme="minorHAnsi"/>
          <w:color w:val="auto"/>
          <w:sz w:val="22"/>
          <w:szCs w:val="22"/>
        </w:rPr>
        <w:t>Riziko likvidity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71A2F040" w14:textId="77777777" w:rsidR="006312CE" w:rsidRPr="0010636C" w:rsidRDefault="006312CE" w:rsidP="006312CE">
      <w:pPr>
        <w:pStyle w:val="Default"/>
        <w:numPr>
          <w:ilvl w:val="0"/>
          <w:numId w:val="1"/>
        </w:numPr>
        <w:spacing w:line="20" w:lineRule="atLeast"/>
        <w:ind w:left="567" w:hanging="567"/>
        <w:rPr>
          <w:rFonts w:asciiTheme="minorHAnsi" w:hAnsiTheme="minorHAnsi" w:cstheme="minorHAnsi"/>
          <w:color w:val="auto"/>
          <w:sz w:val="22"/>
          <w:szCs w:val="22"/>
        </w:rPr>
      </w:pPr>
      <w:r w:rsidRPr="0010636C">
        <w:rPr>
          <w:rFonts w:asciiTheme="minorHAnsi" w:hAnsiTheme="minorHAnsi" w:cstheme="minorHAnsi"/>
          <w:color w:val="auto"/>
          <w:sz w:val="22"/>
          <w:szCs w:val="22"/>
        </w:rPr>
        <w:t>Kapitálová přiměřenost bank a finančních skupin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2E7CE6C" w14:textId="77777777" w:rsidR="006312CE" w:rsidRPr="0010636C" w:rsidRDefault="006312CE" w:rsidP="006312CE">
      <w:pPr>
        <w:pStyle w:val="Default"/>
        <w:numPr>
          <w:ilvl w:val="0"/>
          <w:numId w:val="1"/>
        </w:numPr>
        <w:spacing w:line="20" w:lineRule="atLeast"/>
        <w:ind w:left="567" w:hanging="567"/>
        <w:rPr>
          <w:rFonts w:asciiTheme="minorHAnsi" w:hAnsiTheme="minorHAnsi" w:cstheme="minorHAnsi"/>
          <w:color w:val="auto"/>
          <w:sz w:val="22"/>
          <w:szCs w:val="22"/>
        </w:rPr>
      </w:pPr>
      <w:r w:rsidRPr="0010636C">
        <w:rPr>
          <w:rFonts w:asciiTheme="minorHAnsi" w:hAnsiTheme="minorHAnsi" w:cstheme="minorHAnsi"/>
          <w:color w:val="auto"/>
          <w:sz w:val="22"/>
          <w:szCs w:val="22"/>
        </w:rPr>
        <w:t>Mezinárodní měnový systém a jeho historický vývoj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61E6D2C9" w14:textId="77777777" w:rsidR="006312CE" w:rsidRPr="0010636C" w:rsidRDefault="006312CE" w:rsidP="006312CE">
      <w:pPr>
        <w:pStyle w:val="Default"/>
        <w:numPr>
          <w:ilvl w:val="0"/>
          <w:numId w:val="1"/>
        </w:numPr>
        <w:spacing w:line="20" w:lineRule="atLeast"/>
        <w:ind w:left="567" w:hanging="567"/>
        <w:rPr>
          <w:rFonts w:asciiTheme="minorHAnsi" w:hAnsiTheme="minorHAnsi" w:cstheme="minorHAnsi"/>
          <w:color w:val="auto"/>
          <w:sz w:val="22"/>
          <w:szCs w:val="22"/>
        </w:rPr>
      </w:pPr>
      <w:r w:rsidRPr="0010636C">
        <w:rPr>
          <w:rFonts w:asciiTheme="minorHAnsi" w:hAnsiTheme="minorHAnsi" w:cstheme="minorHAnsi"/>
          <w:color w:val="auto"/>
          <w:sz w:val="22"/>
          <w:szCs w:val="22"/>
        </w:rPr>
        <w:t>Pozice světové měny: předpoklady, výhody, alternativy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6F3142C8" w14:textId="77777777" w:rsidR="006312CE" w:rsidRPr="0010636C" w:rsidRDefault="006312CE" w:rsidP="006312CE">
      <w:pPr>
        <w:pStyle w:val="Default"/>
        <w:numPr>
          <w:ilvl w:val="0"/>
          <w:numId w:val="1"/>
        </w:numPr>
        <w:spacing w:line="20" w:lineRule="atLeast"/>
        <w:ind w:left="567" w:hanging="567"/>
        <w:rPr>
          <w:rFonts w:asciiTheme="minorHAnsi" w:hAnsiTheme="minorHAnsi" w:cstheme="minorHAnsi"/>
          <w:color w:val="auto"/>
          <w:sz w:val="22"/>
          <w:szCs w:val="22"/>
        </w:rPr>
      </w:pPr>
      <w:r w:rsidRPr="0010636C">
        <w:rPr>
          <w:rFonts w:asciiTheme="minorHAnsi" w:hAnsiTheme="minorHAnsi" w:cstheme="minorHAnsi"/>
          <w:color w:val="auto"/>
          <w:sz w:val="22"/>
          <w:szCs w:val="22"/>
        </w:rPr>
        <w:t>Mezinárodní měnový fond a jeho činnost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4FDBE3B9" w14:textId="77777777" w:rsidR="006312CE" w:rsidRPr="0010636C" w:rsidRDefault="006312CE" w:rsidP="006312CE">
      <w:pPr>
        <w:pStyle w:val="Default"/>
        <w:numPr>
          <w:ilvl w:val="0"/>
          <w:numId w:val="1"/>
        </w:numPr>
        <w:spacing w:line="20" w:lineRule="atLeast"/>
        <w:ind w:left="567" w:hanging="567"/>
        <w:rPr>
          <w:rFonts w:asciiTheme="minorHAnsi" w:hAnsiTheme="minorHAnsi" w:cstheme="minorHAnsi"/>
          <w:color w:val="auto"/>
          <w:sz w:val="22"/>
          <w:szCs w:val="22"/>
        </w:rPr>
      </w:pPr>
      <w:r w:rsidRPr="0010636C">
        <w:rPr>
          <w:rFonts w:asciiTheme="minorHAnsi" w:hAnsiTheme="minorHAnsi" w:cstheme="minorHAnsi"/>
          <w:color w:val="auto"/>
          <w:sz w:val="22"/>
          <w:szCs w:val="22"/>
        </w:rPr>
        <w:t>Skupina Světové banky a její činnost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41BC0DCB" w14:textId="77777777" w:rsidR="006312CE" w:rsidRPr="0010636C" w:rsidRDefault="006312CE" w:rsidP="006312CE">
      <w:pPr>
        <w:pStyle w:val="Default"/>
        <w:numPr>
          <w:ilvl w:val="0"/>
          <w:numId w:val="1"/>
        </w:numPr>
        <w:spacing w:line="20" w:lineRule="atLeast"/>
        <w:ind w:left="567" w:hanging="567"/>
        <w:rPr>
          <w:rFonts w:asciiTheme="minorHAnsi" w:hAnsiTheme="minorHAnsi" w:cstheme="minorHAnsi"/>
          <w:color w:val="auto"/>
          <w:sz w:val="22"/>
          <w:szCs w:val="22"/>
        </w:rPr>
      </w:pPr>
      <w:r w:rsidRPr="0010636C">
        <w:rPr>
          <w:rFonts w:asciiTheme="minorHAnsi" w:hAnsiTheme="minorHAnsi" w:cstheme="minorHAnsi"/>
          <w:color w:val="auto"/>
          <w:sz w:val="22"/>
          <w:szCs w:val="22"/>
        </w:rPr>
        <w:t>Proces evropské měnové integrace: výsledky, problémy, perspektivy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6669F990" w14:textId="77777777" w:rsidR="006312CE" w:rsidRPr="0010636C" w:rsidRDefault="006312CE" w:rsidP="006312CE">
      <w:pPr>
        <w:pStyle w:val="Default"/>
        <w:numPr>
          <w:ilvl w:val="0"/>
          <w:numId w:val="1"/>
        </w:numPr>
        <w:spacing w:line="20" w:lineRule="atLeast"/>
        <w:ind w:left="567" w:hanging="567"/>
        <w:rPr>
          <w:rFonts w:asciiTheme="minorHAnsi" w:hAnsiTheme="minorHAnsi" w:cstheme="minorHAnsi"/>
          <w:color w:val="auto"/>
          <w:sz w:val="22"/>
          <w:szCs w:val="22"/>
        </w:rPr>
      </w:pPr>
      <w:r w:rsidRPr="0010636C">
        <w:rPr>
          <w:rFonts w:asciiTheme="minorHAnsi" w:hAnsiTheme="minorHAnsi" w:cstheme="minorHAnsi"/>
          <w:color w:val="auto"/>
          <w:sz w:val="22"/>
          <w:szCs w:val="22"/>
        </w:rPr>
        <w:t>Poptávka a nabídka na trhu peněz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A97FAD5" w14:textId="77777777" w:rsidR="006312CE" w:rsidRPr="0010636C" w:rsidRDefault="006312CE" w:rsidP="006312CE">
      <w:pPr>
        <w:pStyle w:val="Default"/>
        <w:numPr>
          <w:ilvl w:val="0"/>
          <w:numId w:val="1"/>
        </w:numPr>
        <w:spacing w:line="20" w:lineRule="atLeast"/>
        <w:ind w:left="567" w:hanging="567"/>
        <w:rPr>
          <w:rFonts w:asciiTheme="minorHAnsi" w:hAnsiTheme="minorHAnsi" w:cstheme="minorHAnsi"/>
          <w:color w:val="auto"/>
          <w:sz w:val="22"/>
          <w:szCs w:val="22"/>
        </w:rPr>
      </w:pPr>
      <w:r w:rsidRPr="0010636C">
        <w:rPr>
          <w:rFonts w:asciiTheme="minorHAnsi" w:hAnsiTheme="minorHAnsi" w:cstheme="minorHAnsi"/>
          <w:color w:val="auto"/>
          <w:sz w:val="22"/>
          <w:szCs w:val="22"/>
        </w:rPr>
        <w:t>Podstata a nástroje měnové politiky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37E77FA" w14:textId="77777777" w:rsidR="006312CE" w:rsidRPr="0010636C" w:rsidRDefault="006312CE" w:rsidP="006312CE">
      <w:pPr>
        <w:pStyle w:val="Default"/>
        <w:numPr>
          <w:ilvl w:val="0"/>
          <w:numId w:val="1"/>
        </w:numPr>
        <w:spacing w:line="20" w:lineRule="atLeast"/>
        <w:ind w:left="567" w:hanging="567"/>
        <w:rPr>
          <w:rFonts w:asciiTheme="minorHAnsi" w:hAnsiTheme="minorHAnsi" w:cstheme="minorHAnsi"/>
          <w:color w:val="auto"/>
          <w:sz w:val="22"/>
          <w:szCs w:val="22"/>
        </w:rPr>
      </w:pPr>
      <w:r w:rsidRPr="0010636C">
        <w:rPr>
          <w:rFonts w:asciiTheme="minorHAnsi" w:hAnsiTheme="minorHAnsi" w:cstheme="minorHAnsi"/>
          <w:color w:val="auto"/>
          <w:sz w:val="22"/>
          <w:szCs w:val="22"/>
        </w:rPr>
        <w:t>Měnová politika z pohledu modelu IS-LM, účinnost měnové politiky v modelu IS-LM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25CD66F2" w14:textId="77777777" w:rsidR="006312CE" w:rsidRPr="0010636C" w:rsidRDefault="006312CE" w:rsidP="006312CE">
      <w:pPr>
        <w:pStyle w:val="Default"/>
        <w:numPr>
          <w:ilvl w:val="0"/>
          <w:numId w:val="1"/>
        </w:numPr>
        <w:spacing w:line="20" w:lineRule="atLeast"/>
        <w:ind w:left="567" w:hanging="567"/>
        <w:rPr>
          <w:rFonts w:asciiTheme="minorHAnsi" w:hAnsiTheme="minorHAnsi" w:cstheme="minorHAnsi"/>
          <w:color w:val="auto"/>
          <w:sz w:val="22"/>
          <w:szCs w:val="22"/>
        </w:rPr>
      </w:pPr>
      <w:r w:rsidRPr="0010636C">
        <w:rPr>
          <w:rFonts w:asciiTheme="minorHAnsi" w:hAnsiTheme="minorHAnsi" w:cstheme="minorHAnsi"/>
          <w:color w:val="auto"/>
          <w:sz w:val="22"/>
          <w:szCs w:val="22"/>
        </w:rPr>
        <w:t xml:space="preserve">Měnová politika v České </w:t>
      </w:r>
      <w:proofErr w:type="gramStart"/>
      <w:r w:rsidRPr="0010636C">
        <w:rPr>
          <w:rFonts w:asciiTheme="minorHAnsi" w:hAnsiTheme="minorHAnsi" w:cstheme="minorHAnsi"/>
          <w:color w:val="auto"/>
          <w:sz w:val="22"/>
          <w:szCs w:val="22"/>
        </w:rPr>
        <w:t>republice - vymezení</w:t>
      </w:r>
      <w:proofErr w:type="gramEnd"/>
      <w:r w:rsidRPr="0010636C">
        <w:rPr>
          <w:rFonts w:asciiTheme="minorHAnsi" w:hAnsiTheme="minorHAnsi" w:cstheme="minorHAnsi"/>
          <w:color w:val="auto"/>
          <w:sz w:val="22"/>
          <w:szCs w:val="22"/>
        </w:rPr>
        <w:t xml:space="preserve"> cílů, nástrojů, kritérií a aktuálního vývoje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53F3236F" w14:textId="77777777" w:rsidR="006312CE" w:rsidRPr="0010636C" w:rsidRDefault="006312CE" w:rsidP="00E811DF">
      <w:pPr>
        <w:pStyle w:val="Default"/>
        <w:numPr>
          <w:ilvl w:val="0"/>
          <w:numId w:val="1"/>
        </w:numPr>
        <w:spacing w:line="20" w:lineRule="atLeast"/>
        <w:ind w:left="567" w:hanging="567"/>
        <w:rPr>
          <w:rFonts w:asciiTheme="minorHAnsi" w:hAnsiTheme="minorHAnsi" w:cstheme="minorHAnsi"/>
          <w:color w:val="auto"/>
          <w:sz w:val="22"/>
          <w:szCs w:val="22"/>
        </w:rPr>
      </w:pPr>
      <w:r w:rsidRPr="0010636C">
        <w:rPr>
          <w:rFonts w:asciiTheme="minorHAnsi" w:hAnsiTheme="minorHAnsi" w:cstheme="minorHAnsi"/>
          <w:color w:val="auto"/>
          <w:sz w:val="22"/>
          <w:szCs w:val="22"/>
        </w:rPr>
        <w:t>Měnová politika v rámci evropského integračního procesu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1A34B24" w14:textId="77777777" w:rsidR="006312CE" w:rsidRPr="0010636C" w:rsidRDefault="006312CE" w:rsidP="006312CE">
      <w:pPr>
        <w:pStyle w:val="Default"/>
        <w:numPr>
          <w:ilvl w:val="0"/>
          <w:numId w:val="1"/>
        </w:numPr>
        <w:spacing w:line="20" w:lineRule="atLeast"/>
        <w:ind w:left="567" w:hanging="567"/>
        <w:rPr>
          <w:rFonts w:asciiTheme="minorHAnsi" w:hAnsiTheme="minorHAnsi" w:cstheme="minorHAnsi"/>
          <w:color w:val="auto"/>
          <w:sz w:val="22"/>
          <w:szCs w:val="22"/>
        </w:rPr>
      </w:pPr>
      <w:r w:rsidRPr="0010636C">
        <w:rPr>
          <w:rFonts w:asciiTheme="minorHAnsi" w:hAnsiTheme="minorHAnsi" w:cstheme="minorHAnsi"/>
          <w:color w:val="auto"/>
          <w:sz w:val="22"/>
          <w:szCs w:val="22"/>
        </w:rPr>
        <w:t>Finanční plánování, jeho definice, východiska a požadavky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60867A8B" w14:textId="77777777" w:rsidR="006312CE" w:rsidRPr="0010636C" w:rsidRDefault="006312CE" w:rsidP="006312CE">
      <w:pPr>
        <w:pStyle w:val="Default"/>
        <w:numPr>
          <w:ilvl w:val="0"/>
          <w:numId w:val="1"/>
        </w:numPr>
        <w:spacing w:line="20" w:lineRule="atLeast"/>
        <w:ind w:left="567" w:hanging="567"/>
        <w:rPr>
          <w:rFonts w:asciiTheme="minorHAnsi" w:hAnsiTheme="minorHAnsi" w:cstheme="minorHAnsi"/>
          <w:color w:val="auto"/>
          <w:sz w:val="22"/>
          <w:szCs w:val="22"/>
        </w:rPr>
      </w:pPr>
      <w:r w:rsidRPr="0010636C">
        <w:rPr>
          <w:rFonts w:asciiTheme="minorHAnsi" w:hAnsiTheme="minorHAnsi" w:cstheme="minorHAnsi"/>
          <w:color w:val="auto"/>
          <w:sz w:val="22"/>
          <w:szCs w:val="22"/>
        </w:rPr>
        <w:t>Taktické plánování – cíle a základní aspekty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221817DD" w14:textId="77777777" w:rsidR="006312CE" w:rsidRPr="0010636C" w:rsidRDefault="006312CE" w:rsidP="006312CE">
      <w:pPr>
        <w:pStyle w:val="Default"/>
        <w:numPr>
          <w:ilvl w:val="0"/>
          <w:numId w:val="1"/>
        </w:numPr>
        <w:spacing w:line="20" w:lineRule="atLeast"/>
        <w:ind w:left="567" w:hanging="567"/>
        <w:rPr>
          <w:rFonts w:asciiTheme="minorHAnsi" w:hAnsiTheme="minorHAnsi" w:cstheme="minorHAnsi"/>
          <w:color w:val="auto"/>
          <w:sz w:val="22"/>
          <w:szCs w:val="22"/>
        </w:rPr>
      </w:pPr>
      <w:r w:rsidRPr="0010636C">
        <w:rPr>
          <w:rFonts w:asciiTheme="minorHAnsi" w:hAnsiTheme="minorHAnsi" w:cstheme="minorHAnsi"/>
          <w:color w:val="auto"/>
          <w:sz w:val="22"/>
          <w:szCs w:val="22"/>
        </w:rPr>
        <w:t>Strategické plánování – cíle, základní pilíře a struktura z hlediska velikosti podniku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1584C4F" w14:textId="77777777" w:rsidR="006312CE" w:rsidRPr="0010636C" w:rsidRDefault="006312CE" w:rsidP="006312CE">
      <w:pPr>
        <w:pStyle w:val="Default"/>
        <w:numPr>
          <w:ilvl w:val="0"/>
          <w:numId w:val="1"/>
        </w:numPr>
        <w:spacing w:line="20" w:lineRule="atLeast"/>
        <w:ind w:left="567" w:hanging="567"/>
        <w:rPr>
          <w:rFonts w:asciiTheme="minorHAnsi" w:hAnsiTheme="minorHAnsi" w:cstheme="minorHAnsi"/>
          <w:color w:val="auto"/>
          <w:sz w:val="22"/>
          <w:szCs w:val="22"/>
        </w:rPr>
      </w:pPr>
      <w:r w:rsidRPr="0010636C">
        <w:rPr>
          <w:rFonts w:asciiTheme="minorHAnsi" w:hAnsiTheme="minorHAnsi" w:cstheme="minorHAnsi"/>
          <w:color w:val="auto"/>
          <w:sz w:val="22"/>
          <w:szCs w:val="22"/>
        </w:rPr>
        <w:t>Zdroje financování podniku z hlediska finančního plánování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3743012" w14:textId="77777777" w:rsidR="006312CE" w:rsidRPr="0010636C" w:rsidRDefault="006312CE" w:rsidP="006312CE">
      <w:pPr>
        <w:pStyle w:val="Default"/>
        <w:numPr>
          <w:ilvl w:val="0"/>
          <w:numId w:val="1"/>
        </w:numPr>
        <w:spacing w:line="20" w:lineRule="atLeast"/>
        <w:ind w:left="567" w:hanging="567"/>
        <w:rPr>
          <w:rFonts w:asciiTheme="minorHAnsi" w:hAnsiTheme="minorHAnsi" w:cstheme="minorHAnsi"/>
          <w:color w:val="auto"/>
          <w:sz w:val="22"/>
          <w:szCs w:val="22"/>
        </w:rPr>
      </w:pPr>
      <w:r w:rsidRPr="0010636C">
        <w:rPr>
          <w:rFonts w:asciiTheme="minorHAnsi" w:hAnsiTheme="minorHAnsi" w:cstheme="minorHAnsi"/>
          <w:color w:val="auto"/>
          <w:sz w:val="22"/>
          <w:szCs w:val="22"/>
        </w:rPr>
        <w:t>Metody finančního plánování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bookmarkEnd w:id="0"/>
    <w:p w14:paraId="1B64CCF3" w14:textId="77777777" w:rsidR="006312CE" w:rsidRPr="00E52322" w:rsidRDefault="006312CE" w:rsidP="006312CE">
      <w:pPr>
        <w:pStyle w:val="Nadpisotzky"/>
        <w:spacing w:line="360" w:lineRule="auto"/>
        <w:rPr>
          <w:rFonts w:asciiTheme="minorHAnsi" w:hAnsiTheme="minorHAnsi"/>
          <w:b w:val="0"/>
          <w:sz w:val="22"/>
          <w:szCs w:val="22"/>
        </w:rPr>
      </w:pPr>
    </w:p>
    <w:p w14:paraId="051758C7" w14:textId="77777777" w:rsidR="006312CE" w:rsidRPr="00E52322" w:rsidRDefault="006312CE" w:rsidP="006312CE">
      <w:pPr>
        <w:pStyle w:val="Nadpisotzky"/>
        <w:spacing w:line="360" w:lineRule="auto"/>
        <w:rPr>
          <w:rFonts w:asciiTheme="minorHAnsi" w:hAnsiTheme="minorHAnsi"/>
          <w:bCs w:val="0"/>
          <w:sz w:val="22"/>
          <w:szCs w:val="22"/>
        </w:rPr>
      </w:pPr>
      <w:r w:rsidRPr="00E52322">
        <w:rPr>
          <w:rFonts w:asciiTheme="minorHAnsi" w:hAnsiTheme="minorHAnsi"/>
          <w:bCs w:val="0"/>
          <w:sz w:val="22"/>
          <w:szCs w:val="22"/>
        </w:rPr>
        <w:t xml:space="preserve">Literatura </w:t>
      </w:r>
    </w:p>
    <w:p w14:paraId="6BB57D3E" w14:textId="77777777" w:rsidR="006312CE" w:rsidRPr="0082248D" w:rsidRDefault="006312CE" w:rsidP="006312CE">
      <w:pPr>
        <w:pStyle w:val="Nadpisotzky"/>
        <w:numPr>
          <w:ilvl w:val="0"/>
          <w:numId w:val="2"/>
        </w:numPr>
        <w:ind w:left="567" w:hanging="567"/>
        <w:rPr>
          <w:rFonts w:asciiTheme="minorHAnsi" w:hAnsiTheme="minorHAnsi" w:cstheme="minorHAnsi"/>
          <w:b w:val="0"/>
          <w:sz w:val="22"/>
          <w:szCs w:val="22"/>
        </w:rPr>
      </w:pPr>
      <w:r w:rsidRPr="00F5568D">
        <w:rPr>
          <w:rFonts w:asciiTheme="minorHAnsi" w:hAnsiTheme="minorHAnsi" w:cstheme="minorHAnsi"/>
          <w:b w:val="0"/>
          <w:caps/>
          <w:sz w:val="22"/>
          <w:szCs w:val="22"/>
        </w:rPr>
        <w:t xml:space="preserve">BESSIS, J., 2015. </w:t>
      </w:r>
      <w:r w:rsidRPr="00F5568D">
        <w:rPr>
          <w:rFonts w:asciiTheme="minorHAnsi" w:hAnsiTheme="minorHAnsi" w:cstheme="minorHAnsi"/>
          <w:b w:val="0"/>
          <w:i/>
          <w:snapToGrid w:val="0"/>
          <w:sz w:val="22"/>
          <w:szCs w:val="22"/>
        </w:rPr>
        <w:t>Risk Management in Banking.</w:t>
      </w:r>
      <w:r w:rsidRPr="00F5568D">
        <w:rPr>
          <w:rFonts w:asciiTheme="minorHAnsi" w:hAnsiTheme="minorHAnsi" w:cstheme="minorHAnsi"/>
          <w:b w:val="0"/>
          <w:snapToGrid w:val="0"/>
          <w:sz w:val="22"/>
          <w:szCs w:val="22"/>
        </w:rPr>
        <w:t xml:space="preserve"> 4th </w:t>
      </w:r>
      <w:proofErr w:type="spellStart"/>
      <w:r w:rsidRPr="00F5568D">
        <w:rPr>
          <w:rFonts w:asciiTheme="minorHAnsi" w:hAnsiTheme="minorHAnsi" w:cstheme="minorHAnsi"/>
          <w:b w:val="0"/>
          <w:snapToGrid w:val="0"/>
          <w:sz w:val="22"/>
          <w:szCs w:val="22"/>
        </w:rPr>
        <w:t>ed</w:t>
      </w:r>
      <w:proofErr w:type="spellEnd"/>
      <w:r w:rsidRPr="00F5568D">
        <w:rPr>
          <w:rFonts w:asciiTheme="minorHAnsi" w:hAnsiTheme="minorHAnsi" w:cstheme="minorHAnsi"/>
          <w:b w:val="0"/>
          <w:snapToGrid w:val="0"/>
          <w:sz w:val="22"/>
          <w:szCs w:val="22"/>
        </w:rPr>
        <w:t xml:space="preserve">. </w:t>
      </w:r>
      <w:proofErr w:type="spellStart"/>
      <w:r w:rsidRPr="00F5568D">
        <w:rPr>
          <w:rFonts w:asciiTheme="minorHAnsi" w:hAnsiTheme="minorHAnsi" w:cstheme="minorHAnsi"/>
          <w:b w:val="0"/>
          <w:snapToGrid w:val="0"/>
          <w:sz w:val="22"/>
          <w:szCs w:val="22"/>
        </w:rPr>
        <w:t>Chichester</w:t>
      </w:r>
      <w:proofErr w:type="spellEnd"/>
      <w:r w:rsidRPr="00F5568D">
        <w:rPr>
          <w:rFonts w:asciiTheme="minorHAnsi" w:hAnsiTheme="minorHAnsi" w:cstheme="minorHAnsi"/>
          <w:b w:val="0"/>
          <w:snapToGrid w:val="0"/>
          <w:sz w:val="22"/>
          <w:szCs w:val="22"/>
        </w:rPr>
        <w:t xml:space="preserve">: </w:t>
      </w:r>
      <w:bookmarkStart w:id="1" w:name="OLE_LINK62"/>
      <w:bookmarkStart w:id="2" w:name="OLE_LINK63"/>
      <w:bookmarkStart w:id="3" w:name="OLE_LINK64"/>
      <w:r w:rsidRPr="00F5568D">
        <w:rPr>
          <w:rFonts w:asciiTheme="minorHAnsi" w:hAnsiTheme="minorHAnsi" w:cstheme="minorHAnsi"/>
          <w:b w:val="0"/>
          <w:snapToGrid w:val="0"/>
          <w:sz w:val="22"/>
          <w:szCs w:val="22"/>
        </w:rPr>
        <w:t xml:space="preserve">John </w:t>
      </w:r>
      <w:proofErr w:type="spellStart"/>
      <w:r w:rsidRPr="00F5568D">
        <w:rPr>
          <w:rFonts w:asciiTheme="minorHAnsi" w:hAnsiTheme="minorHAnsi" w:cstheme="minorHAnsi"/>
          <w:b w:val="0"/>
          <w:snapToGrid w:val="0"/>
          <w:sz w:val="22"/>
          <w:szCs w:val="22"/>
        </w:rPr>
        <w:t>Wiley</w:t>
      </w:r>
      <w:proofErr w:type="spellEnd"/>
      <w:r w:rsidRPr="00F5568D">
        <w:rPr>
          <w:rFonts w:asciiTheme="minorHAnsi" w:hAnsiTheme="minorHAnsi" w:cstheme="minorHAnsi"/>
          <w:b w:val="0"/>
          <w:snapToGrid w:val="0"/>
          <w:sz w:val="22"/>
          <w:szCs w:val="22"/>
        </w:rPr>
        <w:t xml:space="preserve"> &amp; </w:t>
      </w:r>
      <w:proofErr w:type="spellStart"/>
      <w:r w:rsidRPr="00F5568D">
        <w:rPr>
          <w:rFonts w:asciiTheme="minorHAnsi" w:hAnsiTheme="minorHAnsi" w:cstheme="minorHAnsi"/>
          <w:b w:val="0"/>
          <w:snapToGrid w:val="0"/>
          <w:sz w:val="22"/>
          <w:szCs w:val="22"/>
        </w:rPr>
        <w:t>Sons</w:t>
      </w:r>
      <w:bookmarkEnd w:id="1"/>
      <w:bookmarkEnd w:id="2"/>
      <w:bookmarkEnd w:id="3"/>
      <w:proofErr w:type="spellEnd"/>
      <w:r w:rsidRPr="00F5568D">
        <w:rPr>
          <w:rFonts w:asciiTheme="minorHAnsi" w:hAnsiTheme="minorHAnsi" w:cstheme="minorHAnsi"/>
          <w:b w:val="0"/>
          <w:snapToGrid w:val="0"/>
          <w:sz w:val="22"/>
          <w:szCs w:val="22"/>
        </w:rPr>
        <w:t xml:space="preserve">. ISBN </w:t>
      </w:r>
      <w:r w:rsidRPr="00F5568D">
        <w:rPr>
          <w:rFonts w:asciiTheme="minorHAnsi" w:hAnsiTheme="minorHAnsi" w:cstheme="minorHAnsi"/>
          <w:b w:val="0"/>
          <w:sz w:val="22"/>
          <w:szCs w:val="22"/>
        </w:rPr>
        <w:t>978-1-118-66021-8</w:t>
      </w:r>
      <w:r w:rsidRPr="00F5568D">
        <w:rPr>
          <w:rFonts w:asciiTheme="minorHAnsi" w:hAnsiTheme="minorHAnsi" w:cstheme="minorHAnsi"/>
          <w:b w:val="0"/>
          <w:snapToGrid w:val="0"/>
          <w:sz w:val="22"/>
          <w:szCs w:val="22"/>
        </w:rPr>
        <w:t>.</w:t>
      </w:r>
    </w:p>
    <w:p w14:paraId="2C92A125" w14:textId="77777777" w:rsidR="006312CE" w:rsidRPr="008608C9" w:rsidRDefault="006312CE" w:rsidP="006312CE">
      <w:pPr>
        <w:pStyle w:val="Nadpisotzky"/>
        <w:numPr>
          <w:ilvl w:val="0"/>
          <w:numId w:val="2"/>
        </w:numPr>
        <w:ind w:left="567" w:hanging="567"/>
        <w:rPr>
          <w:rFonts w:asciiTheme="minorHAnsi" w:hAnsiTheme="minorHAnsi" w:cstheme="minorHAnsi"/>
          <w:b w:val="0"/>
          <w:sz w:val="22"/>
          <w:szCs w:val="22"/>
        </w:rPr>
      </w:pPr>
      <w:r w:rsidRPr="00F5568D">
        <w:rPr>
          <w:rFonts w:asciiTheme="minorHAnsi" w:hAnsiTheme="minorHAnsi" w:cstheme="minorHAnsi"/>
          <w:b w:val="0"/>
          <w:color w:val="000000"/>
          <w:sz w:val="22"/>
          <w:szCs w:val="22"/>
        </w:rPr>
        <w:t>MARINIČ, P., 2014. </w:t>
      </w:r>
      <w:r w:rsidRPr="00F5568D">
        <w:rPr>
          <w:rStyle w:val="Zdraznn"/>
          <w:rFonts w:asciiTheme="minorHAnsi" w:hAnsiTheme="minorHAnsi" w:cstheme="minorHAnsi"/>
          <w:b w:val="0"/>
          <w:color w:val="000000"/>
          <w:sz w:val="22"/>
          <w:szCs w:val="22"/>
        </w:rPr>
        <w:t>Hodnotový management ve finančním řízení. </w:t>
      </w:r>
      <w:r w:rsidRPr="00F5568D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Praha: </w:t>
      </w:r>
      <w:proofErr w:type="spellStart"/>
      <w:r w:rsidRPr="00F5568D">
        <w:rPr>
          <w:rFonts w:asciiTheme="minorHAnsi" w:hAnsiTheme="minorHAnsi" w:cstheme="minorHAnsi"/>
          <w:b w:val="0"/>
          <w:color w:val="000000"/>
          <w:sz w:val="22"/>
          <w:szCs w:val="22"/>
        </w:rPr>
        <w:t>Wolters</w:t>
      </w:r>
      <w:proofErr w:type="spellEnd"/>
      <w:r w:rsidRPr="00F5568D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  <w:proofErr w:type="spellStart"/>
      <w:r w:rsidRPr="00F5568D">
        <w:rPr>
          <w:rFonts w:asciiTheme="minorHAnsi" w:hAnsiTheme="minorHAnsi" w:cstheme="minorHAnsi"/>
          <w:b w:val="0"/>
          <w:color w:val="000000"/>
          <w:sz w:val="22"/>
          <w:szCs w:val="22"/>
        </w:rPr>
        <w:t>Kluwer</w:t>
      </w:r>
      <w:proofErr w:type="spellEnd"/>
      <w:r w:rsidRPr="00F5568D">
        <w:rPr>
          <w:rFonts w:asciiTheme="minorHAnsi" w:hAnsiTheme="minorHAnsi" w:cstheme="minorHAnsi"/>
          <w:b w:val="0"/>
          <w:color w:val="000000"/>
          <w:sz w:val="22"/>
          <w:szCs w:val="22"/>
        </w:rPr>
        <w:t>. ISBN 978-80-7478-405-7.</w:t>
      </w:r>
    </w:p>
    <w:p w14:paraId="103CD865" w14:textId="77777777" w:rsidR="006312CE" w:rsidRPr="008608C9" w:rsidRDefault="006312CE" w:rsidP="006312CE">
      <w:pPr>
        <w:pStyle w:val="Nadpisotzky"/>
        <w:numPr>
          <w:ilvl w:val="0"/>
          <w:numId w:val="2"/>
        </w:numPr>
        <w:ind w:left="567" w:hanging="567"/>
        <w:rPr>
          <w:rFonts w:asciiTheme="minorHAnsi" w:hAnsiTheme="minorHAnsi" w:cstheme="minorHAnsi"/>
          <w:b w:val="0"/>
          <w:sz w:val="22"/>
          <w:szCs w:val="22"/>
        </w:rPr>
      </w:pPr>
      <w:r w:rsidRPr="00F5568D">
        <w:rPr>
          <w:rFonts w:asciiTheme="minorHAnsi" w:hAnsiTheme="minorHAnsi"/>
          <w:b w:val="0"/>
          <w:sz w:val="22"/>
          <w:szCs w:val="22"/>
        </w:rPr>
        <w:t xml:space="preserve">MEJSTŘÍK, M., M. PEČENÁ a P. TEPLÝ, 2014. Bankovnictví v teorii a praxi / </w:t>
      </w:r>
      <w:proofErr w:type="spellStart"/>
      <w:r w:rsidRPr="00F5568D">
        <w:rPr>
          <w:rFonts w:asciiTheme="minorHAnsi" w:hAnsiTheme="minorHAnsi"/>
          <w:b w:val="0"/>
          <w:sz w:val="22"/>
          <w:szCs w:val="22"/>
        </w:rPr>
        <w:t>Banking</w:t>
      </w:r>
      <w:proofErr w:type="spellEnd"/>
      <w:r w:rsidRPr="00F5568D">
        <w:rPr>
          <w:rFonts w:asciiTheme="minorHAnsi" w:hAnsiTheme="minorHAnsi"/>
          <w:b w:val="0"/>
          <w:sz w:val="22"/>
          <w:szCs w:val="22"/>
        </w:rPr>
        <w:t xml:space="preserve"> in </w:t>
      </w:r>
      <w:proofErr w:type="spellStart"/>
      <w:r w:rsidRPr="00F5568D">
        <w:rPr>
          <w:rFonts w:asciiTheme="minorHAnsi" w:hAnsiTheme="minorHAnsi"/>
          <w:b w:val="0"/>
          <w:sz w:val="22"/>
          <w:szCs w:val="22"/>
        </w:rPr>
        <w:t>Theory</w:t>
      </w:r>
      <w:proofErr w:type="spellEnd"/>
      <w:r w:rsidRPr="00F5568D">
        <w:rPr>
          <w:rFonts w:asciiTheme="minorHAnsi" w:hAnsiTheme="minorHAnsi"/>
          <w:b w:val="0"/>
          <w:sz w:val="22"/>
          <w:szCs w:val="22"/>
        </w:rPr>
        <w:t xml:space="preserve"> and </w:t>
      </w:r>
      <w:proofErr w:type="spellStart"/>
      <w:r w:rsidRPr="00F5568D">
        <w:rPr>
          <w:rFonts w:asciiTheme="minorHAnsi" w:hAnsiTheme="minorHAnsi"/>
          <w:b w:val="0"/>
          <w:sz w:val="22"/>
          <w:szCs w:val="22"/>
        </w:rPr>
        <w:t>Practice</w:t>
      </w:r>
      <w:proofErr w:type="spellEnd"/>
      <w:r w:rsidRPr="00F5568D">
        <w:rPr>
          <w:rFonts w:asciiTheme="minorHAnsi" w:hAnsiTheme="minorHAnsi"/>
          <w:b w:val="0"/>
          <w:sz w:val="22"/>
          <w:szCs w:val="22"/>
        </w:rPr>
        <w:t>. Praha: Karolinum. ISBN 978-80-246-2870-7.</w:t>
      </w:r>
    </w:p>
    <w:p w14:paraId="094646E7" w14:textId="77777777" w:rsidR="006312CE" w:rsidRPr="008608C9" w:rsidRDefault="006312CE" w:rsidP="006312CE">
      <w:pPr>
        <w:pStyle w:val="Nadpisotzky"/>
        <w:numPr>
          <w:ilvl w:val="0"/>
          <w:numId w:val="2"/>
        </w:numPr>
        <w:ind w:left="567" w:hanging="567"/>
        <w:rPr>
          <w:rFonts w:asciiTheme="minorHAnsi" w:hAnsiTheme="minorHAnsi" w:cstheme="minorHAnsi"/>
          <w:b w:val="0"/>
          <w:sz w:val="22"/>
          <w:szCs w:val="22"/>
        </w:rPr>
      </w:pPr>
      <w:r w:rsidRPr="008608C9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PALEČKOVÁ, I., 2021. </w:t>
      </w:r>
      <w:r w:rsidRPr="008608C9">
        <w:rPr>
          <w:rFonts w:asciiTheme="minorHAnsi" w:hAnsiTheme="minorHAnsi" w:cstheme="minorHAnsi"/>
          <w:b w:val="0"/>
          <w:i/>
          <w:color w:val="000000"/>
          <w:sz w:val="22"/>
          <w:szCs w:val="22"/>
        </w:rPr>
        <w:t>Bankovní modely a analýzy</w:t>
      </w:r>
      <w:r w:rsidRPr="008608C9">
        <w:rPr>
          <w:rFonts w:asciiTheme="minorHAnsi" w:hAnsiTheme="minorHAnsi" w:cstheme="minorHAnsi"/>
          <w:b w:val="0"/>
          <w:color w:val="000000"/>
          <w:sz w:val="22"/>
          <w:szCs w:val="22"/>
        </w:rPr>
        <w:t>. Karviná: SU OPF.</w:t>
      </w:r>
    </w:p>
    <w:p w14:paraId="681AC5D6" w14:textId="77777777" w:rsidR="006312CE" w:rsidRPr="008608C9" w:rsidRDefault="006312CE" w:rsidP="006312CE">
      <w:pPr>
        <w:pStyle w:val="Nadpisotzky"/>
        <w:numPr>
          <w:ilvl w:val="0"/>
          <w:numId w:val="2"/>
        </w:numPr>
        <w:ind w:left="567" w:hanging="567"/>
        <w:rPr>
          <w:rFonts w:asciiTheme="minorHAnsi" w:hAnsiTheme="minorHAnsi" w:cstheme="minorHAnsi"/>
          <w:b w:val="0"/>
          <w:sz w:val="22"/>
          <w:szCs w:val="22"/>
        </w:rPr>
      </w:pPr>
      <w:r w:rsidRPr="008608C9">
        <w:rPr>
          <w:rFonts w:ascii="Calibri" w:hAnsi="Calibri"/>
          <w:b w:val="0"/>
          <w:szCs w:val="22"/>
        </w:rPr>
        <w:t>POLOUČEK, S. a kol.</w:t>
      </w:r>
      <w:r w:rsidRPr="008608C9">
        <w:rPr>
          <w:rFonts w:asciiTheme="minorHAnsi" w:hAnsiTheme="minorHAnsi"/>
          <w:b w:val="0"/>
          <w:szCs w:val="22"/>
        </w:rPr>
        <w:t>, 2013.</w:t>
      </w:r>
      <w:r w:rsidRPr="008608C9">
        <w:rPr>
          <w:rFonts w:ascii="Calibri" w:hAnsi="Calibri"/>
          <w:b w:val="0"/>
          <w:szCs w:val="22"/>
        </w:rPr>
        <w:t xml:space="preserve"> </w:t>
      </w:r>
      <w:r w:rsidRPr="008608C9">
        <w:rPr>
          <w:rFonts w:ascii="Calibri" w:hAnsi="Calibri"/>
          <w:b w:val="0"/>
          <w:i/>
          <w:szCs w:val="22"/>
        </w:rPr>
        <w:t>Bankovnictví</w:t>
      </w:r>
      <w:r w:rsidRPr="008608C9">
        <w:rPr>
          <w:rFonts w:ascii="Calibri" w:hAnsi="Calibri"/>
          <w:b w:val="0"/>
          <w:szCs w:val="22"/>
        </w:rPr>
        <w:t xml:space="preserve">. </w:t>
      </w:r>
      <w:r w:rsidRPr="008608C9">
        <w:rPr>
          <w:rFonts w:asciiTheme="minorHAnsi" w:hAnsiTheme="minorHAnsi"/>
          <w:b w:val="0"/>
          <w:szCs w:val="22"/>
        </w:rPr>
        <w:t xml:space="preserve">2. vyd. </w:t>
      </w:r>
      <w:r w:rsidRPr="008608C9">
        <w:rPr>
          <w:rFonts w:ascii="Calibri" w:hAnsi="Calibri"/>
          <w:b w:val="0"/>
          <w:szCs w:val="22"/>
        </w:rPr>
        <w:t xml:space="preserve">Praha: C. H. Beck. ISBN </w:t>
      </w:r>
      <w:r w:rsidRPr="008608C9">
        <w:rPr>
          <w:rFonts w:asciiTheme="minorHAnsi" w:hAnsiTheme="minorHAnsi"/>
          <w:b w:val="0"/>
          <w:szCs w:val="22"/>
        </w:rPr>
        <w:t>978-80-7400-491-9</w:t>
      </w:r>
      <w:r w:rsidRPr="008608C9">
        <w:rPr>
          <w:rFonts w:ascii="Calibri" w:hAnsi="Calibri"/>
          <w:b w:val="0"/>
          <w:szCs w:val="22"/>
        </w:rPr>
        <w:t>.</w:t>
      </w:r>
    </w:p>
    <w:p w14:paraId="66248C3D" w14:textId="77777777" w:rsidR="006312CE" w:rsidRPr="00F5568D" w:rsidRDefault="006312CE" w:rsidP="006312CE">
      <w:pPr>
        <w:pStyle w:val="Nadpisotzky"/>
        <w:numPr>
          <w:ilvl w:val="0"/>
          <w:numId w:val="2"/>
        </w:numPr>
        <w:ind w:left="567" w:hanging="567"/>
        <w:rPr>
          <w:rFonts w:asciiTheme="minorHAnsi" w:hAnsiTheme="minorHAnsi" w:cstheme="minorHAnsi"/>
          <w:b w:val="0"/>
          <w:sz w:val="22"/>
          <w:szCs w:val="22"/>
        </w:rPr>
      </w:pPr>
      <w:r w:rsidRPr="00F5568D">
        <w:rPr>
          <w:rFonts w:asciiTheme="minorHAnsi" w:hAnsiTheme="minorHAnsi" w:cstheme="minorHAnsi"/>
          <w:b w:val="0"/>
          <w:color w:val="000000"/>
          <w:sz w:val="22"/>
          <w:szCs w:val="22"/>
        </w:rPr>
        <w:t>RŮČKOVÁ, P., 2021. </w:t>
      </w:r>
      <w:r w:rsidRPr="00F5568D">
        <w:rPr>
          <w:rStyle w:val="Zdraznn"/>
          <w:rFonts w:asciiTheme="minorHAnsi" w:hAnsiTheme="minorHAnsi" w:cstheme="minorHAnsi"/>
          <w:b w:val="0"/>
          <w:color w:val="000000"/>
          <w:sz w:val="22"/>
          <w:szCs w:val="22"/>
        </w:rPr>
        <w:t xml:space="preserve">Finanční </w:t>
      </w:r>
      <w:proofErr w:type="gramStart"/>
      <w:r w:rsidRPr="00F5568D">
        <w:rPr>
          <w:rStyle w:val="Zdraznn"/>
          <w:rFonts w:asciiTheme="minorHAnsi" w:hAnsiTheme="minorHAnsi" w:cstheme="minorHAnsi"/>
          <w:b w:val="0"/>
          <w:color w:val="000000"/>
          <w:sz w:val="22"/>
          <w:szCs w:val="22"/>
        </w:rPr>
        <w:t>analýza - metody</w:t>
      </w:r>
      <w:proofErr w:type="gramEnd"/>
      <w:r w:rsidRPr="00F5568D">
        <w:rPr>
          <w:rStyle w:val="Zdraznn"/>
          <w:rFonts w:asciiTheme="minorHAnsi" w:hAnsiTheme="minorHAnsi" w:cstheme="minorHAnsi"/>
          <w:b w:val="0"/>
          <w:color w:val="000000"/>
          <w:sz w:val="22"/>
          <w:szCs w:val="22"/>
        </w:rPr>
        <w:t xml:space="preserve"> ukazatele a využití v praxi</w:t>
      </w:r>
      <w:r w:rsidRPr="00F5568D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. VII. vyd. Praha: </w:t>
      </w:r>
      <w:proofErr w:type="spellStart"/>
      <w:r w:rsidRPr="00F5568D">
        <w:rPr>
          <w:rFonts w:asciiTheme="minorHAnsi" w:hAnsiTheme="minorHAnsi" w:cstheme="minorHAnsi"/>
          <w:b w:val="0"/>
          <w:color w:val="000000"/>
          <w:sz w:val="22"/>
          <w:szCs w:val="22"/>
        </w:rPr>
        <w:t>Grada</w:t>
      </w:r>
      <w:proofErr w:type="spellEnd"/>
      <w:r w:rsidRPr="00F5568D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  <w:proofErr w:type="spellStart"/>
      <w:r w:rsidRPr="00F5568D">
        <w:rPr>
          <w:rFonts w:asciiTheme="minorHAnsi" w:hAnsiTheme="minorHAnsi" w:cstheme="minorHAnsi"/>
          <w:b w:val="0"/>
          <w:color w:val="000000"/>
          <w:sz w:val="22"/>
          <w:szCs w:val="22"/>
        </w:rPr>
        <w:t>Publishing</w:t>
      </w:r>
      <w:proofErr w:type="spellEnd"/>
      <w:r w:rsidRPr="00F5568D">
        <w:rPr>
          <w:rFonts w:asciiTheme="minorHAnsi" w:hAnsiTheme="minorHAnsi" w:cstheme="minorHAnsi"/>
          <w:b w:val="0"/>
          <w:color w:val="000000"/>
          <w:sz w:val="22"/>
          <w:szCs w:val="22"/>
        </w:rPr>
        <w:t>. ISBN 978-80-271-3124-2.</w:t>
      </w:r>
    </w:p>
    <w:p w14:paraId="2324F6C6" w14:textId="77777777" w:rsidR="006312CE" w:rsidRPr="00F5568D" w:rsidRDefault="006312CE" w:rsidP="006312CE">
      <w:pPr>
        <w:pStyle w:val="Nadpisotzky"/>
        <w:numPr>
          <w:ilvl w:val="0"/>
          <w:numId w:val="2"/>
        </w:numPr>
        <w:ind w:left="567" w:hanging="567"/>
        <w:rPr>
          <w:rFonts w:asciiTheme="minorHAnsi" w:hAnsiTheme="minorHAnsi" w:cstheme="minorHAnsi"/>
          <w:b w:val="0"/>
          <w:sz w:val="22"/>
          <w:szCs w:val="22"/>
        </w:rPr>
      </w:pPr>
      <w:r w:rsidRPr="00F5568D">
        <w:rPr>
          <w:rFonts w:asciiTheme="minorHAnsi" w:hAnsiTheme="minorHAnsi" w:cstheme="minorHAnsi"/>
          <w:b w:val="0"/>
          <w:color w:val="000000"/>
          <w:sz w:val="22"/>
          <w:szCs w:val="22"/>
        </w:rPr>
        <w:t>RŮČKOVÁ, P., 2019. </w:t>
      </w:r>
      <w:r w:rsidRPr="00F5568D">
        <w:rPr>
          <w:rStyle w:val="Zdraznn"/>
          <w:rFonts w:asciiTheme="minorHAnsi" w:hAnsiTheme="minorHAnsi" w:cstheme="minorHAnsi"/>
          <w:b w:val="0"/>
          <w:color w:val="000000"/>
          <w:sz w:val="22"/>
          <w:szCs w:val="22"/>
        </w:rPr>
        <w:t>Finanční plánování a rozpočtování</w:t>
      </w:r>
      <w:r w:rsidRPr="00F5568D">
        <w:rPr>
          <w:rFonts w:asciiTheme="minorHAnsi" w:hAnsiTheme="minorHAnsi" w:cstheme="minorHAnsi"/>
          <w:b w:val="0"/>
          <w:color w:val="000000"/>
          <w:sz w:val="22"/>
          <w:szCs w:val="22"/>
        </w:rPr>
        <w:t>. </w:t>
      </w:r>
      <w:r w:rsidRPr="00F5568D">
        <w:rPr>
          <w:rStyle w:val="Zdraznn"/>
          <w:rFonts w:asciiTheme="minorHAnsi" w:hAnsiTheme="minorHAnsi" w:cstheme="minorHAnsi"/>
          <w:b w:val="0"/>
          <w:color w:val="000000"/>
          <w:sz w:val="22"/>
          <w:szCs w:val="22"/>
        </w:rPr>
        <w:t>Studijní opora</w:t>
      </w:r>
      <w:r w:rsidRPr="00F5568D">
        <w:rPr>
          <w:rFonts w:asciiTheme="minorHAnsi" w:hAnsiTheme="minorHAnsi" w:cstheme="minorHAnsi"/>
          <w:b w:val="0"/>
          <w:color w:val="000000"/>
          <w:sz w:val="22"/>
          <w:szCs w:val="22"/>
        </w:rPr>
        <w:t>. Karviná: OPF SLU.</w:t>
      </w:r>
    </w:p>
    <w:p w14:paraId="5C1BD202" w14:textId="77777777" w:rsidR="006312CE" w:rsidRPr="008608C9" w:rsidRDefault="006312CE" w:rsidP="006312CE">
      <w:pPr>
        <w:pStyle w:val="Nadpisotzky"/>
        <w:numPr>
          <w:ilvl w:val="0"/>
          <w:numId w:val="2"/>
        </w:numPr>
        <w:ind w:left="567" w:hanging="567"/>
        <w:rPr>
          <w:rFonts w:asciiTheme="minorHAnsi" w:hAnsiTheme="minorHAnsi" w:cstheme="minorHAnsi"/>
          <w:b w:val="0"/>
          <w:sz w:val="22"/>
          <w:szCs w:val="22"/>
        </w:rPr>
      </w:pPr>
      <w:r w:rsidRPr="00F5568D">
        <w:rPr>
          <w:rFonts w:asciiTheme="minorHAnsi" w:hAnsiTheme="minorHAnsi" w:cstheme="minorHAnsi"/>
          <w:b w:val="0"/>
          <w:color w:val="000000"/>
          <w:sz w:val="22"/>
          <w:szCs w:val="22"/>
        </w:rPr>
        <w:t>RŮČKOVÁ, P. A ROUBÍČKOVÁ, M., 2012. </w:t>
      </w:r>
      <w:r w:rsidRPr="00F5568D">
        <w:rPr>
          <w:rStyle w:val="Zdraznn"/>
          <w:rFonts w:asciiTheme="minorHAnsi" w:hAnsiTheme="minorHAnsi" w:cstheme="minorHAnsi"/>
          <w:b w:val="0"/>
          <w:color w:val="000000"/>
          <w:sz w:val="22"/>
          <w:szCs w:val="22"/>
        </w:rPr>
        <w:t>Finanční management</w:t>
      </w:r>
      <w:r w:rsidRPr="00F5568D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. Praha: </w:t>
      </w:r>
      <w:proofErr w:type="spellStart"/>
      <w:r w:rsidRPr="00F5568D">
        <w:rPr>
          <w:rFonts w:asciiTheme="minorHAnsi" w:hAnsiTheme="minorHAnsi" w:cstheme="minorHAnsi"/>
          <w:b w:val="0"/>
          <w:color w:val="000000"/>
          <w:sz w:val="22"/>
          <w:szCs w:val="22"/>
        </w:rPr>
        <w:t>Grada</w:t>
      </w:r>
      <w:proofErr w:type="spellEnd"/>
      <w:r w:rsidRPr="00F5568D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  <w:proofErr w:type="spellStart"/>
      <w:r w:rsidRPr="00F5568D">
        <w:rPr>
          <w:rFonts w:asciiTheme="minorHAnsi" w:hAnsiTheme="minorHAnsi" w:cstheme="minorHAnsi"/>
          <w:b w:val="0"/>
          <w:color w:val="000000"/>
          <w:sz w:val="22"/>
          <w:szCs w:val="22"/>
        </w:rPr>
        <w:t>Publishing</w:t>
      </w:r>
      <w:proofErr w:type="spellEnd"/>
      <w:r w:rsidRPr="00F5568D">
        <w:rPr>
          <w:rFonts w:asciiTheme="minorHAnsi" w:hAnsiTheme="minorHAnsi" w:cstheme="minorHAnsi"/>
          <w:b w:val="0"/>
          <w:color w:val="000000"/>
          <w:sz w:val="22"/>
          <w:szCs w:val="22"/>
        </w:rPr>
        <w:t>. ISBN 978-80-247-4047-8.</w:t>
      </w:r>
    </w:p>
    <w:p w14:paraId="32548CE4" w14:textId="77777777" w:rsidR="006312CE" w:rsidRDefault="006312CE" w:rsidP="006312CE">
      <w:pPr>
        <w:pStyle w:val="Nadpisotzky"/>
        <w:numPr>
          <w:ilvl w:val="0"/>
          <w:numId w:val="2"/>
        </w:numPr>
        <w:ind w:left="567" w:hanging="567"/>
        <w:rPr>
          <w:rFonts w:asciiTheme="minorHAnsi" w:hAnsiTheme="minorHAnsi" w:cstheme="minorHAnsi"/>
          <w:b w:val="0"/>
          <w:sz w:val="22"/>
          <w:szCs w:val="22"/>
        </w:rPr>
      </w:pPr>
      <w:r w:rsidRPr="006312CE">
        <w:rPr>
          <w:rFonts w:asciiTheme="minorHAnsi" w:hAnsiTheme="minorHAnsi" w:cstheme="minorHAnsi"/>
          <w:b w:val="0"/>
          <w:sz w:val="22"/>
          <w:szCs w:val="22"/>
        </w:rPr>
        <w:t>STAVÁREK, D</w:t>
      </w:r>
      <w:r w:rsidRPr="00F5568D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. a Z. SZKORUPOVÁ,</w:t>
      </w:r>
      <w:r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2020.</w:t>
      </w:r>
      <w:r w:rsidRPr="00F5568D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</w:t>
      </w:r>
      <w:r w:rsidRPr="00F5568D">
        <w:rPr>
          <w:rFonts w:asciiTheme="minorHAnsi" w:hAnsiTheme="minorHAnsi" w:cstheme="minorHAnsi"/>
          <w:b w:val="0"/>
          <w:i/>
          <w:iCs/>
          <w:sz w:val="22"/>
          <w:szCs w:val="22"/>
        </w:rPr>
        <w:t>Mezinárodní finanční instituce: distanční studijní text</w:t>
      </w:r>
      <w:r>
        <w:rPr>
          <w:rFonts w:asciiTheme="minorHAnsi" w:hAnsiTheme="minorHAnsi" w:cstheme="minorHAnsi"/>
          <w:b w:val="0"/>
          <w:sz w:val="22"/>
          <w:szCs w:val="22"/>
        </w:rPr>
        <w:t>. Karviná: SU OPF.</w:t>
      </w:r>
    </w:p>
    <w:p w14:paraId="70ADCB76" w14:textId="3C530E82" w:rsidR="006312CE" w:rsidRPr="001A6CE3" w:rsidRDefault="006312CE" w:rsidP="006312CE">
      <w:pPr>
        <w:pStyle w:val="Nadpisotzky"/>
        <w:numPr>
          <w:ilvl w:val="0"/>
          <w:numId w:val="2"/>
        </w:numPr>
        <w:ind w:left="567" w:hanging="567"/>
        <w:rPr>
          <w:rFonts w:cstheme="minorHAnsi"/>
          <w:szCs w:val="22"/>
        </w:rPr>
      </w:pPr>
      <w:r w:rsidRPr="006312CE">
        <w:rPr>
          <w:rFonts w:asciiTheme="minorHAnsi" w:hAnsiTheme="minorHAnsi" w:cstheme="minorHAnsi"/>
          <w:b w:val="0"/>
          <w:sz w:val="22"/>
          <w:szCs w:val="22"/>
        </w:rPr>
        <w:t>SZKORUPOVÁ, Z</w:t>
      </w:r>
      <w:r w:rsidRPr="00F5568D">
        <w:rPr>
          <w:rFonts w:asciiTheme="minorHAnsi" w:hAnsiTheme="minorHAnsi" w:cstheme="minorHAnsi"/>
          <w:b w:val="0"/>
          <w:sz w:val="22"/>
          <w:szCs w:val="22"/>
        </w:rPr>
        <w:t>.</w:t>
      </w:r>
      <w:r>
        <w:rPr>
          <w:rFonts w:asciiTheme="minorHAnsi" w:hAnsiTheme="minorHAnsi" w:cstheme="minorHAnsi"/>
          <w:b w:val="0"/>
          <w:sz w:val="22"/>
          <w:szCs w:val="22"/>
        </w:rPr>
        <w:t>, 2020.</w:t>
      </w:r>
      <w:r w:rsidRPr="00F5568D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F5568D">
        <w:rPr>
          <w:rFonts w:asciiTheme="minorHAnsi" w:hAnsiTheme="minorHAnsi" w:cstheme="minorHAnsi"/>
          <w:b w:val="0"/>
          <w:i/>
          <w:iCs/>
          <w:sz w:val="22"/>
          <w:szCs w:val="22"/>
        </w:rPr>
        <w:t>Peněžní teorie a měnová politika: distanční studijní text</w:t>
      </w:r>
      <w:r>
        <w:rPr>
          <w:rFonts w:asciiTheme="minorHAnsi" w:hAnsiTheme="minorHAnsi" w:cstheme="minorHAnsi"/>
          <w:b w:val="0"/>
          <w:sz w:val="22"/>
          <w:szCs w:val="22"/>
        </w:rPr>
        <w:t>. Karviná: SU OPF.</w:t>
      </w:r>
    </w:p>
    <w:p w14:paraId="59606C6A" w14:textId="63E39342" w:rsidR="001A6CE3" w:rsidRPr="001A6CE3" w:rsidRDefault="001A6CE3" w:rsidP="006312CE">
      <w:pPr>
        <w:pStyle w:val="Nadpisotzky"/>
        <w:numPr>
          <w:ilvl w:val="0"/>
          <w:numId w:val="2"/>
        </w:numPr>
        <w:ind w:left="567" w:hanging="567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A6CE3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KLEPKOVÁ VODOVÁ, P., 2022. </w:t>
      </w:r>
      <w:r w:rsidRPr="001A6CE3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Řízení finančních a bankovních rizik: distanční studijní test.</w:t>
      </w:r>
      <w:r w:rsidRPr="001A6CE3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Karviná: SU OPF.</w:t>
      </w:r>
      <w:bookmarkStart w:id="4" w:name="_GoBack"/>
      <w:bookmarkEnd w:id="4"/>
    </w:p>
    <w:sectPr w:rsidR="001A6CE3" w:rsidRPr="001A6CE3" w:rsidSect="00854A60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34EF3"/>
    <w:multiLevelType w:val="hybridMultilevel"/>
    <w:tmpl w:val="155CDC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34F76"/>
    <w:multiLevelType w:val="hybridMultilevel"/>
    <w:tmpl w:val="73248E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80516"/>
    <w:multiLevelType w:val="hybridMultilevel"/>
    <w:tmpl w:val="3670C21C"/>
    <w:lvl w:ilvl="0" w:tplc="386E4AE4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4565E"/>
    <w:multiLevelType w:val="hybridMultilevel"/>
    <w:tmpl w:val="0CC2C162"/>
    <w:lvl w:ilvl="0" w:tplc="386E4AE4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C2C70"/>
    <w:multiLevelType w:val="hybridMultilevel"/>
    <w:tmpl w:val="0EBA79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QwMjM0M7a0MDEyMjZQ0lEKTi0uzszPAykwrAUAvssOPywAAAA="/>
  </w:docVars>
  <w:rsids>
    <w:rsidRoot w:val="006312CE"/>
    <w:rsid w:val="000317EB"/>
    <w:rsid w:val="0006708A"/>
    <w:rsid w:val="000901AC"/>
    <w:rsid w:val="001A5030"/>
    <w:rsid w:val="001A6CE3"/>
    <w:rsid w:val="001C0EBF"/>
    <w:rsid w:val="001C5C4F"/>
    <w:rsid w:val="00280858"/>
    <w:rsid w:val="00305625"/>
    <w:rsid w:val="0037527E"/>
    <w:rsid w:val="00390E68"/>
    <w:rsid w:val="003C0A0A"/>
    <w:rsid w:val="003F4871"/>
    <w:rsid w:val="00402FCB"/>
    <w:rsid w:val="00457206"/>
    <w:rsid w:val="005E361E"/>
    <w:rsid w:val="005F4829"/>
    <w:rsid w:val="006312CE"/>
    <w:rsid w:val="006D0D93"/>
    <w:rsid w:val="006E355B"/>
    <w:rsid w:val="006F178A"/>
    <w:rsid w:val="00725BA0"/>
    <w:rsid w:val="007464D1"/>
    <w:rsid w:val="007E5C9C"/>
    <w:rsid w:val="0082532B"/>
    <w:rsid w:val="008F40BD"/>
    <w:rsid w:val="0095421A"/>
    <w:rsid w:val="00AB6962"/>
    <w:rsid w:val="00BE35CA"/>
    <w:rsid w:val="00C06461"/>
    <w:rsid w:val="00C1052F"/>
    <w:rsid w:val="00C529E7"/>
    <w:rsid w:val="00DE78AC"/>
    <w:rsid w:val="00E06384"/>
    <w:rsid w:val="00E811DF"/>
    <w:rsid w:val="00EC5930"/>
    <w:rsid w:val="00EE26B0"/>
    <w:rsid w:val="00F20FC9"/>
    <w:rsid w:val="00F50F06"/>
    <w:rsid w:val="00FB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18A10"/>
  <w15:chartTrackingRefBased/>
  <w15:docId w15:val="{0F0DA542-5906-4B3E-9A4B-DE52DBB6C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312CE"/>
    <w:pPr>
      <w:spacing w:after="0" w:line="360" w:lineRule="auto"/>
      <w:jc w:val="both"/>
    </w:pPr>
    <w:rPr>
      <w:rFonts w:eastAsia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312CE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6312CE"/>
    <w:pPr>
      <w:ind w:left="720"/>
      <w:contextualSpacing/>
    </w:pPr>
  </w:style>
  <w:style w:type="table" w:styleId="Mkatabulky">
    <w:name w:val="Table Grid"/>
    <w:basedOn w:val="Normlntabulka"/>
    <w:uiPriority w:val="59"/>
    <w:rsid w:val="0063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312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adpisotzky">
    <w:name w:val="Nadpis otázky"/>
    <w:basedOn w:val="Normln"/>
    <w:rsid w:val="006312CE"/>
    <w:pPr>
      <w:spacing w:line="240" w:lineRule="auto"/>
    </w:pPr>
    <w:rPr>
      <w:rFonts w:ascii="Arial Narrow" w:hAnsi="Arial Narrow"/>
      <w:b/>
      <w:bCs/>
      <w:sz w:val="20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rsid w:val="006312CE"/>
    <w:rPr>
      <w:rFonts w:eastAsia="Times New Roman" w:cs="Times New Roman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6312CE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6312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3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3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Paleckova</dc:creator>
  <cp:keywords/>
  <dc:description/>
  <cp:lastModifiedBy>hla0079</cp:lastModifiedBy>
  <cp:revision>2</cp:revision>
  <dcterms:created xsi:type="dcterms:W3CDTF">2023-10-16T15:07:00Z</dcterms:created>
  <dcterms:modified xsi:type="dcterms:W3CDTF">2023-10-16T15:07:00Z</dcterms:modified>
</cp:coreProperties>
</file>