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98" w:rsidRPr="00340E4C" w:rsidRDefault="009908BA">
      <w:pPr>
        <w:pStyle w:val="Titel"/>
      </w:pPr>
      <w:bookmarkStart w:id="0" w:name="_Toc240444127"/>
      <w:bookmarkStart w:id="1" w:name="_Toc240775327"/>
      <w:bookmarkStart w:id="2" w:name="_Toc281979926"/>
      <w:bookmarkStart w:id="3" w:name="_Toc281979968"/>
      <w:bookmarkStart w:id="4" w:name="_Toc296073422"/>
      <w:bookmarkStart w:id="5" w:name="_Toc297533130"/>
      <w:bookmarkStart w:id="6" w:name="_Toc303675490"/>
      <w:bookmarkStart w:id="7" w:name="_Toc303962991"/>
      <w:bookmarkStart w:id="8" w:name="_Toc306176380"/>
      <w:bookmarkStart w:id="9" w:name="_Toc315341148"/>
      <w:bookmarkStart w:id="10" w:name="_Toc316459943"/>
      <w:bookmarkStart w:id="11" w:name="_Toc316460418"/>
      <w:bookmarkStart w:id="12" w:name="_Toc318291395"/>
      <w:bookmarkStart w:id="13" w:name="_Toc328466801"/>
      <w:bookmarkStart w:id="14" w:name="_Toc335724875"/>
      <w:bookmarkStart w:id="15" w:name="_Toc411926280"/>
      <w:bookmarkStart w:id="16" w:name="_Toc1629133"/>
      <w:r>
        <w:t xml:space="preserve"> </w:t>
      </w:r>
      <w:r w:rsidR="00636A7A">
        <w:t>MAKRO</w:t>
      </w:r>
      <w:r w:rsidR="00783598" w:rsidRPr="00340E4C">
        <w:t>EKONOMIE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83598" w:rsidRDefault="004A191A" w:rsidP="004A191A">
      <w:pPr>
        <w:jc w:val="center"/>
      </w:pPr>
      <w:r w:rsidRPr="00340E4C">
        <w:t>LS MU 11175</w:t>
      </w:r>
    </w:p>
    <w:p w:rsidR="00B766BC" w:rsidRDefault="00B766BC" w:rsidP="004A191A">
      <w:pPr>
        <w:jc w:val="center"/>
      </w:pPr>
    </w:p>
    <w:p w:rsidR="00B766BC" w:rsidRPr="00340E4C" w:rsidRDefault="00B766BC" w:rsidP="004A191A">
      <w:pPr>
        <w:jc w:val="center"/>
      </w:pPr>
      <w:r>
        <w:t xml:space="preserve">Richard Neugebauer, </w:t>
      </w:r>
      <w:hyperlink r:id="rId9" w:history="1">
        <w:r w:rsidRPr="003B1FB6">
          <w:rPr>
            <w:rStyle w:val="Hyperlink"/>
          </w:rPr>
          <w:t>neugebaur</w:t>
        </w:r>
        <w:r w:rsidRPr="003B1FB6">
          <w:rPr>
            <w:rStyle w:val="Hyperlink"/>
            <w:lang w:val="de-DE"/>
          </w:rPr>
          <w:t>@</w:t>
        </w:r>
        <w:r w:rsidRPr="003B1FB6">
          <w:rPr>
            <w:rStyle w:val="Hyperlink"/>
          </w:rPr>
          <w:t>mail.com</w:t>
        </w:r>
      </w:hyperlink>
      <w:r>
        <w:t>, mobil 602 777 875</w:t>
      </w:r>
    </w:p>
    <w:p w:rsidR="00551964" w:rsidRDefault="00551964">
      <w:pPr>
        <w:pStyle w:val="Verzeichnis1"/>
        <w:tabs>
          <w:tab w:val="right" w:leader="dot" w:pos="9062"/>
        </w:tabs>
      </w:pPr>
    </w:p>
    <w:p w:rsidR="009E0FF3" w:rsidRDefault="009E0FF3" w:rsidP="002438CB"/>
    <w:p w:rsidR="00DE7CBC" w:rsidRDefault="00DE7CBC" w:rsidP="002438CB"/>
    <w:p w:rsidR="00430558" w:rsidRDefault="00430558" w:rsidP="002438CB">
      <w:r>
        <w:t>Obsah:</w:t>
      </w:r>
    </w:p>
    <w:p w:rsidR="00430558" w:rsidRDefault="00783598" w:rsidP="00430558">
      <w:pPr>
        <w:rPr>
          <w:noProof/>
        </w:rPr>
      </w:pPr>
      <w:r w:rsidRPr="00340E4C">
        <w:t xml:space="preserve"> </w:t>
      </w:r>
      <w:r w:rsidR="00430558">
        <w:fldChar w:fldCharType="begin"/>
      </w:r>
      <w:r w:rsidR="00430558">
        <w:instrText xml:space="preserve"> TOC \o "1-1" \h \z \u </w:instrText>
      </w:r>
      <w:r w:rsidR="00430558">
        <w:fldChar w:fldCharType="separate"/>
      </w:r>
    </w:p>
    <w:p w:rsidR="00430558" w:rsidRDefault="006647E4">
      <w:pPr>
        <w:pStyle w:val="Verzeichnis1"/>
        <w:tabs>
          <w:tab w:val="right" w:leader="dot" w:pos="9062"/>
        </w:tabs>
        <w:rPr>
          <w:rFonts w:asciiTheme="minorHAnsi" w:eastAsiaTheme="minorEastAsia" w:hAnsiTheme="minorHAnsi" w:cstheme="minorBidi"/>
          <w:noProof/>
          <w:sz w:val="22"/>
          <w:szCs w:val="22"/>
        </w:rPr>
      </w:pPr>
      <w:hyperlink w:anchor="_Toc1629133" w:history="1">
        <w:r w:rsidR="00430558" w:rsidRPr="001334E6">
          <w:rPr>
            <w:rStyle w:val="Hyperlink"/>
            <w:noProof/>
          </w:rPr>
          <w:t>MAKROEKONOMIE</w:t>
        </w:r>
        <w:r w:rsidR="00430558">
          <w:rPr>
            <w:noProof/>
            <w:webHidden/>
          </w:rPr>
          <w:tab/>
        </w:r>
        <w:r w:rsidR="00430558">
          <w:rPr>
            <w:noProof/>
            <w:webHidden/>
          </w:rPr>
          <w:fldChar w:fldCharType="begin"/>
        </w:r>
        <w:r w:rsidR="00430558">
          <w:rPr>
            <w:noProof/>
            <w:webHidden/>
          </w:rPr>
          <w:instrText xml:space="preserve"> PAGEREF _Toc1629133 \h </w:instrText>
        </w:r>
        <w:r w:rsidR="00430558">
          <w:rPr>
            <w:noProof/>
            <w:webHidden/>
          </w:rPr>
        </w:r>
        <w:r w:rsidR="00430558">
          <w:rPr>
            <w:noProof/>
            <w:webHidden/>
          </w:rPr>
          <w:fldChar w:fldCharType="separate"/>
        </w:r>
        <w:r w:rsidR="00430558">
          <w:rPr>
            <w:noProof/>
            <w:webHidden/>
          </w:rPr>
          <w:t>1</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34" w:history="1">
        <w:r w:rsidR="00430558" w:rsidRPr="001334E6">
          <w:rPr>
            <w:rStyle w:val="Hyperlink"/>
            <w:noProof/>
          </w:rPr>
          <w:t>1.</w:t>
        </w:r>
        <w:r w:rsidR="00430558">
          <w:rPr>
            <w:rFonts w:asciiTheme="minorHAnsi" w:eastAsiaTheme="minorEastAsia" w:hAnsiTheme="minorHAnsi" w:cstheme="minorBidi"/>
            <w:noProof/>
            <w:sz w:val="22"/>
            <w:szCs w:val="22"/>
          </w:rPr>
          <w:tab/>
        </w:r>
        <w:r w:rsidR="00430558" w:rsidRPr="001334E6">
          <w:rPr>
            <w:rStyle w:val="Hyperlink"/>
            <w:noProof/>
          </w:rPr>
          <w:t>Úvod do makroekonomie</w:t>
        </w:r>
        <w:r w:rsidR="00430558">
          <w:rPr>
            <w:noProof/>
            <w:webHidden/>
          </w:rPr>
          <w:tab/>
        </w:r>
        <w:r w:rsidR="00430558">
          <w:rPr>
            <w:noProof/>
            <w:webHidden/>
          </w:rPr>
          <w:fldChar w:fldCharType="begin"/>
        </w:r>
        <w:r w:rsidR="00430558">
          <w:rPr>
            <w:noProof/>
            <w:webHidden/>
          </w:rPr>
          <w:instrText xml:space="preserve"> PAGEREF _Toc1629134 \h </w:instrText>
        </w:r>
        <w:r w:rsidR="00430558">
          <w:rPr>
            <w:noProof/>
            <w:webHidden/>
          </w:rPr>
        </w:r>
        <w:r w:rsidR="00430558">
          <w:rPr>
            <w:noProof/>
            <w:webHidden/>
          </w:rPr>
          <w:fldChar w:fldCharType="separate"/>
        </w:r>
        <w:r w:rsidR="00430558">
          <w:rPr>
            <w:noProof/>
            <w:webHidden/>
          </w:rPr>
          <w:t>2</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35" w:history="1">
        <w:r w:rsidR="00430558" w:rsidRPr="001334E6">
          <w:rPr>
            <w:rStyle w:val="Hyperlink"/>
            <w:noProof/>
          </w:rPr>
          <w:t>2.</w:t>
        </w:r>
        <w:r w:rsidR="00430558">
          <w:rPr>
            <w:rFonts w:asciiTheme="minorHAnsi" w:eastAsiaTheme="minorEastAsia" w:hAnsiTheme="minorHAnsi" w:cstheme="minorBidi"/>
            <w:noProof/>
            <w:sz w:val="22"/>
            <w:szCs w:val="22"/>
          </w:rPr>
          <w:tab/>
        </w:r>
        <w:r w:rsidR="00430558" w:rsidRPr="001334E6">
          <w:rPr>
            <w:rStyle w:val="Hyperlink"/>
            <w:noProof/>
          </w:rPr>
          <w:t>Rovnovážný produkt ve dvousektorové ekonomice</w:t>
        </w:r>
        <w:r w:rsidR="00430558">
          <w:rPr>
            <w:noProof/>
            <w:webHidden/>
          </w:rPr>
          <w:tab/>
        </w:r>
        <w:r w:rsidR="00430558">
          <w:rPr>
            <w:noProof/>
            <w:webHidden/>
          </w:rPr>
          <w:fldChar w:fldCharType="begin"/>
        </w:r>
        <w:r w:rsidR="00430558">
          <w:rPr>
            <w:noProof/>
            <w:webHidden/>
          </w:rPr>
          <w:instrText xml:space="preserve"> PAGEREF _Toc1629135 \h </w:instrText>
        </w:r>
        <w:r w:rsidR="00430558">
          <w:rPr>
            <w:noProof/>
            <w:webHidden/>
          </w:rPr>
        </w:r>
        <w:r w:rsidR="00430558">
          <w:rPr>
            <w:noProof/>
            <w:webHidden/>
          </w:rPr>
          <w:fldChar w:fldCharType="separate"/>
        </w:r>
        <w:r w:rsidR="00430558">
          <w:rPr>
            <w:noProof/>
            <w:webHidden/>
          </w:rPr>
          <w:t>7</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36" w:history="1">
        <w:r w:rsidR="00430558" w:rsidRPr="001334E6">
          <w:rPr>
            <w:rStyle w:val="Hyperlink"/>
            <w:noProof/>
          </w:rPr>
          <w:t>3.</w:t>
        </w:r>
        <w:r w:rsidR="00430558">
          <w:rPr>
            <w:rFonts w:asciiTheme="minorHAnsi" w:eastAsiaTheme="minorEastAsia" w:hAnsiTheme="minorHAnsi" w:cstheme="minorBidi"/>
            <w:noProof/>
            <w:sz w:val="22"/>
            <w:szCs w:val="22"/>
          </w:rPr>
          <w:tab/>
        </w:r>
        <w:r w:rsidR="00430558" w:rsidRPr="001334E6">
          <w:rPr>
            <w:rStyle w:val="Hyperlink"/>
            <w:noProof/>
          </w:rPr>
          <w:t>Agregátní nabídka a agregátní poptávka</w:t>
        </w:r>
        <w:r w:rsidR="00430558">
          <w:rPr>
            <w:noProof/>
            <w:webHidden/>
          </w:rPr>
          <w:tab/>
        </w:r>
        <w:r w:rsidR="00430558">
          <w:rPr>
            <w:noProof/>
            <w:webHidden/>
          </w:rPr>
          <w:fldChar w:fldCharType="begin"/>
        </w:r>
        <w:r w:rsidR="00430558">
          <w:rPr>
            <w:noProof/>
            <w:webHidden/>
          </w:rPr>
          <w:instrText xml:space="preserve"> PAGEREF _Toc1629136 \h </w:instrText>
        </w:r>
        <w:r w:rsidR="00430558">
          <w:rPr>
            <w:noProof/>
            <w:webHidden/>
          </w:rPr>
        </w:r>
        <w:r w:rsidR="00430558">
          <w:rPr>
            <w:noProof/>
            <w:webHidden/>
          </w:rPr>
          <w:fldChar w:fldCharType="separate"/>
        </w:r>
        <w:r w:rsidR="00430558">
          <w:rPr>
            <w:noProof/>
            <w:webHidden/>
          </w:rPr>
          <w:t>14</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37" w:history="1">
        <w:r w:rsidR="00430558" w:rsidRPr="001334E6">
          <w:rPr>
            <w:rStyle w:val="Hyperlink"/>
            <w:noProof/>
          </w:rPr>
          <w:t>4.</w:t>
        </w:r>
        <w:r w:rsidR="00430558">
          <w:rPr>
            <w:rFonts w:asciiTheme="minorHAnsi" w:eastAsiaTheme="minorEastAsia" w:hAnsiTheme="minorHAnsi" w:cstheme="minorBidi"/>
            <w:noProof/>
            <w:sz w:val="22"/>
            <w:szCs w:val="22"/>
          </w:rPr>
          <w:tab/>
        </w:r>
        <w:r w:rsidR="00430558" w:rsidRPr="001334E6">
          <w:rPr>
            <w:rStyle w:val="Hyperlink"/>
            <w:noProof/>
          </w:rPr>
          <w:t>Ekonomický růst a hospodářský cyklus</w:t>
        </w:r>
        <w:r w:rsidR="00430558">
          <w:rPr>
            <w:noProof/>
            <w:webHidden/>
          </w:rPr>
          <w:tab/>
        </w:r>
        <w:r w:rsidR="00430558">
          <w:rPr>
            <w:noProof/>
            <w:webHidden/>
          </w:rPr>
          <w:fldChar w:fldCharType="begin"/>
        </w:r>
        <w:r w:rsidR="00430558">
          <w:rPr>
            <w:noProof/>
            <w:webHidden/>
          </w:rPr>
          <w:instrText xml:space="preserve"> PAGEREF _Toc1629137 \h </w:instrText>
        </w:r>
        <w:r w:rsidR="00430558">
          <w:rPr>
            <w:noProof/>
            <w:webHidden/>
          </w:rPr>
        </w:r>
        <w:r w:rsidR="00430558">
          <w:rPr>
            <w:noProof/>
            <w:webHidden/>
          </w:rPr>
          <w:fldChar w:fldCharType="separate"/>
        </w:r>
        <w:r w:rsidR="00430558">
          <w:rPr>
            <w:noProof/>
            <w:webHidden/>
          </w:rPr>
          <w:t>19</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38" w:history="1">
        <w:r w:rsidR="00430558" w:rsidRPr="001334E6">
          <w:rPr>
            <w:rStyle w:val="Hyperlink"/>
            <w:noProof/>
          </w:rPr>
          <w:t>5.</w:t>
        </w:r>
        <w:r w:rsidR="00430558">
          <w:rPr>
            <w:rFonts w:asciiTheme="minorHAnsi" w:eastAsiaTheme="minorEastAsia" w:hAnsiTheme="minorHAnsi" w:cstheme="minorBidi"/>
            <w:noProof/>
            <w:sz w:val="22"/>
            <w:szCs w:val="22"/>
          </w:rPr>
          <w:tab/>
        </w:r>
        <w:r w:rsidR="00430558" w:rsidRPr="001334E6">
          <w:rPr>
            <w:rStyle w:val="Hyperlink"/>
            <w:noProof/>
          </w:rPr>
          <w:t>Peníze a trh peněz</w:t>
        </w:r>
        <w:r w:rsidR="00430558">
          <w:rPr>
            <w:noProof/>
            <w:webHidden/>
          </w:rPr>
          <w:tab/>
        </w:r>
        <w:r w:rsidR="00430558">
          <w:rPr>
            <w:noProof/>
            <w:webHidden/>
          </w:rPr>
          <w:fldChar w:fldCharType="begin"/>
        </w:r>
        <w:r w:rsidR="00430558">
          <w:rPr>
            <w:noProof/>
            <w:webHidden/>
          </w:rPr>
          <w:instrText xml:space="preserve"> PAGEREF _Toc1629138 \h </w:instrText>
        </w:r>
        <w:r w:rsidR="00430558">
          <w:rPr>
            <w:noProof/>
            <w:webHidden/>
          </w:rPr>
        </w:r>
        <w:r w:rsidR="00430558">
          <w:rPr>
            <w:noProof/>
            <w:webHidden/>
          </w:rPr>
          <w:fldChar w:fldCharType="separate"/>
        </w:r>
        <w:r w:rsidR="00430558">
          <w:rPr>
            <w:noProof/>
            <w:webHidden/>
          </w:rPr>
          <w:t>27</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39" w:history="1">
        <w:r w:rsidR="00430558" w:rsidRPr="001334E6">
          <w:rPr>
            <w:rStyle w:val="Hyperlink"/>
            <w:noProof/>
          </w:rPr>
          <w:t>6.</w:t>
        </w:r>
        <w:r w:rsidR="00430558">
          <w:rPr>
            <w:rFonts w:asciiTheme="minorHAnsi" w:eastAsiaTheme="minorEastAsia" w:hAnsiTheme="minorHAnsi" w:cstheme="minorBidi"/>
            <w:noProof/>
            <w:sz w:val="22"/>
            <w:szCs w:val="22"/>
          </w:rPr>
          <w:tab/>
        </w:r>
        <w:r w:rsidR="00430558" w:rsidRPr="001334E6">
          <w:rPr>
            <w:rStyle w:val="Hyperlink"/>
            <w:noProof/>
          </w:rPr>
          <w:t>Otevřená ekonomika a vnější ekonomická rovnováha</w:t>
        </w:r>
        <w:r w:rsidR="00430558">
          <w:rPr>
            <w:noProof/>
            <w:webHidden/>
          </w:rPr>
          <w:tab/>
        </w:r>
        <w:r w:rsidR="00430558">
          <w:rPr>
            <w:noProof/>
            <w:webHidden/>
          </w:rPr>
          <w:fldChar w:fldCharType="begin"/>
        </w:r>
        <w:r w:rsidR="00430558">
          <w:rPr>
            <w:noProof/>
            <w:webHidden/>
          </w:rPr>
          <w:instrText xml:space="preserve"> PAGEREF _Toc1629139 \h </w:instrText>
        </w:r>
        <w:r w:rsidR="00430558">
          <w:rPr>
            <w:noProof/>
            <w:webHidden/>
          </w:rPr>
        </w:r>
        <w:r w:rsidR="00430558">
          <w:rPr>
            <w:noProof/>
            <w:webHidden/>
          </w:rPr>
          <w:fldChar w:fldCharType="separate"/>
        </w:r>
        <w:r w:rsidR="00430558">
          <w:rPr>
            <w:noProof/>
            <w:webHidden/>
          </w:rPr>
          <w:t>33</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40" w:history="1">
        <w:r w:rsidR="00430558" w:rsidRPr="001334E6">
          <w:rPr>
            <w:rStyle w:val="Hyperlink"/>
            <w:noProof/>
          </w:rPr>
          <w:t>7.</w:t>
        </w:r>
        <w:r w:rsidR="00430558">
          <w:rPr>
            <w:rFonts w:asciiTheme="minorHAnsi" w:eastAsiaTheme="minorEastAsia" w:hAnsiTheme="minorHAnsi" w:cstheme="minorBidi"/>
            <w:noProof/>
            <w:sz w:val="22"/>
            <w:szCs w:val="22"/>
          </w:rPr>
          <w:tab/>
        </w:r>
        <w:r w:rsidR="00430558" w:rsidRPr="001334E6">
          <w:rPr>
            <w:rStyle w:val="Hyperlink"/>
            <w:noProof/>
          </w:rPr>
          <w:t>Nezaměstnanost</w:t>
        </w:r>
        <w:r w:rsidR="00430558">
          <w:rPr>
            <w:noProof/>
            <w:webHidden/>
          </w:rPr>
          <w:tab/>
        </w:r>
        <w:r w:rsidR="00430558">
          <w:rPr>
            <w:noProof/>
            <w:webHidden/>
          </w:rPr>
          <w:fldChar w:fldCharType="begin"/>
        </w:r>
        <w:r w:rsidR="00430558">
          <w:rPr>
            <w:noProof/>
            <w:webHidden/>
          </w:rPr>
          <w:instrText xml:space="preserve"> PAGEREF _Toc1629140 \h </w:instrText>
        </w:r>
        <w:r w:rsidR="00430558">
          <w:rPr>
            <w:noProof/>
            <w:webHidden/>
          </w:rPr>
        </w:r>
        <w:r w:rsidR="00430558">
          <w:rPr>
            <w:noProof/>
            <w:webHidden/>
          </w:rPr>
          <w:fldChar w:fldCharType="separate"/>
        </w:r>
        <w:r w:rsidR="00430558">
          <w:rPr>
            <w:noProof/>
            <w:webHidden/>
          </w:rPr>
          <w:t>39</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41" w:history="1">
        <w:r w:rsidR="00430558" w:rsidRPr="001334E6">
          <w:rPr>
            <w:rStyle w:val="Hyperlink"/>
            <w:noProof/>
          </w:rPr>
          <w:t>8.</w:t>
        </w:r>
        <w:r w:rsidR="00430558">
          <w:rPr>
            <w:rFonts w:asciiTheme="minorHAnsi" w:eastAsiaTheme="minorEastAsia" w:hAnsiTheme="minorHAnsi" w:cstheme="minorBidi"/>
            <w:noProof/>
            <w:sz w:val="22"/>
            <w:szCs w:val="22"/>
          </w:rPr>
          <w:tab/>
        </w:r>
        <w:r w:rsidR="00430558" w:rsidRPr="001334E6">
          <w:rPr>
            <w:rStyle w:val="Hyperlink"/>
            <w:noProof/>
          </w:rPr>
          <w:t>Inflace</w:t>
        </w:r>
        <w:r w:rsidR="00430558">
          <w:rPr>
            <w:noProof/>
            <w:webHidden/>
          </w:rPr>
          <w:tab/>
        </w:r>
        <w:r w:rsidR="00430558">
          <w:rPr>
            <w:noProof/>
            <w:webHidden/>
          </w:rPr>
          <w:fldChar w:fldCharType="begin"/>
        </w:r>
        <w:r w:rsidR="00430558">
          <w:rPr>
            <w:noProof/>
            <w:webHidden/>
          </w:rPr>
          <w:instrText xml:space="preserve"> PAGEREF _Toc1629141 \h </w:instrText>
        </w:r>
        <w:r w:rsidR="00430558">
          <w:rPr>
            <w:noProof/>
            <w:webHidden/>
          </w:rPr>
        </w:r>
        <w:r w:rsidR="00430558">
          <w:rPr>
            <w:noProof/>
            <w:webHidden/>
          </w:rPr>
          <w:fldChar w:fldCharType="separate"/>
        </w:r>
        <w:r w:rsidR="00430558">
          <w:rPr>
            <w:noProof/>
            <w:webHidden/>
          </w:rPr>
          <w:t>45</w:t>
        </w:r>
        <w:r w:rsidR="00430558">
          <w:rPr>
            <w:noProof/>
            <w:webHidden/>
          </w:rPr>
          <w:fldChar w:fldCharType="end"/>
        </w:r>
      </w:hyperlink>
    </w:p>
    <w:p w:rsidR="00430558" w:rsidRDefault="006647E4">
      <w:pPr>
        <w:pStyle w:val="Verzeichnis1"/>
        <w:tabs>
          <w:tab w:val="left" w:pos="480"/>
          <w:tab w:val="right" w:leader="dot" w:pos="9062"/>
        </w:tabs>
        <w:rPr>
          <w:rFonts w:asciiTheme="minorHAnsi" w:eastAsiaTheme="minorEastAsia" w:hAnsiTheme="minorHAnsi" w:cstheme="minorBidi"/>
          <w:noProof/>
          <w:sz w:val="22"/>
          <w:szCs w:val="22"/>
        </w:rPr>
      </w:pPr>
      <w:hyperlink w:anchor="_Toc1629142" w:history="1">
        <w:r w:rsidR="00430558" w:rsidRPr="001334E6">
          <w:rPr>
            <w:rStyle w:val="Hyperlink"/>
            <w:noProof/>
          </w:rPr>
          <w:t>9.</w:t>
        </w:r>
        <w:r w:rsidR="00430558">
          <w:rPr>
            <w:rFonts w:asciiTheme="minorHAnsi" w:eastAsiaTheme="minorEastAsia" w:hAnsiTheme="minorHAnsi" w:cstheme="minorBidi"/>
            <w:noProof/>
            <w:sz w:val="22"/>
            <w:szCs w:val="22"/>
          </w:rPr>
          <w:tab/>
        </w:r>
        <w:r w:rsidR="00430558" w:rsidRPr="001334E6">
          <w:rPr>
            <w:rStyle w:val="Hyperlink"/>
            <w:noProof/>
          </w:rPr>
          <w:t>Monetární politika</w:t>
        </w:r>
        <w:r w:rsidR="00430558">
          <w:rPr>
            <w:noProof/>
            <w:webHidden/>
          </w:rPr>
          <w:tab/>
        </w:r>
        <w:r w:rsidR="00430558">
          <w:rPr>
            <w:noProof/>
            <w:webHidden/>
          </w:rPr>
          <w:fldChar w:fldCharType="begin"/>
        </w:r>
        <w:r w:rsidR="00430558">
          <w:rPr>
            <w:noProof/>
            <w:webHidden/>
          </w:rPr>
          <w:instrText xml:space="preserve"> PAGEREF _Toc1629142 \h </w:instrText>
        </w:r>
        <w:r w:rsidR="00430558">
          <w:rPr>
            <w:noProof/>
            <w:webHidden/>
          </w:rPr>
        </w:r>
        <w:r w:rsidR="00430558">
          <w:rPr>
            <w:noProof/>
            <w:webHidden/>
          </w:rPr>
          <w:fldChar w:fldCharType="separate"/>
        </w:r>
        <w:r w:rsidR="00430558">
          <w:rPr>
            <w:noProof/>
            <w:webHidden/>
          </w:rPr>
          <w:t>50</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43" w:history="1">
        <w:r w:rsidR="00430558" w:rsidRPr="001334E6">
          <w:rPr>
            <w:rStyle w:val="Hyperlink"/>
            <w:noProof/>
          </w:rPr>
          <w:t>10.</w:t>
        </w:r>
        <w:r w:rsidR="00430558">
          <w:rPr>
            <w:rFonts w:asciiTheme="minorHAnsi" w:eastAsiaTheme="minorEastAsia" w:hAnsiTheme="minorHAnsi" w:cstheme="minorBidi"/>
            <w:noProof/>
            <w:sz w:val="22"/>
            <w:szCs w:val="22"/>
          </w:rPr>
          <w:tab/>
        </w:r>
        <w:r w:rsidR="00430558" w:rsidRPr="001334E6">
          <w:rPr>
            <w:rStyle w:val="Hyperlink"/>
            <w:noProof/>
          </w:rPr>
          <w:t>Fiskální politika</w:t>
        </w:r>
        <w:r w:rsidR="00430558">
          <w:rPr>
            <w:noProof/>
            <w:webHidden/>
          </w:rPr>
          <w:tab/>
        </w:r>
        <w:r w:rsidR="00430558">
          <w:rPr>
            <w:noProof/>
            <w:webHidden/>
          </w:rPr>
          <w:fldChar w:fldCharType="begin"/>
        </w:r>
        <w:r w:rsidR="00430558">
          <w:rPr>
            <w:noProof/>
            <w:webHidden/>
          </w:rPr>
          <w:instrText xml:space="preserve"> PAGEREF _Toc1629143 \h </w:instrText>
        </w:r>
        <w:r w:rsidR="00430558">
          <w:rPr>
            <w:noProof/>
            <w:webHidden/>
          </w:rPr>
        </w:r>
        <w:r w:rsidR="00430558">
          <w:rPr>
            <w:noProof/>
            <w:webHidden/>
          </w:rPr>
          <w:fldChar w:fldCharType="separate"/>
        </w:r>
        <w:r w:rsidR="00430558">
          <w:rPr>
            <w:noProof/>
            <w:webHidden/>
          </w:rPr>
          <w:t>54</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44" w:history="1">
        <w:r w:rsidR="00430558" w:rsidRPr="001334E6">
          <w:rPr>
            <w:rStyle w:val="Hyperlink"/>
            <w:noProof/>
          </w:rPr>
          <w:t>11.</w:t>
        </w:r>
        <w:r w:rsidR="00430558">
          <w:rPr>
            <w:rFonts w:asciiTheme="minorHAnsi" w:eastAsiaTheme="minorEastAsia" w:hAnsiTheme="minorHAnsi" w:cstheme="minorBidi"/>
            <w:noProof/>
            <w:sz w:val="22"/>
            <w:szCs w:val="22"/>
          </w:rPr>
          <w:tab/>
        </w:r>
        <w:r w:rsidR="00430558" w:rsidRPr="001334E6">
          <w:rPr>
            <w:rStyle w:val="Hyperlink"/>
            <w:noProof/>
          </w:rPr>
          <w:t>Vnější obchodní a měnová politika</w:t>
        </w:r>
        <w:r w:rsidR="00430558">
          <w:rPr>
            <w:noProof/>
            <w:webHidden/>
          </w:rPr>
          <w:tab/>
        </w:r>
        <w:r w:rsidR="00430558">
          <w:rPr>
            <w:noProof/>
            <w:webHidden/>
          </w:rPr>
          <w:fldChar w:fldCharType="begin"/>
        </w:r>
        <w:r w:rsidR="00430558">
          <w:rPr>
            <w:noProof/>
            <w:webHidden/>
          </w:rPr>
          <w:instrText xml:space="preserve"> PAGEREF _Toc1629144 \h </w:instrText>
        </w:r>
        <w:r w:rsidR="00430558">
          <w:rPr>
            <w:noProof/>
            <w:webHidden/>
          </w:rPr>
        </w:r>
        <w:r w:rsidR="00430558">
          <w:rPr>
            <w:noProof/>
            <w:webHidden/>
          </w:rPr>
          <w:fldChar w:fldCharType="separate"/>
        </w:r>
        <w:r w:rsidR="00430558">
          <w:rPr>
            <w:noProof/>
            <w:webHidden/>
          </w:rPr>
          <w:t>58</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45" w:history="1">
        <w:r w:rsidR="00430558" w:rsidRPr="001334E6">
          <w:rPr>
            <w:rStyle w:val="Hyperlink"/>
            <w:noProof/>
          </w:rPr>
          <w:t>12.</w:t>
        </w:r>
        <w:r w:rsidR="00430558">
          <w:rPr>
            <w:rFonts w:asciiTheme="minorHAnsi" w:eastAsiaTheme="minorEastAsia" w:hAnsiTheme="minorHAnsi" w:cstheme="minorBidi"/>
            <w:noProof/>
            <w:sz w:val="22"/>
            <w:szCs w:val="22"/>
          </w:rPr>
          <w:tab/>
        </w:r>
        <w:r w:rsidR="00430558" w:rsidRPr="001334E6">
          <w:rPr>
            <w:rStyle w:val="Hyperlink"/>
            <w:noProof/>
          </w:rPr>
          <w:t>Hospodářská politika vlády</w:t>
        </w:r>
        <w:r w:rsidR="00430558">
          <w:rPr>
            <w:noProof/>
            <w:webHidden/>
          </w:rPr>
          <w:tab/>
        </w:r>
        <w:r w:rsidR="00430558">
          <w:rPr>
            <w:noProof/>
            <w:webHidden/>
          </w:rPr>
          <w:fldChar w:fldCharType="begin"/>
        </w:r>
        <w:r w:rsidR="00430558">
          <w:rPr>
            <w:noProof/>
            <w:webHidden/>
          </w:rPr>
          <w:instrText xml:space="preserve"> PAGEREF _Toc1629145 \h </w:instrText>
        </w:r>
        <w:r w:rsidR="00430558">
          <w:rPr>
            <w:noProof/>
            <w:webHidden/>
          </w:rPr>
        </w:r>
        <w:r w:rsidR="00430558">
          <w:rPr>
            <w:noProof/>
            <w:webHidden/>
          </w:rPr>
          <w:fldChar w:fldCharType="separate"/>
        </w:r>
        <w:r w:rsidR="00430558">
          <w:rPr>
            <w:noProof/>
            <w:webHidden/>
          </w:rPr>
          <w:t>60</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46" w:history="1">
        <w:r w:rsidR="00430558" w:rsidRPr="001334E6">
          <w:rPr>
            <w:rStyle w:val="Hyperlink"/>
            <w:noProof/>
          </w:rPr>
          <w:t>13.</w:t>
        </w:r>
        <w:r w:rsidR="00430558">
          <w:rPr>
            <w:rFonts w:asciiTheme="minorHAnsi" w:eastAsiaTheme="minorEastAsia" w:hAnsiTheme="minorHAnsi" w:cstheme="minorBidi"/>
            <w:noProof/>
            <w:sz w:val="22"/>
            <w:szCs w:val="22"/>
          </w:rPr>
          <w:tab/>
        </w:r>
        <w:r w:rsidR="00430558" w:rsidRPr="001334E6">
          <w:rPr>
            <w:rStyle w:val="Hyperlink"/>
            <w:noProof/>
          </w:rPr>
          <w:t>Kolokvium LS - Test</w:t>
        </w:r>
        <w:r w:rsidR="00430558">
          <w:rPr>
            <w:noProof/>
            <w:webHidden/>
          </w:rPr>
          <w:tab/>
        </w:r>
        <w:r w:rsidR="00430558">
          <w:rPr>
            <w:noProof/>
            <w:webHidden/>
          </w:rPr>
          <w:fldChar w:fldCharType="begin"/>
        </w:r>
        <w:r w:rsidR="00430558">
          <w:rPr>
            <w:noProof/>
            <w:webHidden/>
          </w:rPr>
          <w:instrText xml:space="preserve"> PAGEREF _Toc1629146 \h </w:instrText>
        </w:r>
        <w:r w:rsidR="00430558">
          <w:rPr>
            <w:noProof/>
            <w:webHidden/>
          </w:rPr>
        </w:r>
        <w:r w:rsidR="00430558">
          <w:rPr>
            <w:noProof/>
            <w:webHidden/>
          </w:rPr>
          <w:fldChar w:fldCharType="separate"/>
        </w:r>
        <w:r w:rsidR="00430558">
          <w:rPr>
            <w:noProof/>
            <w:webHidden/>
          </w:rPr>
          <w:t>63</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47" w:history="1">
        <w:r w:rsidR="00430558" w:rsidRPr="001334E6">
          <w:rPr>
            <w:rStyle w:val="Hyperlink"/>
            <w:noProof/>
          </w:rPr>
          <w:t>14.</w:t>
        </w:r>
        <w:r w:rsidR="00430558">
          <w:rPr>
            <w:rFonts w:asciiTheme="minorHAnsi" w:eastAsiaTheme="minorEastAsia" w:hAnsiTheme="minorHAnsi" w:cstheme="minorBidi"/>
            <w:noProof/>
            <w:sz w:val="22"/>
            <w:szCs w:val="22"/>
          </w:rPr>
          <w:tab/>
        </w:r>
        <w:r w:rsidR="00430558" w:rsidRPr="001334E6">
          <w:rPr>
            <w:rStyle w:val="Hyperlink"/>
            <w:noProof/>
          </w:rPr>
          <w:t>Témata na kolokviální referát za LS</w:t>
        </w:r>
        <w:r w:rsidR="00430558">
          <w:rPr>
            <w:noProof/>
            <w:webHidden/>
          </w:rPr>
          <w:tab/>
        </w:r>
        <w:r w:rsidR="00430558">
          <w:rPr>
            <w:noProof/>
            <w:webHidden/>
          </w:rPr>
          <w:fldChar w:fldCharType="begin"/>
        </w:r>
        <w:r w:rsidR="00430558">
          <w:rPr>
            <w:noProof/>
            <w:webHidden/>
          </w:rPr>
          <w:instrText xml:space="preserve"> PAGEREF _Toc1629147 \h </w:instrText>
        </w:r>
        <w:r w:rsidR="00430558">
          <w:rPr>
            <w:noProof/>
            <w:webHidden/>
          </w:rPr>
        </w:r>
        <w:r w:rsidR="00430558">
          <w:rPr>
            <w:noProof/>
            <w:webHidden/>
          </w:rPr>
          <w:fldChar w:fldCharType="separate"/>
        </w:r>
        <w:r w:rsidR="00430558">
          <w:rPr>
            <w:noProof/>
            <w:webHidden/>
          </w:rPr>
          <w:t>71</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48" w:history="1">
        <w:r w:rsidR="00430558" w:rsidRPr="001334E6">
          <w:rPr>
            <w:rStyle w:val="Hyperlink"/>
            <w:noProof/>
          </w:rPr>
          <w:t>15.</w:t>
        </w:r>
        <w:r w:rsidR="00430558">
          <w:rPr>
            <w:rFonts w:asciiTheme="minorHAnsi" w:eastAsiaTheme="minorEastAsia" w:hAnsiTheme="minorHAnsi" w:cstheme="minorBidi"/>
            <w:noProof/>
            <w:sz w:val="22"/>
            <w:szCs w:val="22"/>
          </w:rPr>
          <w:tab/>
        </w:r>
        <w:r w:rsidR="00430558" w:rsidRPr="001334E6">
          <w:rPr>
            <w:rStyle w:val="Hyperlink"/>
            <w:noProof/>
          </w:rPr>
          <w:t>Literatura a zdroje</w:t>
        </w:r>
        <w:r w:rsidR="00430558">
          <w:rPr>
            <w:noProof/>
            <w:webHidden/>
          </w:rPr>
          <w:tab/>
        </w:r>
        <w:r w:rsidR="00430558">
          <w:rPr>
            <w:noProof/>
            <w:webHidden/>
          </w:rPr>
          <w:fldChar w:fldCharType="begin"/>
        </w:r>
        <w:r w:rsidR="00430558">
          <w:rPr>
            <w:noProof/>
            <w:webHidden/>
          </w:rPr>
          <w:instrText xml:space="preserve"> PAGEREF _Toc1629148 \h </w:instrText>
        </w:r>
        <w:r w:rsidR="00430558">
          <w:rPr>
            <w:noProof/>
            <w:webHidden/>
          </w:rPr>
        </w:r>
        <w:r w:rsidR="00430558">
          <w:rPr>
            <w:noProof/>
            <w:webHidden/>
          </w:rPr>
          <w:fldChar w:fldCharType="separate"/>
        </w:r>
        <w:r w:rsidR="00430558">
          <w:rPr>
            <w:noProof/>
            <w:webHidden/>
          </w:rPr>
          <w:t>72</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49" w:history="1">
        <w:r w:rsidR="00430558" w:rsidRPr="001334E6">
          <w:rPr>
            <w:rStyle w:val="Hyperlink"/>
            <w:noProof/>
          </w:rPr>
          <w:t>16.</w:t>
        </w:r>
        <w:r w:rsidR="00430558">
          <w:rPr>
            <w:rFonts w:asciiTheme="minorHAnsi" w:eastAsiaTheme="minorEastAsia" w:hAnsiTheme="minorHAnsi" w:cstheme="minorBidi"/>
            <w:noProof/>
            <w:sz w:val="22"/>
            <w:szCs w:val="22"/>
          </w:rPr>
          <w:tab/>
        </w:r>
        <w:r w:rsidR="00430558" w:rsidRPr="001334E6">
          <w:rPr>
            <w:rStyle w:val="Hyperlink"/>
            <w:noProof/>
          </w:rPr>
          <w:t>Otázky ke zkouškám  makroekonomie</w:t>
        </w:r>
        <w:r w:rsidR="00430558">
          <w:rPr>
            <w:noProof/>
            <w:webHidden/>
          </w:rPr>
          <w:tab/>
        </w:r>
        <w:r w:rsidR="00430558">
          <w:rPr>
            <w:noProof/>
            <w:webHidden/>
          </w:rPr>
          <w:fldChar w:fldCharType="begin"/>
        </w:r>
        <w:r w:rsidR="00430558">
          <w:rPr>
            <w:noProof/>
            <w:webHidden/>
          </w:rPr>
          <w:instrText xml:space="preserve"> PAGEREF _Toc1629149 \h </w:instrText>
        </w:r>
        <w:r w:rsidR="00430558">
          <w:rPr>
            <w:noProof/>
            <w:webHidden/>
          </w:rPr>
        </w:r>
        <w:r w:rsidR="00430558">
          <w:rPr>
            <w:noProof/>
            <w:webHidden/>
          </w:rPr>
          <w:fldChar w:fldCharType="separate"/>
        </w:r>
        <w:r w:rsidR="00430558">
          <w:rPr>
            <w:noProof/>
            <w:webHidden/>
          </w:rPr>
          <w:t>73</w:t>
        </w:r>
        <w:r w:rsidR="00430558">
          <w:rPr>
            <w:noProof/>
            <w:webHidden/>
          </w:rPr>
          <w:fldChar w:fldCharType="end"/>
        </w:r>
      </w:hyperlink>
    </w:p>
    <w:p w:rsidR="00430558" w:rsidRDefault="006647E4">
      <w:pPr>
        <w:pStyle w:val="Verzeichnis1"/>
        <w:tabs>
          <w:tab w:val="left" w:pos="720"/>
          <w:tab w:val="right" w:leader="dot" w:pos="9062"/>
        </w:tabs>
        <w:rPr>
          <w:rFonts w:asciiTheme="minorHAnsi" w:eastAsiaTheme="minorEastAsia" w:hAnsiTheme="minorHAnsi" w:cstheme="minorBidi"/>
          <w:noProof/>
          <w:sz w:val="22"/>
          <w:szCs w:val="22"/>
        </w:rPr>
      </w:pPr>
      <w:hyperlink w:anchor="_Toc1629150" w:history="1">
        <w:r w:rsidR="00430558" w:rsidRPr="001334E6">
          <w:rPr>
            <w:rStyle w:val="Hyperlink"/>
            <w:noProof/>
          </w:rPr>
          <w:t>17.</w:t>
        </w:r>
        <w:r w:rsidR="00430558">
          <w:rPr>
            <w:rFonts w:asciiTheme="minorHAnsi" w:eastAsiaTheme="minorEastAsia" w:hAnsiTheme="minorHAnsi" w:cstheme="minorBidi"/>
            <w:noProof/>
            <w:sz w:val="22"/>
            <w:szCs w:val="22"/>
          </w:rPr>
          <w:tab/>
        </w:r>
        <w:r w:rsidR="00430558" w:rsidRPr="001334E6">
          <w:rPr>
            <w:rStyle w:val="Hyperlink"/>
            <w:noProof/>
          </w:rPr>
          <w:t>Požadavky ke státním závěrečným zkouškám</w:t>
        </w:r>
        <w:r w:rsidR="00430558">
          <w:rPr>
            <w:noProof/>
            <w:webHidden/>
          </w:rPr>
          <w:tab/>
        </w:r>
        <w:r w:rsidR="00430558">
          <w:rPr>
            <w:noProof/>
            <w:webHidden/>
          </w:rPr>
          <w:fldChar w:fldCharType="begin"/>
        </w:r>
        <w:r w:rsidR="00430558">
          <w:rPr>
            <w:noProof/>
            <w:webHidden/>
          </w:rPr>
          <w:instrText xml:space="preserve"> PAGEREF _Toc1629150 \h </w:instrText>
        </w:r>
        <w:r w:rsidR="00430558">
          <w:rPr>
            <w:noProof/>
            <w:webHidden/>
          </w:rPr>
        </w:r>
        <w:r w:rsidR="00430558">
          <w:rPr>
            <w:noProof/>
            <w:webHidden/>
          </w:rPr>
          <w:fldChar w:fldCharType="separate"/>
        </w:r>
        <w:r w:rsidR="00430558">
          <w:rPr>
            <w:noProof/>
            <w:webHidden/>
          </w:rPr>
          <w:t>74</w:t>
        </w:r>
        <w:r w:rsidR="00430558">
          <w:rPr>
            <w:noProof/>
            <w:webHidden/>
          </w:rPr>
          <w:fldChar w:fldCharType="end"/>
        </w:r>
      </w:hyperlink>
    </w:p>
    <w:p w:rsidR="00430558" w:rsidRPr="00340E4C" w:rsidRDefault="00430558" w:rsidP="00430558">
      <w:pPr>
        <w:rPr>
          <w:b/>
          <w:bCs/>
          <w:sz w:val="20"/>
          <w:szCs w:val="20"/>
          <w:u w:val="single"/>
        </w:rPr>
      </w:pPr>
      <w:r>
        <w:fldChar w:fldCharType="end"/>
      </w:r>
    </w:p>
    <w:p w:rsidR="00783598" w:rsidRPr="00340E4C" w:rsidRDefault="00783598">
      <w:pPr>
        <w:rPr>
          <w:b/>
          <w:bCs/>
          <w:sz w:val="20"/>
          <w:szCs w:val="20"/>
          <w:u w:val="single"/>
        </w:rPr>
        <w:sectPr w:rsidR="00783598" w:rsidRPr="00340E4C">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783598" w:rsidRPr="00340E4C" w:rsidRDefault="00783598"/>
    <w:p w:rsidR="00783598" w:rsidRPr="00340E4C" w:rsidRDefault="00783598" w:rsidP="00636A7A">
      <w:pPr>
        <w:pStyle w:val="berschrift1"/>
      </w:pPr>
      <w:bookmarkStart w:id="17" w:name="_Toc240444144"/>
      <w:bookmarkStart w:id="18" w:name="_Toc240775344"/>
      <w:bookmarkStart w:id="19" w:name="_Toc281979943"/>
      <w:bookmarkStart w:id="20" w:name="_Toc281979985"/>
      <w:bookmarkStart w:id="21" w:name="_Toc296073439"/>
      <w:bookmarkStart w:id="22" w:name="_Toc297533147"/>
      <w:bookmarkStart w:id="23" w:name="_Toc303675507"/>
      <w:bookmarkStart w:id="24" w:name="_Toc303963008"/>
      <w:bookmarkStart w:id="25" w:name="_Toc306176397"/>
      <w:bookmarkStart w:id="26" w:name="_Toc315341166"/>
      <w:bookmarkStart w:id="27" w:name="_Toc316459961"/>
      <w:bookmarkStart w:id="28" w:name="_Toc316460436"/>
      <w:bookmarkStart w:id="29" w:name="_Toc318291413"/>
      <w:bookmarkStart w:id="30" w:name="_Toc328466819"/>
      <w:bookmarkStart w:id="31" w:name="_Toc335724876"/>
      <w:bookmarkStart w:id="32" w:name="_Toc411926281"/>
      <w:bookmarkStart w:id="33" w:name="_Toc1629134"/>
      <w:r w:rsidRPr="00340E4C">
        <w:t>Úvod do makroekonomie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783598" w:rsidRPr="00340E4C" w:rsidRDefault="00783598" w:rsidP="00636A7A">
      <w:pPr>
        <w:pStyle w:val="berschrift2"/>
      </w:pPr>
      <w:r w:rsidRPr="00340E4C">
        <w:t>Definice makroekonomie</w:t>
      </w:r>
    </w:p>
    <w:p w:rsidR="00783598" w:rsidRPr="00340E4C" w:rsidRDefault="00783598">
      <w:pPr>
        <w:jc w:val="both"/>
      </w:pPr>
      <w:r w:rsidRPr="00340E4C">
        <w:t xml:space="preserve">Makroekonomie je teorie ekonomického systému jako celku. Zkoumá souhrnné jevy na úrovni národa, státu nebo jiného samostatného území. </w:t>
      </w:r>
    </w:p>
    <w:p w:rsidR="00783598" w:rsidRPr="00340E4C" w:rsidRDefault="00783598">
      <w:pPr>
        <w:pStyle w:val="Textkrper"/>
      </w:pPr>
    </w:p>
    <w:p w:rsidR="00FE185B" w:rsidRPr="00340E4C" w:rsidRDefault="00783598">
      <w:pPr>
        <w:pStyle w:val="Textkrper"/>
      </w:pPr>
      <w:r w:rsidRPr="00340E4C">
        <w:t>Mikroekonomické rozhodování subjektů je ovlivněno makroekonomickým rámcem (středověké osídlovací vlny, přesun do měst, bariéry zahraničního obchodu, investiční pobídky, globalizace …)</w:t>
      </w:r>
      <w:r w:rsidR="00FE185B" w:rsidRPr="00340E4C">
        <w:t xml:space="preserve">. </w:t>
      </w:r>
    </w:p>
    <w:p w:rsidR="00783598" w:rsidRPr="00340E4C" w:rsidRDefault="00FE185B" w:rsidP="00FE185B">
      <w:pPr>
        <w:pStyle w:val="Textkrper"/>
      </w:pPr>
      <w:r w:rsidRPr="00340E4C">
        <w:t>Při fungování makroekonomického systému předpokládáme určité mikroekonomické chování subjektů: přirozený sklon ke spotřebě, k podnikání</w:t>
      </w:r>
      <w:r w:rsidRPr="00340E4C">
        <w:rPr>
          <w:rStyle w:val="Funotenzeichen"/>
        </w:rPr>
        <w:footnoteReference w:id="1"/>
      </w:r>
      <w:r w:rsidRPr="00340E4C">
        <w:t xml:space="preserve">, k hledání jistoty, k omezení námahy apod. </w:t>
      </w:r>
    </w:p>
    <w:p w:rsidR="00783598" w:rsidRPr="00340E4C" w:rsidRDefault="00783598">
      <w:pPr>
        <w:pStyle w:val="Textkrper"/>
      </w:pPr>
    </w:p>
    <w:p w:rsidR="00917420" w:rsidRPr="00340E4C" w:rsidRDefault="00917420">
      <w:pPr>
        <w:pStyle w:val="Textkrper"/>
        <w:rPr>
          <w:b/>
        </w:rPr>
      </w:pPr>
      <w:r w:rsidRPr="00340E4C">
        <w:rPr>
          <w:b/>
        </w:rPr>
        <w:t>Hlavní makroekonomické problémy jsou:</w:t>
      </w:r>
    </w:p>
    <w:p w:rsidR="00917420" w:rsidRPr="00340E4C" w:rsidRDefault="00917420" w:rsidP="001741A7">
      <w:pPr>
        <w:pStyle w:val="Textkrper"/>
        <w:numPr>
          <w:ilvl w:val="0"/>
          <w:numId w:val="1"/>
        </w:numPr>
      </w:pPr>
      <w:r w:rsidRPr="00340E4C">
        <w:t>Optimální využití výrobních faktorů a současně přijatelná zaměstnanost,</w:t>
      </w:r>
    </w:p>
    <w:p w:rsidR="00917420" w:rsidRPr="00340E4C" w:rsidRDefault="00917420" w:rsidP="001741A7">
      <w:pPr>
        <w:pStyle w:val="Textkrper"/>
        <w:numPr>
          <w:ilvl w:val="0"/>
          <w:numId w:val="1"/>
        </w:numPr>
      </w:pPr>
      <w:r w:rsidRPr="00340E4C">
        <w:t>Rovnováha na agregátním trhu zboží a služeb</w:t>
      </w:r>
    </w:p>
    <w:p w:rsidR="00917420" w:rsidRPr="00340E4C" w:rsidRDefault="00917420" w:rsidP="001741A7">
      <w:pPr>
        <w:pStyle w:val="Textkrper"/>
        <w:numPr>
          <w:ilvl w:val="0"/>
          <w:numId w:val="1"/>
        </w:numPr>
      </w:pPr>
      <w:r w:rsidRPr="00340E4C">
        <w:t>Peněžní stabilita</w:t>
      </w:r>
    </w:p>
    <w:p w:rsidR="00DF63D4" w:rsidRPr="00340E4C" w:rsidRDefault="00917420" w:rsidP="001741A7">
      <w:pPr>
        <w:pStyle w:val="Textkrper"/>
        <w:numPr>
          <w:ilvl w:val="0"/>
          <w:numId w:val="1"/>
        </w:numPr>
      </w:pPr>
      <w:r w:rsidRPr="00340E4C">
        <w:t>Stabilita a optimální v</w:t>
      </w:r>
      <w:r w:rsidR="00DF63D4" w:rsidRPr="00340E4C">
        <w:t>ý</w:t>
      </w:r>
      <w:r w:rsidRPr="00340E4C">
        <w:t xml:space="preserve">še veřejných rozpočtů </w:t>
      </w:r>
      <w:r w:rsidR="00DF63D4" w:rsidRPr="00340E4C">
        <w:t>na straně výdajů (efektivnost veřejných služeb, sociální transfery, veřejné investice) i na straně příjmů (struktura a relativní výše daní)</w:t>
      </w:r>
    </w:p>
    <w:p w:rsidR="00917420" w:rsidRPr="00340E4C" w:rsidRDefault="00DF63D4" w:rsidP="001741A7">
      <w:pPr>
        <w:pStyle w:val="Textkrper"/>
        <w:numPr>
          <w:ilvl w:val="0"/>
          <w:numId w:val="1"/>
        </w:numPr>
      </w:pPr>
      <w:r w:rsidRPr="00340E4C">
        <w:t>Rovnováha ve vztahu k zahraničí</w:t>
      </w:r>
      <w:r w:rsidR="00917420" w:rsidRPr="00340E4C">
        <w:t xml:space="preserve"> </w:t>
      </w:r>
      <w:r w:rsidRPr="00340E4C">
        <w:t>ve zboží měnová</w:t>
      </w:r>
    </w:p>
    <w:p w:rsidR="00917420" w:rsidRPr="00340E4C" w:rsidRDefault="00917420">
      <w:pPr>
        <w:pStyle w:val="Textkrper"/>
      </w:pPr>
    </w:p>
    <w:p w:rsidR="00783598" w:rsidRPr="00340E4C" w:rsidRDefault="00783598">
      <w:pPr>
        <w:pStyle w:val="Textkrper"/>
      </w:pPr>
      <w:r w:rsidRPr="00340E4C">
        <w:t>Praktická funkce makroekonomie:</w:t>
      </w:r>
    </w:p>
    <w:p w:rsidR="00783598" w:rsidRPr="00340E4C" w:rsidRDefault="00783598" w:rsidP="001741A7">
      <w:pPr>
        <w:pStyle w:val="Textkrper"/>
        <w:numPr>
          <w:ilvl w:val="0"/>
          <w:numId w:val="1"/>
        </w:numPr>
      </w:pPr>
      <w:r w:rsidRPr="00340E4C">
        <w:t>analyzuje dopad makroekonomických kroků minulých,</w:t>
      </w:r>
    </w:p>
    <w:p w:rsidR="00783598" w:rsidRPr="00340E4C" w:rsidRDefault="00783598" w:rsidP="001741A7">
      <w:pPr>
        <w:pStyle w:val="Textkrper"/>
        <w:numPr>
          <w:ilvl w:val="0"/>
          <w:numId w:val="1"/>
        </w:numPr>
      </w:pPr>
      <w:r w:rsidRPr="00340E4C">
        <w:t>navrhuje makroekonomické kroky budoucí.</w:t>
      </w:r>
    </w:p>
    <w:p w:rsidR="00783598" w:rsidRPr="00340E4C" w:rsidRDefault="00783598">
      <w:pPr>
        <w:pStyle w:val="Textkrper"/>
      </w:pPr>
    </w:p>
    <w:p w:rsidR="00783598" w:rsidRPr="00340E4C" w:rsidRDefault="00783598">
      <w:pPr>
        <w:pStyle w:val="Textkrper"/>
      </w:pPr>
      <w:r w:rsidRPr="00340E4C">
        <w:t xml:space="preserve">Podobně jako v mikroekonomii i v makroekonomii neexistují jednou provždy dané pravdy. Věda prochází neustálým vývojem. </w:t>
      </w:r>
    </w:p>
    <w:p w:rsidR="00783598" w:rsidRPr="00340E4C" w:rsidRDefault="00783598">
      <w:pPr>
        <w:pStyle w:val="Textkrper"/>
      </w:pPr>
      <w:r w:rsidRPr="00340E4C">
        <w:t>Zjednodušíme-li maximálně základní myšlenkové proudy, dostaneme dva:</w:t>
      </w:r>
    </w:p>
    <w:p w:rsidR="00783598" w:rsidRPr="00340E4C" w:rsidRDefault="00783598">
      <w:pPr>
        <w:pStyle w:val="Textkrper"/>
      </w:pPr>
      <w:r w:rsidRPr="00340E4C">
        <w:t>- liberální – tvrdí, že v principu se tržní ekonomika se dokáže regulovat sama a je nutné jen tu a tam opravit obecná pravidla, aby mohla fungovat dál</w:t>
      </w:r>
    </w:p>
    <w:p w:rsidR="00783598" w:rsidRPr="00340E4C" w:rsidRDefault="00783598">
      <w:pPr>
        <w:pStyle w:val="Textkrper"/>
      </w:pPr>
      <w:r w:rsidRPr="00340E4C">
        <w:t xml:space="preserve">- intervencionistický – tvrdí, že trh sám sebe nenávratně poškozuje a v situaci nedokonalé konkurence nebo schopen se napravit. Bez regulace veřejnými zásahy nemůže dnes již fungovat.   </w:t>
      </w:r>
    </w:p>
    <w:p w:rsidR="00853B00" w:rsidRPr="00340E4C" w:rsidRDefault="00853B00">
      <w:pPr>
        <w:pStyle w:val="Textkrper"/>
        <w:rPr>
          <w:color w:val="FF0000"/>
        </w:rPr>
      </w:pPr>
    </w:p>
    <w:p w:rsidR="00783598" w:rsidRPr="00340E4C" w:rsidRDefault="00783598">
      <w:pPr>
        <w:pStyle w:val="Textkrper"/>
        <w:rPr>
          <w:b/>
          <w:i/>
        </w:rPr>
      </w:pPr>
      <w:r w:rsidRPr="00340E4C">
        <w:rPr>
          <w:b/>
          <w:i/>
        </w:rPr>
        <w:t>Blíže viz literatura o dějinách ekonomického myšlení</w:t>
      </w:r>
    </w:p>
    <w:p w:rsidR="00783598" w:rsidRPr="00340E4C" w:rsidRDefault="00783598" w:rsidP="00636A7A">
      <w:pPr>
        <w:pStyle w:val="berschrift2"/>
      </w:pPr>
      <w:r w:rsidRPr="00340E4C">
        <w:t xml:space="preserve">Makroekonomický koloběh </w:t>
      </w:r>
    </w:p>
    <w:p w:rsidR="00783598" w:rsidRPr="00340E4C" w:rsidRDefault="00783598">
      <w:r w:rsidRPr="00340E4C">
        <w:t>Pro účely makroekonomické analýzy rozlišujeme subjekty podle jejich úlohy v „národním hospodářství“, jejich vztahu k výrobním faktorům a jejich výstupu na:</w:t>
      </w:r>
    </w:p>
    <w:p w:rsidR="00783598" w:rsidRPr="00340E4C" w:rsidRDefault="00783598">
      <w:r w:rsidRPr="00340E4C">
        <w:t>Tuzemci:</w:t>
      </w:r>
    </w:p>
    <w:p w:rsidR="00783598" w:rsidRPr="00340E4C" w:rsidRDefault="00783598" w:rsidP="001741A7">
      <w:pPr>
        <w:numPr>
          <w:ilvl w:val="0"/>
          <w:numId w:val="1"/>
        </w:numPr>
      </w:pPr>
      <w:r w:rsidRPr="00340E4C">
        <w:t>domácnosti</w:t>
      </w:r>
    </w:p>
    <w:p w:rsidR="00783598" w:rsidRPr="00340E4C" w:rsidRDefault="00783598" w:rsidP="001741A7">
      <w:pPr>
        <w:numPr>
          <w:ilvl w:val="0"/>
          <w:numId w:val="1"/>
        </w:numPr>
      </w:pPr>
      <w:r w:rsidRPr="00340E4C">
        <w:t>firmy</w:t>
      </w:r>
    </w:p>
    <w:p w:rsidR="00783598" w:rsidRPr="00340E4C" w:rsidRDefault="00783598" w:rsidP="001741A7">
      <w:pPr>
        <w:numPr>
          <w:ilvl w:val="0"/>
          <w:numId w:val="1"/>
        </w:numPr>
      </w:pPr>
      <w:r w:rsidRPr="00340E4C">
        <w:t>vládu a jiné subjekty veřejné správy</w:t>
      </w:r>
    </w:p>
    <w:p w:rsidR="00783598" w:rsidRPr="00340E4C" w:rsidRDefault="00783598">
      <w:r w:rsidRPr="00340E4C">
        <w:t>Cizozemci:</w:t>
      </w:r>
    </w:p>
    <w:p w:rsidR="00783598" w:rsidRPr="00340E4C" w:rsidRDefault="00783598" w:rsidP="001741A7">
      <w:pPr>
        <w:numPr>
          <w:ilvl w:val="0"/>
          <w:numId w:val="1"/>
        </w:numPr>
      </w:pPr>
      <w:r w:rsidRPr="00340E4C">
        <w:t>zahraničí</w:t>
      </w:r>
    </w:p>
    <w:p w:rsidR="00783598" w:rsidRPr="00340E4C" w:rsidRDefault="00783598"/>
    <w:p w:rsidR="00783598" w:rsidRPr="00340E4C" w:rsidRDefault="00783598">
      <w:pPr>
        <w:jc w:val="both"/>
      </w:pPr>
      <w:r w:rsidRPr="00340E4C">
        <w:t>Domácnosti – vlastníci zdrojů poskytují tyto zdroje firmám za mzdu, rentu, nájemné apod.</w:t>
      </w:r>
    </w:p>
    <w:p w:rsidR="00783598" w:rsidRPr="00340E4C" w:rsidRDefault="00783598">
      <w:pPr>
        <w:jc w:val="both"/>
      </w:pPr>
      <w:r w:rsidRPr="00340E4C">
        <w:t>Firmy – mají schopnost vyrábět statky a prodávají je se ziskem</w:t>
      </w:r>
    </w:p>
    <w:p w:rsidR="00783598" w:rsidRPr="00340E4C" w:rsidRDefault="00783598">
      <w:pPr>
        <w:pStyle w:val="Textkrper"/>
      </w:pPr>
      <w:r w:rsidRPr="00340E4C">
        <w:t xml:space="preserve">Vláda – ze zákonné moci odebírá část důchodů ostatním subjektům, aby mohla poskytovat veřejné statky  </w:t>
      </w:r>
    </w:p>
    <w:p w:rsidR="00783598" w:rsidRPr="00340E4C" w:rsidRDefault="00783598">
      <w:r w:rsidRPr="00340E4C">
        <w:t>Zahraničí – zahrnuje domácnosti, firmy i vlády vně suverénního státu</w:t>
      </w:r>
    </w:p>
    <w:p w:rsidR="00783598" w:rsidRPr="00340E4C" w:rsidRDefault="00783598">
      <w:pPr>
        <w:pStyle w:val="Verzeichnis1"/>
      </w:pPr>
      <w:r w:rsidRPr="00340E4C">
        <w:t>Vztahy mezi jednotlivými subjekty (Paulík 18) v dvousektorovém vyjádření:</w:t>
      </w:r>
    </w:p>
    <w:p w:rsidR="00783598" w:rsidRPr="00340E4C" w:rsidRDefault="00783598"/>
    <w:p w:rsidR="00783598" w:rsidRPr="00340E4C" w:rsidRDefault="0033114D">
      <w:r w:rsidRPr="00340E4C">
        <w:rPr>
          <w:noProof/>
          <w:sz w:val="20"/>
          <w:lang w:val="de-DE" w:eastAsia="de-DE"/>
        </w:rPr>
        <w:drawing>
          <wp:anchor distT="0" distB="0" distL="114300" distR="114300" simplePos="0" relativeHeight="251656192" behindDoc="0" locked="0" layoutInCell="1" allowOverlap="1" wp14:anchorId="640ADB4B" wp14:editId="0F8BA856">
            <wp:simplePos x="0" y="0"/>
            <wp:positionH relativeFrom="column">
              <wp:align>center</wp:align>
            </wp:positionH>
            <wp:positionV relativeFrom="paragraph">
              <wp:posOffset>-4445</wp:posOffset>
            </wp:positionV>
            <wp:extent cx="4810125" cy="2800350"/>
            <wp:effectExtent l="0" t="0" r="9525" b="0"/>
            <wp:wrapSquare wrapText="bothSides"/>
            <wp:docPr id="2" name="obrázek 96" descr="Makroekonomický koloběh - dvousektorová ekonom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akroekonomický koloběh - dvousektorová ekonomik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598" w:rsidRPr="00340E4C" w:rsidRDefault="00783598"/>
    <w:p w:rsidR="00783598" w:rsidRPr="00340E4C" w:rsidRDefault="00783598"/>
    <w:p w:rsidR="00783598" w:rsidRPr="00340E4C" w:rsidRDefault="00783598">
      <w:pPr>
        <w:jc w:val="both"/>
      </w:pPr>
      <w:r w:rsidRPr="00340E4C">
        <w:rPr>
          <w:b/>
          <w:bCs/>
        </w:rPr>
        <w:t>Endogenní proměnné</w:t>
      </w:r>
      <w:r w:rsidRPr="00340E4C">
        <w:t>: vzájemně se ovlivňují, například cena benzínu a prodané množství</w:t>
      </w:r>
    </w:p>
    <w:p w:rsidR="00783598" w:rsidRPr="00340E4C" w:rsidRDefault="00783598">
      <w:pPr>
        <w:jc w:val="both"/>
      </w:pPr>
      <w:r w:rsidRPr="00340E4C">
        <w:rPr>
          <w:b/>
          <w:bCs/>
        </w:rPr>
        <w:t>Exogenní proměnné</w:t>
      </w:r>
      <w:r w:rsidRPr="00340E4C">
        <w:t xml:space="preserve">: mají vliv na endogenní proměnné, ale endogenní proměnné nemají vliv na exogenní, například objem peněz v oběhu je exogenní proměnná ve vztahu k ekonomice (k cenové hladině, úrokové míře i směnnému kurzu) </w:t>
      </w:r>
    </w:p>
    <w:p w:rsidR="00783598" w:rsidRPr="00340E4C" w:rsidRDefault="00783598" w:rsidP="00636A7A">
      <w:pPr>
        <w:pStyle w:val="berschrift2"/>
      </w:pPr>
      <w:r w:rsidRPr="00340E4C">
        <w:t>Hlavní makroekonomické problémy</w:t>
      </w:r>
    </w:p>
    <w:p w:rsidR="00783598" w:rsidRPr="00340E4C" w:rsidRDefault="00783598">
      <w:r w:rsidRPr="00340E4C">
        <w:t>Makroekonomie se zabývá těmito hlavními problémy:</w:t>
      </w:r>
    </w:p>
    <w:p w:rsidR="00783598" w:rsidRPr="00340E4C" w:rsidRDefault="00783598" w:rsidP="001741A7">
      <w:pPr>
        <w:numPr>
          <w:ilvl w:val="0"/>
          <w:numId w:val="1"/>
        </w:numPr>
        <w:jc w:val="both"/>
      </w:pPr>
      <w:r w:rsidRPr="00340E4C">
        <w:t>jak dosáhnout maximálního využití výrobních faktorů dané země nebo národa,</w:t>
      </w:r>
    </w:p>
    <w:p w:rsidR="00783598" w:rsidRPr="00340E4C" w:rsidRDefault="00783598" w:rsidP="001741A7">
      <w:pPr>
        <w:numPr>
          <w:ilvl w:val="0"/>
          <w:numId w:val="1"/>
        </w:numPr>
        <w:jc w:val="both"/>
      </w:pPr>
      <w:r w:rsidRPr="00340E4C">
        <w:t>udržet sociální smír a současně dosahovat přiměřené ekonomické efektivnosti,</w:t>
      </w:r>
    </w:p>
    <w:p w:rsidR="00783598" w:rsidRPr="00340E4C" w:rsidRDefault="00783598" w:rsidP="001741A7">
      <w:pPr>
        <w:numPr>
          <w:ilvl w:val="0"/>
          <w:numId w:val="1"/>
        </w:numPr>
        <w:jc w:val="both"/>
      </w:pPr>
      <w:r w:rsidRPr="00340E4C">
        <w:t>udržet stabilitu základních makroekonomických proměnných: ekonomický růst, fiskální rovnováhu, měnovou stabilitu (inflaci) a optimální nezaměstnanost.</w:t>
      </w:r>
    </w:p>
    <w:p w:rsidR="00783598" w:rsidRPr="00340E4C" w:rsidRDefault="00783598" w:rsidP="00636A7A">
      <w:pPr>
        <w:pStyle w:val="berschrift2"/>
      </w:pPr>
      <w:r w:rsidRPr="00340E4C">
        <w:t>Makroekonomické veličiny</w:t>
      </w:r>
      <w:r w:rsidR="00DF63D4" w:rsidRPr="00340E4C">
        <w:t>, základní ekonomické charakteristiky země</w:t>
      </w:r>
    </w:p>
    <w:p w:rsidR="00783598" w:rsidRPr="00340E4C" w:rsidRDefault="00783598">
      <w:pPr>
        <w:pStyle w:val="Fuzeile"/>
        <w:tabs>
          <w:tab w:val="clear" w:pos="4536"/>
          <w:tab w:val="clear" w:pos="9072"/>
        </w:tabs>
        <w:spacing w:before="100" w:beforeAutospacing="1" w:after="100" w:afterAutospacing="1"/>
        <w:jc w:val="both"/>
      </w:pPr>
      <w:r w:rsidRPr="00340E4C">
        <w:rPr>
          <w:b/>
          <w:bCs/>
        </w:rPr>
        <w:t>Veličiny stavu:</w:t>
      </w:r>
      <w:r w:rsidRPr="00340E4C">
        <w:t xml:space="preserve"> bohatství (Společenské bohatství - souhrn materiálních statků (užitných hodnot), které má v daném období ve vlastnictví určitý národní celek jako souhrn vlastnictví jednotlivých tříd, skupin, vrstev a osob. Složkami národního bohatství společnosti je souhrn  výrobních a nevýrobních fondů, souhrn oběžných fondů, osobní vlastnictví obyvatel a přírodní bohatství, na jehož objevení a vytvoření podmínek jeho využití byla vynaložena společná práce. </w:t>
      </w:r>
    </w:p>
    <w:p w:rsidR="00783598" w:rsidRPr="00340E4C" w:rsidRDefault="00783598">
      <w:pPr>
        <w:pStyle w:val="Fuzeile"/>
        <w:tabs>
          <w:tab w:val="clear" w:pos="4536"/>
          <w:tab w:val="clear" w:pos="9072"/>
        </w:tabs>
        <w:spacing w:before="100" w:beforeAutospacing="1" w:after="100" w:afterAutospacing="1"/>
        <w:jc w:val="both"/>
      </w:pPr>
      <w:r w:rsidRPr="00340E4C">
        <w:t xml:space="preserve">Součástí bohatství je i lidský kapitál – příklad: osídlování Ameriky </w:t>
      </w:r>
    </w:p>
    <w:p w:rsidR="00783598" w:rsidRPr="00340E4C" w:rsidRDefault="00783598">
      <w:pPr>
        <w:pStyle w:val="Fuzeile"/>
        <w:tabs>
          <w:tab w:val="clear" w:pos="4536"/>
          <w:tab w:val="clear" w:pos="9072"/>
        </w:tabs>
        <w:spacing w:before="100" w:beforeAutospacing="1" w:after="100" w:afterAutospacing="1"/>
        <w:jc w:val="both"/>
        <w:rPr>
          <w:szCs w:val="19"/>
        </w:rPr>
      </w:pPr>
      <w:r w:rsidRPr="00340E4C">
        <w:t>Čisté</w:t>
      </w:r>
      <w:r w:rsidRPr="00340E4C">
        <w:rPr>
          <w:szCs w:val="19"/>
        </w:rPr>
        <w:t xml:space="preserve"> jmění: Hodnota hmotných statků, očištěná o saldo závazků a pohledávek se zahraničím.</w:t>
      </w:r>
    </w:p>
    <w:p w:rsidR="00783598" w:rsidRPr="00340E4C" w:rsidRDefault="00783598">
      <w:r w:rsidRPr="00340E4C">
        <w:rPr>
          <w:b/>
          <w:bCs/>
        </w:rPr>
        <w:t>Veličiny toku, přírůstku</w:t>
      </w:r>
      <w:r w:rsidRPr="00340E4C">
        <w:t>: produkt, důchod</w:t>
      </w:r>
    </w:p>
    <w:p w:rsidR="00783598" w:rsidRPr="00340E4C" w:rsidRDefault="00783598"/>
    <w:p w:rsidR="00783598" w:rsidRPr="00340E4C" w:rsidRDefault="00783598">
      <w:pPr>
        <w:jc w:val="both"/>
      </w:pPr>
      <w:r w:rsidRPr="00340E4C">
        <w:rPr>
          <w:b/>
          <w:bCs/>
        </w:rPr>
        <w:t>HDP</w:t>
      </w:r>
      <w:r w:rsidRPr="00340E4C">
        <w:t xml:space="preserve"> – hrubý domácí produkt (GDP): objem nově vytvořených finálních statků za určité období na daném území (státu) bez ohledu na to, kdo je vlastníkem výrobních faktorů</w:t>
      </w:r>
    </w:p>
    <w:p w:rsidR="00783598" w:rsidRPr="00340E4C" w:rsidRDefault="00783598">
      <w:pPr>
        <w:jc w:val="both"/>
      </w:pPr>
      <w:r w:rsidRPr="00340E4C">
        <w:rPr>
          <w:b/>
          <w:bCs/>
        </w:rPr>
        <w:t>HNP</w:t>
      </w:r>
      <w:r w:rsidRPr="00340E4C">
        <w:t xml:space="preserve"> – hrubý národní produkt (GNP): objem nově vytvořených finálních statků za určité období, jejichž vlastníky jsou příslušníci daného státu bez ohledu na to, kde byly vyrobeny </w:t>
      </w:r>
    </w:p>
    <w:p w:rsidR="00783598" w:rsidRPr="00340E4C" w:rsidRDefault="00783598">
      <w:pPr>
        <w:jc w:val="both"/>
      </w:pPr>
    </w:p>
    <w:p w:rsidR="00783598" w:rsidRPr="00340E4C" w:rsidRDefault="00783598">
      <w:pPr>
        <w:jc w:val="both"/>
      </w:pPr>
      <w:r w:rsidRPr="00340E4C">
        <w:rPr>
          <w:position w:val="-6"/>
        </w:rPr>
        <w:object w:dxaOrig="1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4.25pt" o:ole="">
            <v:imagedata r:id="rId16" o:title=""/>
          </v:shape>
          <o:OLEObject Type="Embed" ProgID="Equation.3" ShapeID="_x0000_i1025" DrawAspect="Content" ObjectID="_1674728771" r:id="rId17"/>
        </w:object>
      </w:r>
    </w:p>
    <w:p w:rsidR="00783598" w:rsidRPr="00340E4C" w:rsidRDefault="00783598">
      <w:pPr>
        <w:jc w:val="both"/>
      </w:pPr>
      <w:r w:rsidRPr="00340E4C">
        <w:t>kde NPI = čistý příjem majetku ze zahraničí</w:t>
      </w:r>
    </w:p>
    <w:p w:rsidR="00783598" w:rsidRPr="00340E4C" w:rsidRDefault="00783598">
      <w:pPr>
        <w:jc w:val="both"/>
      </w:pPr>
    </w:p>
    <w:p w:rsidR="00783598" w:rsidRPr="00340E4C" w:rsidRDefault="00783598">
      <w:pPr>
        <w:jc w:val="both"/>
      </w:pPr>
      <w:r w:rsidRPr="00340E4C">
        <w:rPr>
          <w:b/>
          <w:bCs/>
        </w:rPr>
        <w:t>ČDP</w:t>
      </w:r>
      <w:r w:rsidRPr="00340E4C">
        <w:t xml:space="preserve"> (NDP) = GDP – opotřebení kapitálu.</w:t>
      </w:r>
    </w:p>
    <w:p w:rsidR="00783598" w:rsidRPr="00340E4C" w:rsidRDefault="00783598">
      <w:pPr>
        <w:jc w:val="both"/>
      </w:pPr>
      <w:r w:rsidRPr="00340E4C">
        <w:t xml:space="preserve">Změřit opotřebení kapitálu je obtížné, protože se nejčastěji pracuje s GDP. </w:t>
      </w:r>
    </w:p>
    <w:p w:rsidR="00783598" w:rsidRPr="00340E4C" w:rsidRDefault="00783598">
      <w:pPr>
        <w:jc w:val="both"/>
      </w:pPr>
    </w:p>
    <w:p w:rsidR="00783598" w:rsidRPr="00340E4C" w:rsidRDefault="00783598">
      <w:pPr>
        <w:jc w:val="both"/>
      </w:pPr>
      <w:r w:rsidRPr="00340E4C">
        <w:t>Mezi skutečným a statisticky naměřeným produktem existuje rozdíl:</w:t>
      </w:r>
    </w:p>
    <w:p w:rsidR="00783598" w:rsidRPr="00340E4C" w:rsidRDefault="00783598" w:rsidP="001741A7">
      <w:pPr>
        <w:numPr>
          <w:ilvl w:val="0"/>
          <w:numId w:val="1"/>
        </w:numPr>
        <w:jc w:val="both"/>
      </w:pPr>
      <w:r w:rsidRPr="00340E4C">
        <w:t>skutečný produkt zahrnuje navíc netržní činnosti (práce doma a naturální protislužby, volný čas, obtížně vyčíslitelné vlivy na životní prostředí)</w:t>
      </w:r>
    </w:p>
    <w:p w:rsidR="00783598" w:rsidRPr="00340E4C" w:rsidRDefault="00783598" w:rsidP="001741A7">
      <w:pPr>
        <w:numPr>
          <w:ilvl w:val="0"/>
          <w:numId w:val="1"/>
        </w:numPr>
        <w:jc w:val="both"/>
      </w:pPr>
      <w:r w:rsidRPr="00340E4C">
        <w:t>skutečný produkt zahrnuje navíc tržní činnosti statisticky neevidované (práce načerno, nevykázané zisky, prostituce apod.)</w:t>
      </w:r>
    </w:p>
    <w:p w:rsidR="00783598" w:rsidRPr="00340E4C" w:rsidRDefault="00783598" w:rsidP="001741A7">
      <w:pPr>
        <w:numPr>
          <w:ilvl w:val="0"/>
          <w:numId w:val="1"/>
        </w:numPr>
        <w:jc w:val="both"/>
      </w:pPr>
      <w:r w:rsidRPr="00340E4C">
        <w:t>odhaduje se, že skutečný produkt je o 3-33% vyšší než statisticky vykázaný.</w:t>
      </w:r>
    </w:p>
    <w:p w:rsidR="00783598" w:rsidRPr="00340E4C" w:rsidRDefault="00783598">
      <w:pPr>
        <w:jc w:val="both"/>
      </w:pPr>
    </w:p>
    <w:p w:rsidR="00783598" w:rsidRPr="00340E4C" w:rsidRDefault="00783598">
      <w:pPr>
        <w:pStyle w:val="Textkrper2"/>
      </w:pPr>
      <w:r w:rsidRPr="00340E4C">
        <w:t>Zjišťování HDP (HNP):</w:t>
      </w:r>
    </w:p>
    <w:p w:rsidR="00783598" w:rsidRPr="00340E4C" w:rsidRDefault="00783598">
      <w:pPr>
        <w:pStyle w:val="Textkrper2"/>
      </w:pPr>
    </w:p>
    <w:p w:rsidR="00783598" w:rsidRPr="00340E4C" w:rsidRDefault="00783598" w:rsidP="001741A7">
      <w:pPr>
        <w:numPr>
          <w:ilvl w:val="1"/>
          <w:numId w:val="10"/>
        </w:numPr>
        <w:jc w:val="both"/>
      </w:pPr>
      <w:r w:rsidRPr="00340E4C">
        <w:t xml:space="preserve">výrobková (odvětvová) metoda: sečteme hodnotu všech výrobků a služeb vyrobených v daném roce. Je nezbytné zabránit, aby se každý výrobek započítal </w:t>
      </w:r>
      <w:r w:rsidR="005F6191">
        <w:t>vícekrát. T</w:t>
      </w:r>
      <w:r w:rsidRPr="00340E4C">
        <w:t>o zajistím</w:t>
      </w:r>
      <w:r w:rsidR="005F6191">
        <w:t>e</w:t>
      </w:r>
      <w:r w:rsidRPr="00340E4C">
        <w:t xml:space="preserve"> tím, že započítáme pouze jeho přidanou hodnotu:</w:t>
      </w:r>
    </w:p>
    <w:p w:rsidR="00783598" w:rsidRPr="00340E4C" w:rsidRDefault="00783598">
      <w:pPr>
        <w:jc w:val="both"/>
      </w:pPr>
      <w:r w:rsidRPr="00340E4C">
        <w:rPr>
          <w:position w:val="-14"/>
        </w:rPr>
        <w:object w:dxaOrig="1380" w:dyaOrig="400">
          <v:shape id="_x0000_i1026" type="#_x0000_t75" style="width:69pt;height:19.5pt" o:ole="">
            <v:imagedata r:id="rId18" o:title=""/>
          </v:shape>
          <o:OLEObject Type="Embed" ProgID="Equation.3" ShapeID="_x0000_i1026" DrawAspect="Content" ObjectID="_1674728772" r:id="rId19"/>
        </w:object>
      </w:r>
    </w:p>
    <w:p w:rsidR="00783598" w:rsidRPr="00340E4C" w:rsidRDefault="00783598">
      <w:pPr>
        <w:jc w:val="both"/>
      </w:pPr>
      <w:r w:rsidRPr="00340E4C">
        <w:t>VA = přidaná hodnota (Value added)</w:t>
      </w:r>
    </w:p>
    <w:p w:rsidR="00783598" w:rsidRPr="00340E4C" w:rsidRDefault="007835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83598" w:rsidRPr="00340E4C">
        <w:tc>
          <w:tcPr>
            <w:tcW w:w="2303" w:type="dxa"/>
          </w:tcPr>
          <w:p w:rsidR="00783598" w:rsidRPr="00340E4C" w:rsidRDefault="00783598">
            <w:pPr>
              <w:jc w:val="both"/>
            </w:pPr>
          </w:p>
        </w:tc>
        <w:tc>
          <w:tcPr>
            <w:tcW w:w="2303" w:type="dxa"/>
          </w:tcPr>
          <w:p w:rsidR="00783598" w:rsidRPr="00340E4C" w:rsidRDefault="00783598">
            <w:pPr>
              <w:jc w:val="both"/>
            </w:pPr>
            <w:r w:rsidRPr="00340E4C">
              <w:t>Meziprodukty</w:t>
            </w:r>
          </w:p>
        </w:tc>
        <w:tc>
          <w:tcPr>
            <w:tcW w:w="2303" w:type="dxa"/>
          </w:tcPr>
          <w:p w:rsidR="00783598" w:rsidRPr="00340E4C" w:rsidRDefault="00783598">
            <w:pPr>
              <w:jc w:val="both"/>
            </w:pPr>
            <w:r w:rsidRPr="00340E4C">
              <w:t>Přidaná hodnota</w:t>
            </w:r>
          </w:p>
        </w:tc>
        <w:tc>
          <w:tcPr>
            <w:tcW w:w="2303" w:type="dxa"/>
          </w:tcPr>
          <w:p w:rsidR="00783598" w:rsidRPr="00340E4C" w:rsidRDefault="00783598">
            <w:pPr>
              <w:jc w:val="both"/>
            </w:pPr>
            <w:r w:rsidRPr="00340E4C">
              <w:t>Tržní cena</w:t>
            </w:r>
          </w:p>
        </w:tc>
      </w:tr>
      <w:tr w:rsidR="00783598" w:rsidRPr="00340E4C">
        <w:tc>
          <w:tcPr>
            <w:tcW w:w="2303" w:type="dxa"/>
          </w:tcPr>
          <w:p w:rsidR="00783598" w:rsidRPr="00340E4C" w:rsidRDefault="00783598">
            <w:pPr>
              <w:jc w:val="both"/>
            </w:pPr>
            <w:r w:rsidRPr="00340E4C">
              <w:t>Těžba rudy</w:t>
            </w:r>
          </w:p>
        </w:tc>
        <w:tc>
          <w:tcPr>
            <w:tcW w:w="2303" w:type="dxa"/>
          </w:tcPr>
          <w:p w:rsidR="00783598" w:rsidRPr="00340E4C" w:rsidRDefault="00783598">
            <w:pPr>
              <w:jc w:val="right"/>
            </w:pPr>
            <w:r w:rsidRPr="00340E4C">
              <w:t>0</w:t>
            </w:r>
          </w:p>
        </w:tc>
        <w:tc>
          <w:tcPr>
            <w:tcW w:w="2303" w:type="dxa"/>
          </w:tcPr>
          <w:p w:rsidR="00783598" w:rsidRPr="00340E4C" w:rsidRDefault="00783598">
            <w:pPr>
              <w:jc w:val="right"/>
            </w:pPr>
            <w:r w:rsidRPr="00340E4C">
              <w:t>60</w:t>
            </w:r>
          </w:p>
        </w:tc>
        <w:tc>
          <w:tcPr>
            <w:tcW w:w="2303" w:type="dxa"/>
          </w:tcPr>
          <w:p w:rsidR="00783598" w:rsidRPr="00340E4C" w:rsidRDefault="00783598">
            <w:pPr>
              <w:jc w:val="right"/>
            </w:pPr>
            <w:r w:rsidRPr="00340E4C">
              <w:t>60</w:t>
            </w:r>
          </w:p>
        </w:tc>
      </w:tr>
      <w:tr w:rsidR="00783598" w:rsidRPr="00340E4C">
        <w:tc>
          <w:tcPr>
            <w:tcW w:w="2303" w:type="dxa"/>
          </w:tcPr>
          <w:p w:rsidR="00783598" w:rsidRPr="00340E4C" w:rsidRDefault="00783598">
            <w:pPr>
              <w:jc w:val="both"/>
            </w:pPr>
            <w:r w:rsidRPr="00340E4C">
              <w:t>Železárny</w:t>
            </w:r>
          </w:p>
        </w:tc>
        <w:tc>
          <w:tcPr>
            <w:tcW w:w="2303" w:type="dxa"/>
          </w:tcPr>
          <w:p w:rsidR="00783598" w:rsidRPr="00340E4C" w:rsidRDefault="00783598">
            <w:pPr>
              <w:jc w:val="right"/>
            </w:pPr>
            <w:r w:rsidRPr="00340E4C">
              <w:t>60</w:t>
            </w:r>
          </w:p>
        </w:tc>
        <w:tc>
          <w:tcPr>
            <w:tcW w:w="2303" w:type="dxa"/>
          </w:tcPr>
          <w:p w:rsidR="00783598" w:rsidRPr="00340E4C" w:rsidRDefault="00783598">
            <w:pPr>
              <w:jc w:val="right"/>
            </w:pPr>
            <w:r w:rsidRPr="00340E4C">
              <w:t>40</w:t>
            </w:r>
          </w:p>
        </w:tc>
        <w:tc>
          <w:tcPr>
            <w:tcW w:w="2303" w:type="dxa"/>
          </w:tcPr>
          <w:p w:rsidR="00783598" w:rsidRPr="00340E4C" w:rsidRDefault="00783598">
            <w:pPr>
              <w:jc w:val="right"/>
            </w:pPr>
            <w:r w:rsidRPr="00340E4C">
              <w:t>100</w:t>
            </w:r>
          </w:p>
        </w:tc>
      </w:tr>
      <w:tr w:rsidR="00783598" w:rsidRPr="00340E4C">
        <w:tc>
          <w:tcPr>
            <w:tcW w:w="2303" w:type="dxa"/>
          </w:tcPr>
          <w:p w:rsidR="00783598" w:rsidRPr="00340E4C" w:rsidRDefault="00783598">
            <w:pPr>
              <w:jc w:val="both"/>
            </w:pPr>
            <w:r w:rsidRPr="00340E4C">
              <w:t>Automobilka</w:t>
            </w:r>
          </w:p>
        </w:tc>
        <w:tc>
          <w:tcPr>
            <w:tcW w:w="2303" w:type="dxa"/>
          </w:tcPr>
          <w:p w:rsidR="00783598" w:rsidRPr="00340E4C" w:rsidRDefault="00783598">
            <w:pPr>
              <w:jc w:val="right"/>
            </w:pPr>
            <w:r w:rsidRPr="00340E4C">
              <w:t>100</w:t>
            </w:r>
          </w:p>
        </w:tc>
        <w:tc>
          <w:tcPr>
            <w:tcW w:w="2303" w:type="dxa"/>
          </w:tcPr>
          <w:p w:rsidR="00783598" w:rsidRPr="00340E4C" w:rsidRDefault="00783598">
            <w:pPr>
              <w:jc w:val="right"/>
            </w:pPr>
            <w:r w:rsidRPr="00340E4C">
              <w:t>210</w:t>
            </w:r>
          </w:p>
        </w:tc>
        <w:tc>
          <w:tcPr>
            <w:tcW w:w="2303" w:type="dxa"/>
          </w:tcPr>
          <w:p w:rsidR="00783598" w:rsidRPr="00340E4C" w:rsidRDefault="00783598">
            <w:pPr>
              <w:jc w:val="right"/>
            </w:pPr>
            <w:r w:rsidRPr="00340E4C">
              <w:t>310</w:t>
            </w:r>
          </w:p>
        </w:tc>
      </w:tr>
      <w:tr w:rsidR="00783598" w:rsidRPr="00340E4C">
        <w:tc>
          <w:tcPr>
            <w:tcW w:w="2303" w:type="dxa"/>
          </w:tcPr>
          <w:p w:rsidR="00783598" w:rsidRPr="00340E4C" w:rsidRDefault="00783598">
            <w:pPr>
              <w:jc w:val="both"/>
            </w:pPr>
            <w:r w:rsidRPr="00340E4C">
              <w:t>Obchodník</w:t>
            </w:r>
          </w:p>
        </w:tc>
        <w:tc>
          <w:tcPr>
            <w:tcW w:w="2303" w:type="dxa"/>
          </w:tcPr>
          <w:p w:rsidR="00783598" w:rsidRPr="00340E4C" w:rsidRDefault="00783598">
            <w:pPr>
              <w:jc w:val="right"/>
            </w:pPr>
            <w:r w:rsidRPr="00340E4C">
              <w:t>310</w:t>
            </w:r>
          </w:p>
        </w:tc>
        <w:tc>
          <w:tcPr>
            <w:tcW w:w="2303" w:type="dxa"/>
          </w:tcPr>
          <w:p w:rsidR="00783598" w:rsidRPr="00340E4C" w:rsidRDefault="00783598">
            <w:pPr>
              <w:jc w:val="right"/>
            </w:pPr>
            <w:r w:rsidRPr="00340E4C">
              <w:t>50</w:t>
            </w:r>
          </w:p>
        </w:tc>
        <w:tc>
          <w:tcPr>
            <w:tcW w:w="2303" w:type="dxa"/>
          </w:tcPr>
          <w:p w:rsidR="00783598" w:rsidRPr="00340E4C" w:rsidRDefault="00783598">
            <w:pPr>
              <w:jc w:val="right"/>
            </w:pPr>
            <w:r w:rsidRPr="00340E4C">
              <w:t>360</w:t>
            </w:r>
          </w:p>
        </w:tc>
      </w:tr>
      <w:tr w:rsidR="00783598" w:rsidRPr="00340E4C">
        <w:tc>
          <w:tcPr>
            <w:tcW w:w="2303" w:type="dxa"/>
          </w:tcPr>
          <w:p w:rsidR="00783598" w:rsidRPr="00340E4C" w:rsidRDefault="00783598">
            <w:pPr>
              <w:jc w:val="both"/>
            </w:pPr>
            <w:r w:rsidRPr="00340E4C">
              <w:t>Celkem</w:t>
            </w:r>
          </w:p>
        </w:tc>
        <w:tc>
          <w:tcPr>
            <w:tcW w:w="2303" w:type="dxa"/>
          </w:tcPr>
          <w:p w:rsidR="00783598" w:rsidRPr="00340E4C" w:rsidRDefault="00783598">
            <w:pPr>
              <w:jc w:val="right"/>
            </w:pPr>
            <w:r w:rsidRPr="00340E4C">
              <w:fldChar w:fldCharType="begin"/>
            </w:r>
            <w:r w:rsidRPr="00340E4C">
              <w:instrText xml:space="preserve"> =SUM(ABOVE) </w:instrText>
            </w:r>
            <w:r w:rsidRPr="00340E4C">
              <w:fldChar w:fldCharType="separate"/>
            </w:r>
            <w:r w:rsidRPr="00340E4C">
              <w:rPr>
                <w:noProof/>
              </w:rPr>
              <w:t>470</w:t>
            </w:r>
            <w:r w:rsidRPr="00340E4C">
              <w:fldChar w:fldCharType="end"/>
            </w:r>
          </w:p>
        </w:tc>
        <w:tc>
          <w:tcPr>
            <w:tcW w:w="2303" w:type="dxa"/>
          </w:tcPr>
          <w:p w:rsidR="00783598" w:rsidRPr="00340E4C" w:rsidRDefault="00783598">
            <w:pPr>
              <w:jc w:val="right"/>
            </w:pPr>
            <w:r w:rsidRPr="00340E4C">
              <w:fldChar w:fldCharType="begin"/>
            </w:r>
            <w:r w:rsidRPr="00340E4C">
              <w:instrText xml:space="preserve"> =SUM(ABOVE) </w:instrText>
            </w:r>
            <w:r w:rsidRPr="00340E4C">
              <w:fldChar w:fldCharType="separate"/>
            </w:r>
            <w:r w:rsidRPr="00340E4C">
              <w:rPr>
                <w:noProof/>
              </w:rPr>
              <w:t>360</w:t>
            </w:r>
            <w:r w:rsidRPr="00340E4C">
              <w:fldChar w:fldCharType="end"/>
            </w:r>
          </w:p>
        </w:tc>
        <w:tc>
          <w:tcPr>
            <w:tcW w:w="2303" w:type="dxa"/>
          </w:tcPr>
          <w:p w:rsidR="00783598" w:rsidRPr="00340E4C" w:rsidRDefault="00783598">
            <w:pPr>
              <w:jc w:val="right"/>
            </w:pPr>
            <w:r w:rsidRPr="00340E4C">
              <w:fldChar w:fldCharType="begin"/>
            </w:r>
            <w:r w:rsidRPr="00340E4C">
              <w:instrText xml:space="preserve"> =SUM(ABOVE) </w:instrText>
            </w:r>
            <w:r w:rsidRPr="00340E4C">
              <w:fldChar w:fldCharType="separate"/>
            </w:r>
            <w:r w:rsidRPr="00340E4C">
              <w:rPr>
                <w:noProof/>
              </w:rPr>
              <w:t>830</w:t>
            </w:r>
            <w:r w:rsidRPr="00340E4C">
              <w:fldChar w:fldCharType="end"/>
            </w:r>
          </w:p>
        </w:tc>
      </w:tr>
    </w:tbl>
    <w:p w:rsidR="00783598" w:rsidRPr="00340E4C" w:rsidRDefault="00783598">
      <w:pPr>
        <w:jc w:val="both"/>
      </w:pPr>
    </w:p>
    <w:p w:rsidR="00783598" w:rsidRPr="00340E4C" w:rsidRDefault="00783598" w:rsidP="001741A7">
      <w:pPr>
        <w:numPr>
          <w:ilvl w:val="1"/>
          <w:numId w:val="10"/>
        </w:numPr>
        <w:jc w:val="both"/>
      </w:pPr>
      <w:r w:rsidRPr="00340E4C">
        <w:t>výdajová metoda:  sečteme výdaje všech subjektů za zboží a služby:</w:t>
      </w:r>
    </w:p>
    <w:p w:rsidR="00783598" w:rsidRPr="00340E4C" w:rsidRDefault="00783598">
      <w:pPr>
        <w:jc w:val="both"/>
      </w:pPr>
      <w:r w:rsidRPr="00340E4C">
        <w:rPr>
          <w:position w:val="-6"/>
        </w:rPr>
        <w:object w:dxaOrig="2320" w:dyaOrig="279">
          <v:shape id="_x0000_i1027" type="#_x0000_t75" style="width:116.25pt;height:14.25pt" o:ole="">
            <v:imagedata r:id="rId20" o:title=""/>
          </v:shape>
          <o:OLEObject Type="Embed" ProgID="Equation.3" ShapeID="_x0000_i1027" DrawAspect="Content" ObjectID="_1674728773" r:id="rId21"/>
        </w:object>
      </w:r>
    </w:p>
    <w:p w:rsidR="00783598" w:rsidRPr="00340E4C" w:rsidRDefault="00783598">
      <w:pPr>
        <w:jc w:val="both"/>
      </w:pPr>
      <w:r w:rsidRPr="00340E4C">
        <w:t>C = spotřeba</w:t>
      </w:r>
    </w:p>
    <w:p w:rsidR="00783598" w:rsidRPr="00340E4C" w:rsidRDefault="00783598">
      <w:pPr>
        <w:jc w:val="both"/>
      </w:pPr>
      <w:r w:rsidRPr="00340E4C">
        <w:t>I = investice</w:t>
      </w:r>
    </w:p>
    <w:p w:rsidR="00783598" w:rsidRPr="00340E4C" w:rsidRDefault="00783598">
      <w:pPr>
        <w:jc w:val="both"/>
      </w:pPr>
      <w:r w:rsidRPr="00340E4C">
        <w:t>G = vládní výdaje</w:t>
      </w:r>
    </w:p>
    <w:p w:rsidR="00783598" w:rsidRPr="00340E4C" w:rsidRDefault="00783598">
      <w:pPr>
        <w:jc w:val="both"/>
      </w:pPr>
      <w:r w:rsidRPr="00340E4C">
        <w:t>NX = saldo zahraničního obchodu (export plus import minus)</w:t>
      </w:r>
    </w:p>
    <w:p w:rsidR="00783598" w:rsidRPr="00340E4C" w:rsidRDefault="00783598">
      <w:pPr>
        <w:jc w:val="both"/>
      </w:pPr>
    </w:p>
    <w:p w:rsidR="00783598" w:rsidRPr="00340E4C" w:rsidRDefault="00783598" w:rsidP="001741A7">
      <w:pPr>
        <w:numPr>
          <w:ilvl w:val="1"/>
          <w:numId w:val="10"/>
        </w:numPr>
        <w:jc w:val="both"/>
      </w:pPr>
      <w:r w:rsidRPr="00340E4C">
        <w:t>důchodová metoda: souhrn důchodů plynoucích z vlastnictví výrobních faktorů:</w:t>
      </w:r>
    </w:p>
    <w:p w:rsidR="00783598" w:rsidRPr="00340E4C" w:rsidRDefault="00783598">
      <w:pPr>
        <w:jc w:val="both"/>
      </w:pPr>
      <w:r w:rsidRPr="00340E4C">
        <w:rPr>
          <w:position w:val="-12"/>
        </w:rPr>
        <w:object w:dxaOrig="2799" w:dyaOrig="360">
          <v:shape id="_x0000_i1028" type="#_x0000_t75" style="width:139.5pt;height:18.75pt" o:ole="">
            <v:imagedata r:id="rId22" o:title=""/>
          </v:shape>
          <o:OLEObject Type="Embed" ProgID="Equation.3" ShapeID="_x0000_i1028" DrawAspect="Content" ObjectID="_1674728774" r:id="rId23"/>
        </w:object>
      </w:r>
    </w:p>
    <w:p w:rsidR="00783598" w:rsidRPr="00340E4C" w:rsidRDefault="00783598">
      <w:pPr>
        <w:jc w:val="both"/>
      </w:pPr>
      <w:r w:rsidRPr="00340E4C">
        <w:t>w = mzdy</w:t>
      </w:r>
    </w:p>
    <w:p w:rsidR="00783598" w:rsidRPr="00340E4C" w:rsidRDefault="00783598">
      <w:pPr>
        <w:jc w:val="both"/>
      </w:pPr>
      <w:r w:rsidRPr="00340E4C">
        <w:t>i = úroky přijaté minus úroky placené někomu</w:t>
      </w:r>
    </w:p>
    <w:p w:rsidR="00783598" w:rsidRPr="00340E4C" w:rsidRDefault="00783598">
      <w:pPr>
        <w:jc w:val="both"/>
      </w:pPr>
      <w:r w:rsidRPr="00340E4C">
        <w:t>n = renty z půdy a nemovitostí</w:t>
      </w:r>
    </w:p>
    <w:p w:rsidR="00783598" w:rsidRPr="00340E4C" w:rsidRDefault="00783598">
      <w:pPr>
        <w:jc w:val="both"/>
      </w:pPr>
      <w:r w:rsidRPr="00340E4C">
        <w:t>z = zisky firem</w:t>
      </w:r>
    </w:p>
    <w:p w:rsidR="00783598" w:rsidRPr="00340E4C" w:rsidRDefault="00783598">
      <w:pPr>
        <w:jc w:val="both"/>
      </w:pPr>
      <w:r w:rsidRPr="00340E4C">
        <w:t>a = amortizace</w:t>
      </w:r>
    </w:p>
    <w:p w:rsidR="00783598" w:rsidRPr="00340E4C" w:rsidRDefault="00783598">
      <w:pPr>
        <w:jc w:val="both"/>
      </w:pPr>
      <w:r w:rsidRPr="00340E4C">
        <w:lastRenderedPageBreak/>
        <w:t>T</w:t>
      </w:r>
      <w:r w:rsidRPr="00340E4C">
        <w:rPr>
          <w:vertAlign w:val="subscript"/>
        </w:rPr>
        <w:t xml:space="preserve">N </w:t>
      </w:r>
      <w:r w:rsidRPr="00340E4C">
        <w:t>= nepřímé daně</w:t>
      </w:r>
      <w:r w:rsidR="00FE185B" w:rsidRPr="00340E4C">
        <w:t xml:space="preserve"> (vztahují se ke zboží, nikoli k poplatníkovi daně)</w:t>
      </w:r>
      <w:r w:rsidR="005F6191">
        <w:t>. Pozn.: přímé se odčítají z w a z.</w:t>
      </w:r>
    </w:p>
    <w:p w:rsidR="00783598" w:rsidRPr="00340E4C" w:rsidRDefault="00783598">
      <w:pPr>
        <w:jc w:val="both"/>
      </w:pPr>
    </w:p>
    <w:p w:rsidR="00783598" w:rsidRPr="00340E4C" w:rsidRDefault="00783598">
      <w:pPr>
        <w:jc w:val="both"/>
      </w:pPr>
      <w:r w:rsidRPr="00340E4C">
        <w:t>Rekapitulace tří metod měření domácího produktu: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6"/>
        <w:gridCol w:w="1535"/>
        <w:gridCol w:w="1536"/>
      </w:tblGrid>
      <w:tr w:rsidR="00783598" w:rsidRPr="00340E4C">
        <w:tc>
          <w:tcPr>
            <w:tcW w:w="3070" w:type="dxa"/>
            <w:gridSpan w:val="2"/>
          </w:tcPr>
          <w:p w:rsidR="00783598" w:rsidRPr="00340E4C" w:rsidRDefault="00783598">
            <w:pPr>
              <w:jc w:val="both"/>
            </w:pPr>
            <w:r w:rsidRPr="00340E4C">
              <w:t>Výrobková metoda</w:t>
            </w:r>
          </w:p>
        </w:tc>
        <w:tc>
          <w:tcPr>
            <w:tcW w:w="3071" w:type="dxa"/>
            <w:gridSpan w:val="2"/>
          </w:tcPr>
          <w:p w:rsidR="00783598" w:rsidRPr="00340E4C" w:rsidRDefault="00783598">
            <w:pPr>
              <w:jc w:val="both"/>
            </w:pPr>
            <w:r w:rsidRPr="00340E4C">
              <w:t>Výdajová metoda</w:t>
            </w:r>
          </w:p>
        </w:tc>
        <w:tc>
          <w:tcPr>
            <w:tcW w:w="3071" w:type="dxa"/>
            <w:gridSpan w:val="2"/>
          </w:tcPr>
          <w:p w:rsidR="00783598" w:rsidRPr="00340E4C" w:rsidRDefault="00783598">
            <w:pPr>
              <w:jc w:val="both"/>
            </w:pPr>
            <w:r w:rsidRPr="00340E4C">
              <w:t>Důchodová metoda</w:t>
            </w:r>
          </w:p>
        </w:tc>
      </w:tr>
      <w:tr w:rsidR="00783598" w:rsidRPr="00340E4C">
        <w:tc>
          <w:tcPr>
            <w:tcW w:w="3070" w:type="dxa"/>
            <w:gridSpan w:val="2"/>
          </w:tcPr>
          <w:p w:rsidR="00783598" w:rsidRPr="00340E4C" w:rsidRDefault="00783598">
            <w:pPr>
              <w:jc w:val="both"/>
            </w:pPr>
            <w:r w:rsidRPr="00340E4C">
              <w:t>Suma přidaných hodnot:</w:t>
            </w:r>
          </w:p>
        </w:tc>
        <w:tc>
          <w:tcPr>
            <w:tcW w:w="1535" w:type="dxa"/>
          </w:tcPr>
          <w:p w:rsidR="00783598" w:rsidRPr="00340E4C" w:rsidRDefault="00783598">
            <w:pPr>
              <w:jc w:val="both"/>
            </w:pPr>
            <w:r w:rsidRPr="00340E4C">
              <w:t>Spotřeba</w:t>
            </w:r>
          </w:p>
        </w:tc>
        <w:tc>
          <w:tcPr>
            <w:tcW w:w="1536" w:type="dxa"/>
          </w:tcPr>
          <w:p w:rsidR="00783598" w:rsidRPr="00340E4C" w:rsidRDefault="00783598">
            <w:pPr>
              <w:jc w:val="right"/>
            </w:pPr>
            <w:r w:rsidRPr="00340E4C">
              <w:t>600</w:t>
            </w:r>
          </w:p>
        </w:tc>
        <w:tc>
          <w:tcPr>
            <w:tcW w:w="1535" w:type="dxa"/>
          </w:tcPr>
          <w:p w:rsidR="00783598" w:rsidRPr="00340E4C" w:rsidRDefault="00783598">
            <w:pPr>
              <w:jc w:val="both"/>
            </w:pPr>
            <w:r w:rsidRPr="00340E4C">
              <w:t>Mzdy</w:t>
            </w:r>
          </w:p>
        </w:tc>
        <w:tc>
          <w:tcPr>
            <w:tcW w:w="1536" w:type="dxa"/>
          </w:tcPr>
          <w:p w:rsidR="00783598" w:rsidRPr="00340E4C" w:rsidRDefault="00783598">
            <w:pPr>
              <w:jc w:val="right"/>
            </w:pPr>
            <w:r w:rsidRPr="00340E4C">
              <w:t>500</w:t>
            </w:r>
          </w:p>
        </w:tc>
      </w:tr>
      <w:tr w:rsidR="00783598" w:rsidRPr="00340E4C">
        <w:tc>
          <w:tcPr>
            <w:tcW w:w="1535" w:type="dxa"/>
          </w:tcPr>
          <w:p w:rsidR="00783598" w:rsidRPr="00340E4C" w:rsidRDefault="00783598">
            <w:pPr>
              <w:jc w:val="both"/>
            </w:pPr>
            <w:r w:rsidRPr="00340E4C">
              <w:t>Zemědělství</w:t>
            </w:r>
          </w:p>
        </w:tc>
        <w:tc>
          <w:tcPr>
            <w:tcW w:w="1535" w:type="dxa"/>
          </w:tcPr>
          <w:p w:rsidR="00783598" w:rsidRPr="00340E4C" w:rsidRDefault="00783598">
            <w:pPr>
              <w:jc w:val="right"/>
            </w:pPr>
            <w:r w:rsidRPr="00340E4C">
              <w:t>50</w:t>
            </w:r>
          </w:p>
        </w:tc>
        <w:tc>
          <w:tcPr>
            <w:tcW w:w="1535" w:type="dxa"/>
          </w:tcPr>
          <w:p w:rsidR="00783598" w:rsidRPr="00340E4C" w:rsidRDefault="00783598">
            <w:pPr>
              <w:jc w:val="both"/>
            </w:pPr>
            <w:r w:rsidRPr="00340E4C">
              <w:t>Investice</w:t>
            </w:r>
          </w:p>
        </w:tc>
        <w:tc>
          <w:tcPr>
            <w:tcW w:w="1536" w:type="dxa"/>
          </w:tcPr>
          <w:p w:rsidR="00783598" w:rsidRPr="00340E4C" w:rsidRDefault="00783598">
            <w:pPr>
              <w:jc w:val="right"/>
            </w:pPr>
            <w:r w:rsidRPr="00340E4C">
              <w:t>300</w:t>
            </w:r>
          </w:p>
        </w:tc>
        <w:tc>
          <w:tcPr>
            <w:tcW w:w="1535" w:type="dxa"/>
          </w:tcPr>
          <w:p w:rsidR="00783598" w:rsidRPr="00340E4C" w:rsidRDefault="00783598">
            <w:pPr>
              <w:jc w:val="both"/>
            </w:pPr>
            <w:r w:rsidRPr="00340E4C">
              <w:t>Nájemné</w:t>
            </w:r>
          </w:p>
        </w:tc>
        <w:tc>
          <w:tcPr>
            <w:tcW w:w="1536" w:type="dxa"/>
          </w:tcPr>
          <w:p w:rsidR="00783598" w:rsidRPr="00340E4C" w:rsidRDefault="00783598">
            <w:pPr>
              <w:jc w:val="right"/>
            </w:pPr>
            <w:r w:rsidRPr="00340E4C">
              <w:t>50</w:t>
            </w:r>
          </w:p>
        </w:tc>
      </w:tr>
      <w:tr w:rsidR="00783598" w:rsidRPr="00340E4C">
        <w:trPr>
          <w:cantSplit/>
        </w:trPr>
        <w:tc>
          <w:tcPr>
            <w:tcW w:w="1535" w:type="dxa"/>
          </w:tcPr>
          <w:p w:rsidR="00783598" w:rsidRPr="00340E4C" w:rsidRDefault="00783598">
            <w:pPr>
              <w:jc w:val="both"/>
            </w:pPr>
            <w:r w:rsidRPr="00340E4C">
              <w:t>Průmysl</w:t>
            </w:r>
          </w:p>
        </w:tc>
        <w:tc>
          <w:tcPr>
            <w:tcW w:w="1535" w:type="dxa"/>
          </w:tcPr>
          <w:p w:rsidR="00783598" w:rsidRPr="00340E4C" w:rsidRDefault="00783598">
            <w:pPr>
              <w:jc w:val="right"/>
            </w:pPr>
            <w:r w:rsidRPr="00340E4C">
              <w:t>400</w:t>
            </w:r>
          </w:p>
        </w:tc>
        <w:tc>
          <w:tcPr>
            <w:tcW w:w="1535" w:type="dxa"/>
            <w:vMerge w:val="restart"/>
          </w:tcPr>
          <w:p w:rsidR="00783598" w:rsidRPr="00340E4C" w:rsidRDefault="00783598">
            <w:pPr>
              <w:jc w:val="both"/>
            </w:pPr>
            <w:r w:rsidRPr="00340E4C">
              <w:t>Veřejné výdaje</w:t>
            </w:r>
          </w:p>
        </w:tc>
        <w:tc>
          <w:tcPr>
            <w:tcW w:w="1536" w:type="dxa"/>
            <w:vMerge w:val="restart"/>
          </w:tcPr>
          <w:p w:rsidR="00783598" w:rsidRPr="00340E4C" w:rsidRDefault="00783598">
            <w:pPr>
              <w:jc w:val="right"/>
            </w:pPr>
            <w:r w:rsidRPr="00340E4C">
              <w:t>100</w:t>
            </w:r>
          </w:p>
        </w:tc>
        <w:tc>
          <w:tcPr>
            <w:tcW w:w="1535" w:type="dxa"/>
          </w:tcPr>
          <w:p w:rsidR="00783598" w:rsidRPr="00340E4C" w:rsidRDefault="00783598">
            <w:pPr>
              <w:jc w:val="both"/>
            </w:pPr>
            <w:r w:rsidRPr="00340E4C">
              <w:t>Úroky</w:t>
            </w:r>
          </w:p>
        </w:tc>
        <w:tc>
          <w:tcPr>
            <w:tcW w:w="1536" w:type="dxa"/>
          </w:tcPr>
          <w:p w:rsidR="00783598" w:rsidRPr="00340E4C" w:rsidRDefault="00783598">
            <w:pPr>
              <w:jc w:val="right"/>
            </w:pPr>
            <w:r w:rsidRPr="00340E4C">
              <w:t>50</w:t>
            </w:r>
          </w:p>
        </w:tc>
      </w:tr>
      <w:tr w:rsidR="00783598" w:rsidRPr="00340E4C">
        <w:trPr>
          <w:cantSplit/>
        </w:trPr>
        <w:tc>
          <w:tcPr>
            <w:tcW w:w="1535" w:type="dxa"/>
            <w:vMerge w:val="restart"/>
          </w:tcPr>
          <w:p w:rsidR="00783598" w:rsidRPr="00340E4C" w:rsidRDefault="00783598" w:rsidP="00B766BC">
            <w:pPr>
              <w:jc w:val="both"/>
            </w:pPr>
            <w:r w:rsidRPr="00340E4C">
              <w:t>Služby a veřejná správa</w:t>
            </w:r>
          </w:p>
        </w:tc>
        <w:tc>
          <w:tcPr>
            <w:tcW w:w="1535" w:type="dxa"/>
            <w:vMerge w:val="restart"/>
          </w:tcPr>
          <w:p w:rsidR="00783598" w:rsidRPr="00340E4C" w:rsidRDefault="00783598">
            <w:pPr>
              <w:jc w:val="right"/>
            </w:pPr>
            <w:r w:rsidRPr="00340E4C">
              <w:t>630</w:t>
            </w:r>
          </w:p>
        </w:tc>
        <w:tc>
          <w:tcPr>
            <w:tcW w:w="1535" w:type="dxa"/>
            <w:vMerge/>
          </w:tcPr>
          <w:p w:rsidR="00783598" w:rsidRPr="00340E4C" w:rsidRDefault="00783598">
            <w:pPr>
              <w:jc w:val="both"/>
            </w:pPr>
          </w:p>
        </w:tc>
        <w:tc>
          <w:tcPr>
            <w:tcW w:w="1536" w:type="dxa"/>
            <w:vMerge/>
          </w:tcPr>
          <w:p w:rsidR="00783598" w:rsidRPr="00340E4C" w:rsidRDefault="00783598">
            <w:pPr>
              <w:jc w:val="right"/>
            </w:pPr>
          </w:p>
        </w:tc>
        <w:tc>
          <w:tcPr>
            <w:tcW w:w="1535" w:type="dxa"/>
          </w:tcPr>
          <w:p w:rsidR="00783598" w:rsidRPr="00340E4C" w:rsidRDefault="00783598">
            <w:pPr>
              <w:jc w:val="both"/>
            </w:pPr>
            <w:r w:rsidRPr="00340E4C">
              <w:t>Zisky</w:t>
            </w:r>
          </w:p>
        </w:tc>
        <w:tc>
          <w:tcPr>
            <w:tcW w:w="1536" w:type="dxa"/>
          </w:tcPr>
          <w:p w:rsidR="00783598" w:rsidRPr="00340E4C" w:rsidRDefault="00783598">
            <w:pPr>
              <w:jc w:val="right"/>
            </w:pPr>
            <w:r w:rsidRPr="00340E4C">
              <w:t>230</w:t>
            </w:r>
          </w:p>
        </w:tc>
      </w:tr>
      <w:tr w:rsidR="00783598" w:rsidRPr="00340E4C">
        <w:trPr>
          <w:cantSplit/>
        </w:trPr>
        <w:tc>
          <w:tcPr>
            <w:tcW w:w="1535" w:type="dxa"/>
            <w:vMerge/>
          </w:tcPr>
          <w:p w:rsidR="00783598" w:rsidRPr="00340E4C" w:rsidRDefault="00783598">
            <w:pPr>
              <w:jc w:val="both"/>
            </w:pPr>
          </w:p>
        </w:tc>
        <w:tc>
          <w:tcPr>
            <w:tcW w:w="1535" w:type="dxa"/>
            <w:vMerge/>
          </w:tcPr>
          <w:p w:rsidR="00783598" w:rsidRPr="00340E4C" w:rsidRDefault="00783598">
            <w:pPr>
              <w:jc w:val="right"/>
            </w:pPr>
          </w:p>
        </w:tc>
        <w:tc>
          <w:tcPr>
            <w:tcW w:w="1535" w:type="dxa"/>
          </w:tcPr>
          <w:p w:rsidR="00783598" w:rsidRPr="00340E4C" w:rsidRDefault="00783598">
            <w:pPr>
              <w:jc w:val="both"/>
            </w:pPr>
            <w:r w:rsidRPr="00340E4C">
              <w:t>Čistý vývoz</w:t>
            </w:r>
          </w:p>
        </w:tc>
        <w:tc>
          <w:tcPr>
            <w:tcW w:w="1536" w:type="dxa"/>
          </w:tcPr>
          <w:p w:rsidR="00783598" w:rsidRPr="00340E4C" w:rsidRDefault="00783598">
            <w:pPr>
              <w:jc w:val="right"/>
            </w:pPr>
            <w:r w:rsidRPr="00340E4C">
              <w:t>80</w:t>
            </w:r>
          </w:p>
        </w:tc>
        <w:tc>
          <w:tcPr>
            <w:tcW w:w="1535" w:type="dxa"/>
          </w:tcPr>
          <w:p w:rsidR="00783598" w:rsidRPr="00340E4C" w:rsidRDefault="00783598">
            <w:pPr>
              <w:jc w:val="both"/>
            </w:pPr>
            <w:r w:rsidRPr="00340E4C">
              <w:t>Národní důchod</w:t>
            </w:r>
          </w:p>
        </w:tc>
        <w:tc>
          <w:tcPr>
            <w:tcW w:w="1536" w:type="dxa"/>
          </w:tcPr>
          <w:p w:rsidR="00783598" w:rsidRPr="00340E4C" w:rsidRDefault="00783598">
            <w:pPr>
              <w:jc w:val="right"/>
            </w:pPr>
            <w:r w:rsidRPr="00340E4C">
              <w:fldChar w:fldCharType="begin"/>
            </w:r>
            <w:r w:rsidRPr="00340E4C">
              <w:instrText xml:space="preserve"> =SUM(ABOVE) </w:instrText>
            </w:r>
            <w:r w:rsidRPr="00340E4C">
              <w:fldChar w:fldCharType="separate"/>
            </w:r>
            <w:r w:rsidRPr="00340E4C">
              <w:rPr>
                <w:noProof/>
              </w:rPr>
              <w:t>830</w:t>
            </w:r>
            <w:r w:rsidRPr="00340E4C">
              <w:fldChar w:fldCharType="end"/>
            </w:r>
          </w:p>
        </w:tc>
      </w:tr>
      <w:tr w:rsidR="00783598" w:rsidRPr="00340E4C">
        <w:trPr>
          <w:cantSplit/>
        </w:trPr>
        <w:tc>
          <w:tcPr>
            <w:tcW w:w="1535" w:type="dxa"/>
            <w:vMerge/>
          </w:tcPr>
          <w:p w:rsidR="00783598" w:rsidRPr="00340E4C" w:rsidRDefault="00783598">
            <w:pPr>
              <w:jc w:val="both"/>
            </w:pPr>
          </w:p>
        </w:tc>
        <w:tc>
          <w:tcPr>
            <w:tcW w:w="1535" w:type="dxa"/>
            <w:vMerge/>
          </w:tcPr>
          <w:p w:rsidR="00783598" w:rsidRPr="00340E4C" w:rsidRDefault="00783598">
            <w:pPr>
              <w:jc w:val="right"/>
            </w:pPr>
          </w:p>
        </w:tc>
        <w:tc>
          <w:tcPr>
            <w:tcW w:w="1535" w:type="dxa"/>
          </w:tcPr>
          <w:p w:rsidR="00783598" w:rsidRPr="00340E4C" w:rsidRDefault="00783598">
            <w:pPr>
              <w:jc w:val="both"/>
            </w:pPr>
          </w:p>
        </w:tc>
        <w:tc>
          <w:tcPr>
            <w:tcW w:w="1536" w:type="dxa"/>
          </w:tcPr>
          <w:p w:rsidR="00783598" w:rsidRPr="00340E4C" w:rsidRDefault="00783598">
            <w:pPr>
              <w:jc w:val="right"/>
            </w:pPr>
          </w:p>
        </w:tc>
        <w:tc>
          <w:tcPr>
            <w:tcW w:w="1535" w:type="dxa"/>
          </w:tcPr>
          <w:p w:rsidR="00783598" w:rsidRPr="00340E4C" w:rsidRDefault="00783598">
            <w:pPr>
              <w:jc w:val="both"/>
            </w:pPr>
            <w:r w:rsidRPr="00340E4C">
              <w:t>Nepřímé daně</w:t>
            </w:r>
          </w:p>
        </w:tc>
        <w:tc>
          <w:tcPr>
            <w:tcW w:w="1536" w:type="dxa"/>
          </w:tcPr>
          <w:p w:rsidR="00783598" w:rsidRPr="00340E4C" w:rsidRDefault="00783598">
            <w:pPr>
              <w:jc w:val="right"/>
            </w:pPr>
            <w:r w:rsidRPr="00340E4C">
              <w:t>250</w:t>
            </w:r>
          </w:p>
        </w:tc>
      </w:tr>
      <w:tr w:rsidR="00783598" w:rsidRPr="00340E4C">
        <w:tc>
          <w:tcPr>
            <w:tcW w:w="1535" w:type="dxa"/>
          </w:tcPr>
          <w:p w:rsidR="00783598" w:rsidRPr="00340E4C" w:rsidRDefault="00783598">
            <w:pPr>
              <w:jc w:val="both"/>
            </w:pPr>
            <w:r w:rsidRPr="00340E4C">
              <w:t>GDP</w:t>
            </w:r>
          </w:p>
        </w:tc>
        <w:tc>
          <w:tcPr>
            <w:tcW w:w="1535" w:type="dxa"/>
          </w:tcPr>
          <w:p w:rsidR="00783598" w:rsidRPr="00340E4C" w:rsidRDefault="00783598">
            <w:pPr>
              <w:jc w:val="right"/>
            </w:pPr>
            <w:r w:rsidRPr="00340E4C">
              <w:fldChar w:fldCharType="begin"/>
            </w:r>
            <w:r w:rsidRPr="00340E4C">
              <w:instrText xml:space="preserve"> =SUM(ABOVE) </w:instrText>
            </w:r>
            <w:r w:rsidRPr="00340E4C">
              <w:fldChar w:fldCharType="separate"/>
            </w:r>
            <w:r w:rsidRPr="00340E4C">
              <w:rPr>
                <w:noProof/>
              </w:rPr>
              <w:t>1080</w:t>
            </w:r>
            <w:r w:rsidRPr="00340E4C">
              <w:fldChar w:fldCharType="end"/>
            </w:r>
          </w:p>
        </w:tc>
        <w:tc>
          <w:tcPr>
            <w:tcW w:w="1535" w:type="dxa"/>
          </w:tcPr>
          <w:p w:rsidR="00783598" w:rsidRPr="00340E4C" w:rsidRDefault="00783598">
            <w:pPr>
              <w:jc w:val="both"/>
            </w:pPr>
            <w:r w:rsidRPr="00340E4C">
              <w:t>GDP</w:t>
            </w:r>
          </w:p>
        </w:tc>
        <w:tc>
          <w:tcPr>
            <w:tcW w:w="1536" w:type="dxa"/>
          </w:tcPr>
          <w:p w:rsidR="00783598" w:rsidRPr="00340E4C" w:rsidRDefault="00783598">
            <w:pPr>
              <w:jc w:val="right"/>
            </w:pPr>
            <w:r w:rsidRPr="00340E4C">
              <w:fldChar w:fldCharType="begin"/>
            </w:r>
            <w:r w:rsidRPr="00340E4C">
              <w:instrText xml:space="preserve"> =SUM(ABOVE) </w:instrText>
            </w:r>
            <w:r w:rsidRPr="00340E4C">
              <w:fldChar w:fldCharType="separate"/>
            </w:r>
            <w:r w:rsidRPr="00340E4C">
              <w:rPr>
                <w:noProof/>
              </w:rPr>
              <w:t>1080</w:t>
            </w:r>
            <w:r w:rsidRPr="00340E4C">
              <w:fldChar w:fldCharType="end"/>
            </w:r>
          </w:p>
        </w:tc>
        <w:tc>
          <w:tcPr>
            <w:tcW w:w="1535" w:type="dxa"/>
          </w:tcPr>
          <w:p w:rsidR="00783598" w:rsidRPr="00340E4C" w:rsidRDefault="00783598">
            <w:pPr>
              <w:jc w:val="both"/>
            </w:pPr>
            <w:r w:rsidRPr="00340E4C">
              <w:t>GDP</w:t>
            </w:r>
          </w:p>
        </w:tc>
        <w:tc>
          <w:tcPr>
            <w:tcW w:w="1536" w:type="dxa"/>
          </w:tcPr>
          <w:p w:rsidR="00783598" w:rsidRPr="00340E4C" w:rsidRDefault="00783598">
            <w:pPr>
              <w:jc w:val="right"/>
            </w:pPr>
            <w:r w:rsidRPr="00340E4C">
              <w:t>1080</w:t>
            </w:r>
          </w:p>
        </w:tc>
      </w:tr>
    </w:tbl>
    <w:p w:rsidR="00783598" w:rsidRPr="00340E4C" w:rsidRDefault="00783598">
      <w:pPr>
        <w:jc w:val="both"/>
      </w:pPr>
    </w:p>
    <w:p w:rsidR="00783598" w:rsidRPr="00340E4C" w:rsidRDefault="00783598">
      <w:pPr>
        <w:jc w:val="both"/>
      </w:pPr>
      <w:r w:rsidRPr="00340E4C">
        <w:t xml:space="preserve">Domácí produkt = nepřímé daně + národní důchod </w:t>
      </w:r>
    </w:p>
    <w:p w:rsidR="00783598" w:rsidRPr="00340E4C" w:rsidRDefault="00783598">
      <w:pPr>
        <w:jc w:val="both"/>
      </w:pPr>
      <w:r w:rsidRPr="00340E4C">
        <w:t>Disponibilní důchod = národní důchod – přímé daně + transfery</w:t>
      </w:r>
      <w:r w:rsidRPr="00340E4C">
        <w:tab/>
      </w:r>
      <w:r w:rsidRPr="00340E4C">
        <w:tab/>
      </w:r>
    </w:p>
    <w:p w:rsidR="00783598" w:rsidRPr="00340E4C" w:rsidRDefault="00783598">
      <w:pPr>
        <w:jc w:val="both"/>
      </w:pPr>
      <w:r w:rsidRPr="00340E4C">
        <w:t>Veličiny pro Česko: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2"/>
        <w:gridCol w:w="1935"/>
        <w:gridCol w:w="1935"/>
      </w:tblGrid>
      <w:tr w:rsidR="00783598" w:rsidRPr="00340E4C" w:rsidTr="00D502E8">
        <w:tc>
          <w:tcPr>
            <w:tcW w:w="5192" w:type="dxa"/>
          </w:tcPr>
          <w:p w:rsidR="00783598" w:rsidRPr="00340E4C" w:rsidRDefault="00783598">
            <w:pPr>
              <w:jc w:val="both"/>
            </w:pPr>
            <w:r w:rsidRPr="00340E4C">
              <w:t>Ukazatel</w:t>
            </w:r>
          </w:p>
        </w:tc>
        <w:tc>
          <w:tcPr>
            <w:tcW w:w="1935" w:type="dxa"/>
          </w:tcPr>
          <w:p w:rsidR="00783598" w:rsidRPr="00340E4C" w:rsidRDefault="00783598">
            <w:pPr>
              <w:jc w:val="center"/>
            </w:pPr>
            <w:r w:rsidRPr="00340E4C">
              <w:t>Rok 1995</w:t>
            </w:r>
          </w:p>
        </w:tc>
        <w:tc>
          <w:tcPr>
            <w:tcW w:w="1935" w:type="dxa"/>
          </w:tcPr>
          <w:p w:rsidR="00783598" w:rsidRPr="00340E4C" w:rsidRDefault="00783598" w:rsidP="00B766BC">
            <w:pPr>
              <w:jc w:val="center"/>
            </w:pPr>
            <w:r w:rsidRPr="00340E4C">
              <w:t>Rok 20</w:t>
            </w:r>
            <w:r w:rsidR="00B766BC">
              <w:t>13</w:t>
            </w:r>
          </w:p>
        </w:tc>
      </w:tr>
      <w:tr w:rsidR="00783598" w:rsidRPr="00340E4C" w:rsidTr="00D502E8">
        <w:tc>
          <w:tcPr>
            <w:tcW w:w="5192" w:type="dxa"/>
          </w:tcPr>
          <w:p w:rsidR="00783598" w:rsidRPr="00340E4C" w:rsidRDefault="00783598">
            <w:pPr>
              <w:jc w:val="both"/>
            </w:pPr>
            <w:r w:rsidRPr="00340E4C">
              <w:t xml:space="preserve">HDP mld Kč </w:t>
            </w:r>
            <w:r w:rsidR="00B766BC">
              <w:t xml:space="preserve"> </w:t>
            </w:r>
            <w:r w:rsidRPr="00340E4C">
              <w:t>b.</w:t>
            </w:r>
            <w:r w:rsidR="00B766BC">
              <w:t xml:space="preserve"> </w:t>
            </w:r>
            <w:r w:rsidRPr="00340E4C">
              <w:t>c.</w:t>
            </w:r>
          </w:p>
        </w:tc>
        <w:tc>
          <w:tcPr>
            <w:tcW w:w="1935" w:type="dxa"/>
          </w:tcPr>
          <w:p w:rsidR="00783598" w:rsidRPr="00340E4C" w:rsidRDefault="00783598">
            <w:pPr>
              <w:jc w:val="right"/>
            </w:pPr>
            <w:r w:rsidRPr="00340E4C">
              <w:t>1466</w:t>
            </w:r>
          </w:p>
        </w:tc>
        <w:tc>
          <w:tcPr>
            <w:tcW w:w="1935" w:type="dxa"/>
          </w:tcPr>
          <w:p w:rsidR="00783598" w:rsidRPr="00340E4C" w:rsidRDefault="00D502E8">
            <w:pPr>
              <w:jc w:val="right"/>
            </w:pPr>
            <w:r>
              <w:t>4086</w:t>
            </w:r>
          </w:p>
        </w:tc>
      </w:tr>
      <w:tr w:rsidR="00783598" w:rsidRPr="00340E4C" w:rsidTr="00D502E8">
        <w:tc>
          <w:tcPr>
            <w:tcW w:w="5192" w:type="dxa"/>
          </w:tcPr>
          <w:p w:rsidR="00783598" w:rsidRPr="00340E4C" w:rsidRDefault="00783598">
            <w:pPr>
              <w:jc w:val="both"/>
            </w:pPr>
            <w:r w:rsidRPr="00340E4C">
              <w:t xml:space="preserve">HDP na jednoho obyvatele Kč/obyv. b.c. </w:t>
            </w:r>
          </w:p>
        </w:tc>
        <w:tc>
          <w:tcPr>
            <w:tcW w:w="1935" w:type="dxa"/>
          </w:tcPr>
          <w:p w:rsidR="00783598" w:rsidRPr="00340E4C" w:rsidRDefault="00783598">
            <w:pPr>
              <w:jc w:val="right"/>
            </w:pPr>
            <w:r w:rsidRPr="00340E4C">
              <w:t>142000</w:t>
            </w:r>
          </w:p>
        </w:tc>
        <w:tc>
          <w:tcPr>
            <w:tcW w:w="1935" w:type="dxa"/>
          </w:tcPr>
          <w:p w:rsidR="00783598" w:rsidRPr="00340E4C" w:rsidRDefault="00D502E8">
            <w:pPr>
              <w:jc w:val="right"/>
            </w:pPr>
            <w:r>
              <w:t>400</w:t>
            </w:r>
            <w:r w:rsidR="00783598" w:rsidRPr="00340E4C">
              <w:t>000</w:t>
            </w:r>
          </w:p>
        </w:tc>
      </w:tr>
      <w:tr w:rsidR="00783598" w:rsidRPr="00340E4C" w:rsidTr="00D502E8">
        <w:tc>
          <w:tcPr>
            <w:tcW w:w="5192" w:type="dxa"/>
          </w:tcPr>
          <w:p w:rsidR="00783598" w:rsidRPr="00340E4C" w:rsidRDefault="00783598" w:rsidP="00B766BC">
            <w:pPr>
              <w:jc w:val="both"/>
            </w:pPr>
            <w:r w:rsidRPr="00340E4C">
              <w:t>Státní rozpočet, příjmy, mld. Kč b.c.</w:t>
            </w:r>
          </w:p>
        </w:tc>
        <w:tc>
          <w:tcPr>
            <w:tcW w:w="1935" w:type="dxa"/>
          </w:tcPr>
          <w:p w:rsidR="00783598" w:rsidRPr="00340E4C" w:rsidRDefault="00783598">
            <w:pPr>
              <w:jc w:val="right"/>
            </w:pPr>
            <w:r w:rsidRPr="00340E4C">
              <w:t>489</w:t>
            </w:r>
          </w:p>
        </w:tc>
        <w:tc>
          <w:tcPr>
            <w:tcW w:w="1935" w:type="dxa"/>
          </w:tcPr>
          <w:p w:rsidR="00783598" w:rsidRPr="00340E4C" w:rsidRDefault="00D502E8" w:rsidP="00D502E8">
            <w:pPr>
              <w:jc w:val="right"/>
            </w:pPr>
            <w:r>
              <w:t>1092</w:t>
            </w:r>
          </w:p>
        </w:tc>
      </w:tr>
      <w:tr w:rsidR="00783598" w:rsidRPr="00340E4C" w:rsidTr="00D502E8">
        <w:tc>
          <w:tcPr>
            <w:tcW w:w="5192" w:type="dxa"/>
          </w:tcPr>
          <w:p w:rsidR="00783598" w:rsidRPr="00340E4C" w:rsidRDefault="00783598">
            <w:pPr>
              <w:jc w:val="both"/>
            </w:pPr>
            <w:r w:rsidRPr="00340E4C">
              <w:t>Čisté jmění, mld Kč, b</w:t>
            </w:r>
            <w:r w:rsidR="00B766BC">
              <w:t xml:space="preserve"> </w:t>
            </w:r>
            <w:r w:rsidRPr="00340E4C">
              <w:t>.c. k 31.</w:t>
            </w:r>
            <w:r w:rsidR="00B766BC">
              <w:t xml:space="preserve"> </w:t>
            </w:r>
            <w:r w:rsidRPr="00340E4C">
              <w:t>12. (stavová veličina)</w:t>
            </w:r>
          </w:p>
        </w:tc>
        <w:tc>
          <w:tcPr>
            <w:tcW w:w="1935" w:type="dxa"/>
          </w:tcPr>
          <w:p w:rsidR="00783598" w:rsidRPr="00340E4C" w:rsidRDefault="00783598">
            <w:pPr>
              <w:jc w:val="right"/>
            </w:pPr>
            <w:r w:rsidRPr="00340E4C">
              <w:t>7862</w:t>
            </w:r>
          </w:p>
        </w:tc>
        <w:tc>
          <w:tcPr>
            <w:tcW w:w="1935" w:type="dxa"/>
          </w:tcPr>
          <w:p w:rsidR="00783598" w:rsidRPr="00340E4C" w:rsidRDefault="00D502E8">
            <w:pPr>
              <w:jc w:val="right"/>
            </w:pPr>
            <w:r>
              <w:t>28226</w:t>
            </w:r>
          </w:p>
        </w:tc>
      </w:tr>
    </w:tbl>
    <w:p w:rsidR="00783598" w:rsidRPr="00340E4C" w:rsidRDefault="00783598">
      <w:pPr>
        <w:jc w:val="both"/>
      </w:pPr>
    </w:p>
    <w:p w:rsidR="00783598" w:rsidRPr="00340E4C" w:rsidRDefault="00783598">
      <w:pPr>
        <w:pStyle w:val="Textkrper2"/>
      </w:pPr>
      <w:r w:rsidRPr="00340E4C">
        <w:t>Poznámka: reálné a nominální ceny</w:t>
      </w:r>
    </w:p>
    <w:p w:rsidR="00783598" w:rsidRPr="00340E4C" w:rsidRDefault="00783598">
      <w:pPr>
        <w:jc w:val="both"/>
      </w:pPr>
      <w:r w:rsidRPr="00340E4C">
        <w:t>Při sledování makroekonomických veličin v peněžním vyjádření má velkou váhu vývoj inflace.</w:t>
      </w:r>
    </w:p>
    <w:p w:rsidR="00783598" w:rsidRPr="00340E4C" w:rsidRDefault="00783598">
      <w:pPr>
        <w:jc w:val="both"/>
        <w:rPr>
          <w:b/>
        </w:rPr>
      </w:pPr>
      <w:r w:rsidRPr="00340E4C">
        <w:rPr>
          <w:b/>
        </w:rPr>
        <w:t>Příklad České republiky:</w:t>
      </w:r>
    </w:p>
    <w:p w:rsidR="00783598" w:rsidRPr="00340E4C" w:rsidRDefault="00783598">
      <w:pPr>
        <w:jc w:val="both"/>
      </w:pPr>
      <w:r w:rsidRPr="00340E4C">
        <w:t>Míra inflace vyjádřená přírůstkem průměrného ročního indexu spotřebitelských cen:</w:t>
      </w:r>
    </w:p>
    <w:tbl>
      <w:tblPr>
        <w:tblW w:w="0" w:type="auto"/>
        <w:tblCellSpacing w:w="15" w:type="dxa"/>
        <w:tblBorders>
          <w:top w:val="single" w:sz="6" w:space="0" w:color="ECECFF"/>
          <w:left w:val="single" w:sz="6" w:space="0" w:color="ECECFF"/>
          <w:bottom w:val="single" w:sz="6" w:space="0" w:color="ECECFF"/>
          <w:right w:val="single" w:sz="6" w:space="0" w:color="ECECFF"/>
        </w:tblBorders>
        <w:tblCellMar>
          <w:top w:w="15" w:type="dxa"/>
          <w:left w:w="15" w:type="dxa"/>
          <w:bottom w:w="15" w:type="dxa"/>
          <w:right w:w="15" w:type="dxa"/>
        </w:tblCellMar>
        <w:tblLook w:val="0000" w:firstRow="0" w:lastRow="0" w:firstColumn="0" w:lastColumn="0" w:noHBand="0" w:noVBand="0"/>
      </w:tblPr>
      <w:tblGrid>
        <w:gridCol w:w="583"/>
        <w:gridCol w:w="568"/>
        <w:gridCol w:w="568"/>
        <w:gridCol w:w="568"/>
        <w:gridCol w:w="568"/>
        <w:gridCol w:w="568"/>
        <w:gridCol w:w="568"/>
        <w:gridCol w:w="568"/>
        <w:gridCol w:w="568"/>
        <w:gridCol w:w="568"/>
        <w:gridCol w:w="611"/>
        <w:gridCol w:w="611"/>
        <w:gridCol w:w="568"/>
        <w:gridCol w:w="568"/>
        <w:gridCol w:w="574"/>
        <w:gridCol w:w="565"/>
      </w:tblGrid>
      <w:tr w:rsidR="005F6191" w:rsidRPr="00340E4C" w:rsidTr="005F6191">
        <w:trPr>
          <w:tblCellSpacing w:w="15" w:type="dxa"/>
        </w:trPr>
        <w:tc>
          <w:tcPr>
            <w:tcW w:w="9132" w:type="dxa"/>
            <w:gridSpan w:val="16"/>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b/>
                <w:bCs/>
                <w:sz w:val="23"/>
                <w:szCs w:val="23"/>
              </w:rPr>
            </w:pPr>
            <w:r w:rsidRPr="00340E4C">
              <w:rPr>
                <w:b/>
                <w:bCs/>
                <w:sz w:val="23"/>
                <w:szCs w:val="23"/>
              </w:rPr>
              <w:t>Rok</w:t>
            </w:r>
          </w:p>
        </w:tc>
      </w:tr>
      <w:tr w:rsidR="005F6191" w:rsidRPr="00340E4C" w:rsidTr="005F6191">
        <w:trPr>
          <w:tblCellSpacing w:w="15" w:type="dxa"/>
        </w:trPr>
        <w:tc>
          <w:tcPr>
            <w:tcW w:w="544"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1994</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1995</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1996</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1997</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1998</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1999</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2000</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2001</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2002</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2003</w:t>
            </w:r>
          </w:p>
        </w:tc>
        <w:tc>
          <w:tcPr>
            <w:tcW w:w="60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2004</w:t>
            </w:r>
          </w:p>
        </w:tc>
        <w:tc>
          <w:tcPr>
            <w:tcW w:w="60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2005</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2006</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2007</w:t>
            </w:r>
          </w:p>
        </w:tc>
        <w:tc>
          <w:tcPr>
            <w:tcW w:w="554"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color w:val="000000"/>
                <w:sz w:val="23"/>
                <w:szCs w:val="23"/>
              </w:rPr>
            </w:pPr>
            <w:r w:rsidRPr="00340E4C">
              <w:rPr>
                <w:b/>
                <w:bCs/>
                <w:sz w:val="23"/>
                <w:szCs w:val="23"/>
              </w:rPr>
              <w:t>2008</w:t>
            </w:r>
          </w:p>
        </w:tc>
        <w:tc>
          <w:tcPr>
            <w:tcW w:w="379" w:type="dxa"/>
            <w:tcBorders>
              <w:top w:val="outset" w:sz="6" w:space="0" w:color="auto"/>
              <w:left w:val="outset" w:sz="6" w:space="0" w:color="auto"/>
              <w:bottom w:val="outset" w:sz="6" w:space="0" w:color="auto"/>
              <w:right w:val="outset" w:sz="6" w:space="0" w:color="auto"/>
            </w:tcBorders>
            <w:shd w:val="clear" w:color="auto" w:fill="F4F4FF"/>
          </w:tcPr>
          <w:p w:rsidR="005F6191" w:rsidRPr="00340E4C" w:rsidRDefault="005F6191">
            <w:pPr>
              <w:jc w:val="center"/>
              <w:rPr>
                <w:b/>
                <w:bCs/>
                <w:sz w:val="23"/>
                <w:szCs w:val="23"/>
              </w:rPr>
            </w:pPr>
            <w:r>
              <w:rPr>
                <w:b/>
                <w:bCs/>
                <w:sz w:val="23"/>
                <w:szCs w:val="23"/>
              </w:rPr>
              <w:t>2009</w:t>
            </w:r>
          </w:p>
        </w:tc>
      </w:tr>
      <w:tr w:rsidR="005F6191" w:rsidRPr="00340E4C" w:rsidTr="005F6191">
        <w:trPr>
          <w:tblCellSpacing w:w="15" w:type="dxa"/>
        </w:trPr>
        <w:tc>
          <w:tcPr>
            <w:tcW w:w="544"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10,0</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9,1</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8,8</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8,5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10,7</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2,1</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3,9</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4,7</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1,8</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0,1</w:t>
            </w: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2,8</w:t>
            </w: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1,9</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2,5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2,8</w:t>
            </w:r>
          </w:p>
        </w:tc>
        <w:tc>
          <w:tcPr>
            <w:tcW w:w="554"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pPr>
              <w:jc w:val="center"/>
              <w:rPr>
                <w:color w:val="000000"/>
                <w:sz w:val="23"/>
                <w:szCs w:val="23"/>
              </w:rPr>
            </w:pPr>
            <w:r w:rsidRPr="00340E4C">
              <w:rPr>
                <w:sz w:val="23"/>
                <w:szCs w:val="23"/>
              </w:rPr>
              <w:t>6,3</w:t>
            </w:r>
          </w:p>
        </w:tc>
        <w:tc>
          <w:tcPr>
            <w:tcW w:w="379" w:type="dxa"/>
            <w:tcBorders>
              <w:top w:val="outset" w:sz="6" w:space="0" w:color="auto"/>
              <w:left w:val="outset" w:sz="6" w:space="0" w:color="auto"/>
              <w:bottom w:val="outset" w:sz="6" w:space="0" w:color="auto"/>
              <w:right w:val="outset" w:sz="6" w:space="0" w:color="auto"/>
            </w:tcBorders>
            <w:shd w:val="clear" w:color="auto" w:fill="FFFFFF"/>
          </w:tcPr>
          <w:p w:rsidR="005F6191" w:rsidRPr="00340E4C" w:rsidRDefault="005F6191" w:rsidP="005F6191">
            <w:pPr>
              <w:jc w:val="center"/>
              <w:rPr>
                <w:sz w:val="23"/>
                <w:szCs w:val="23"/>
              </w:rPr>
            </w:pPr>
            <w:r>
              <w:rPr>
                <w:sz w:val="23"/>
                <w:szCs w:val="23"/>
              </w:rPr>
              <w:t>1,0</w:t>
            </w:r>
          </w:p>
        </w:tc>
      </w:tr>
    </w:tbl>
    <w:p w:rsidR="00783598" w:rsidRDefault="00783598">
      <w:pPr>
        <w:jc w:val="both"/>
      </w:pPr>
    </w:p>
    <w:tbl>
      <w:tblPr>
        <w:tblW w:w="0" w:type="auto"/>
        <w:tblCellSpacing w:w="15" w:type="dxa"/>
        <w:tblBorders>
          <w:top w:val="single" w:sz="6" w:space="0" w:color="ECECFF"/>
          <w:left w:val="single" w:sz="6" w:space="0" w:color="ECECFF"/>
          <w:bottom w:val="single" w:sz="6" w:space="0" w:color="ECECFF"/>
          <w:right w:val="single" w:sz="6" w:space="0" w:color="ECECFF"/>
        </w:tblBorders>
        <w:tblCellMar>
          <w:top w:w="15" w:type="dxa"/>
          <w:left w:w="15" w:type="dxa"/>
          <w:bottom w:w="15" w:type="dxa"/>
          <w:right w:w="15" w:type="dxa"/>
        </w:tblCellMar>
        <w:tblLook w:val="0000" w:firstRow="0" w:lastRow="0" w:firstColumn="0" w:lastColumn="0" w:noHBand="0" w:noVBand="0"/>
      </w:tblPr>
      <w:tblGrid>
        <w:gridCol w:w="583"/>
        <w:gridCol w:w="568"/>
        <w:gridCol w:w="568"/>
        <w:gridCol w:w="568"/>
        <w:gridCol w:w="568"/>
        <w:gridCol w:w="568"/>
        <w:gridCol w:w="568"/>
        <w:gridCol w:w="568"/>
        <w:gridCol w:w="568"/>
        <w:gridCol w:w="568"/>
        <w:gridCol w:w="611"/>
        <w:gridCol w:w="611"/>
        <w:gridCol w:w="568"/>
        <w:gridCol w:w="568"/>
        <w:gridCol w:w="574"/>
        <w:gridCol w:w="565"/>
      </w:tblGrid>
      <w:tr w:rsidR="00D502E8" w:rsidRPr="00340E4C" w:rsidTr="00F43B00">
        <w:trPr>
          <w:tblCellSpacing w:w="15" w:type="dxa"/>
        </w:trPr>
        <w:tc>
          <w:tcPr>
            <w:tcW w:w="9132" w:type="dxa"/>
            <w:gridSpan w:val="16"/>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b/>
                <w:bCs/>
                <w:sz w:val="23"/>
                <w:szCs w:val="23"/>
              </w:rPr>
            </w:pPr>
            <w:r w:rsidRPr="00340E4C">
              <w:rPr>
                <w:b/>
                <w:bCs/>
                <w:sz w:val="23"/>
                <w:szCs w:val="23"/>
              </w:rPr>
              <w:t>Rok</w:t>
            </w:r>
          </w:p>
        </w:tc>
      </w:tr>
      <w:tr w:rsidR="00D502E8" w:rsidRPr="00340E4C" w:rsidTr="00F43B00">
        <w:trPr>
          <w:tblCellSpacing w:w="15" w:type="dxa"/>
        </w:trPr>
        <w:tc>
          <w:tcPr>
            <w:tcW w:w="544"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2010</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2011</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2012</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2013</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2014</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2015</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2016</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2017</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2018</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2019</w:t>
            </w:r>
          </w:p>
        </w:tc>
        <w:tc>
          <w:tcPr>
            <w:tcW w:w="60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2020</w:t>
            </w:r>
          </w:p>
        </w:tc>
        <w:tc>
          <w:tcPr>
            <w:tcW w:w="60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2021</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2022</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2023</w:t>
            </w:r>
          </w:p>
        </w:tc>
        <w:tc>
          <w:tcPr>
            <w:tcW w:w="554"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2024</w:t>
            </w:r>
          </w:p>
        </w:tc>
        <w:tc>
          <w:tcPr>
            <w:tcW w:w="379" w:type="dxa"/>
            <w:tcBorders>
              <w:top w:val="outset" w:sz="6" w:space="0" w:color="auto"/>
              <w:left w:val="outset" w:sz="6" w:space="0" w:color="auto"/>
              <w:bottom w:val="outset" w:sz="6" w:space="0" w:color="auto"/>
              <w:right w:val="outset" w:sz="6" w:space="0" w:color="auto"/>
            </w:tcBorders>
            <w:shd w:val="clear" w:color="auto" w:fill="F4F4FF"/>
          </w:tcPr>
          <w:p w:rsidR="00D502E8" w:rsidRPr="00340E4C" w:rsidRDefault="00D502E8" w:rsidP="00F43B00">
            <w:pPr>
              <w:jc w:val="center"/>
              <w:rPr>
                <w:b/>
                <w:bCs/>
                <w:sz w:val="23"/>
                <w:szCs w:val="23"/>
              </w:rPr>
            </w:pPr>
            <w:r>
              <w:rPr>
                <w:b/>
                <w:bCs/>
                <w:sz w:val="23"/>
                <w:szCs w:val="23"/>
              </w:rPr>
              <w:t>2025</w:t>
            </w:r>
          </w:p>
        </w:tc>
      </w:tr>
      <w:tr w:rsidR="00D502E8" w:rsidRPr="00340E4C" w:rsidTr="00F43B00">
        <w:trPr>
          <w:tblCellSpacing w:w="15" w:type="dxa"/>
        </w:trPr>
        <w:tc>
          <w:tcPr>
            <w:tcW w:w="544"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1,5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1,9</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3,3</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1,4</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0,4</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036EE7" w:rsidP="00F43B00">
            <w:pPr>
              <w:jc w:val="center"/>
              <w:rPr>
                <w:color w:val="000000"/>
                <w:sz w:val="23"/>
                <w:szCs w:val="23"/>
              </w:rPr>
            </w:pPr>
            <w:r>
              <w:rPr>
                <w:color w:val="000000"/>
                <w:sz w:val="23"/>
                <w:szCs w:val="23"/>
              </w:rPr>
              <w:t>0,3</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036EE7" w:rsidP="00F43B00">
            <w:pPr>
              <w:jc w:val="center"/>
              <w:rPr>
                <w:color w:val="000000"/>
                <w:sz w:val="23"/>
                <w:szCs w:val="23"/>
              </w:rPr>
            </w:pPr>
            <w:r>
              <w:rPr>
                <w:color w:val="000000"/>
                <w:sz w:val="23"/>
                <w:szCs w:val="23"/>
              </w:rPr>
              <w:t>0,7</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036EE7" w:rsidP="00F43B00">
            <w:pPr>
              <w:jc w:val="center"/>
              <w:rPr>
                <w:color w:val="000000"/>
                <w:sz w:val="23"/>
                <w:szCs w:val="23"/>
              </w:rPr>
            </w:pPr>
            <w:r>
              <w:rPr>
                <w:color w:val="000000"/>
                <w:sz w:val="23"/>
                <w:szCs w:val="23"/>
              </w:rPr>
              <w:t>2,4</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54"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379"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sz w:val="23"/>
                <w:szCs w:val="23"/>
              </w:rPr>
            </w:pPr>
          </w:p>
        </w:tc>
      </w:tr>
    </w:tbl>
    <w:p w:rsidR="00B766BC" w:rsidRPr="00340E4C" w:rsidRDefault="00B766BC">
      <w:pPr>
        <w:jc w:val="both"/>
      </w:pPr>
    </w:p>
    <w:p w:rsidR="00783598" w:rsidRPr="00340E4C" w:rsidRDefault="00783598">
      <w:pPr>
        <w:jc w:val="both"/>
      </w:pPr>
      <w:r w:rsidRPr="00340E4C">
        <w:t xml:space="preserve">Inflace znamená takovéto kumulativní znehodnocení České </w:t>
      </w:r>
      <w:r w:rsidR="005F6191">
        <w:t>K</w:t>
      </w:r>
      <w:r w:rsidRPr="00340E4C">
        <w:t>oruny</w:t>
      </w:r>
      <w:r w:rsidR="005F6191">
        <w:t xml:space="preserve">.  Jedna koruna v roce 1993 byly rovna jedné koruně podle kupní síly. Tabulka ukazuje, jakou má reálnou cenu tato koruna dnes: </w:t>
      </w:r>
    </w:p>
    <w:tbl>
      <w:tblPr>
        <w:tblW w:w="0" w:type="auto"/>
        <w:tblCellSpacing w:w="15" w:type="dxa"/>
        <w:tblBorders>
          <w:top w:val="single" w:sz="6" w:space="0" w:color="ECECFF"/>
          <w:left w:val="single" w:sz="6" w:space="0" w:color="ECECFF"/>
          <w:bottom w:val="single" w:sz="6" w:space="0" w:color="ECECFF"/>
          <w:right w:val="single" w:sz="6" w:space="0" w:color="ECECFF"/>
        </w:tblBorders>
        <w:tblCellMar>
          <w:top w:w="15" w:type="dxa"/>
          <w:left w:w="15" w:type="dxa"/>
          <w:bottom w:w="15" w:type="dxa"/>
          <w:right w:w="15" w:type="dxa"/>
        </w:tblCellMar>
        <w:tblLook w:val="0000" w:firstRow="0" w:lastRow="0" w:firstColumn="0" w:lastColumn="0" w:noHBand="0" w:noVBand="0"/>
      </w:tblPr>
      <w:tblGrid>
        <w:gridCol w:w="605"/>
        <w:gridCol w:w="590"/>
        <w:gridCol w:w="590"/>
        <w:gridCol w:w="589"/>
        <w:gridCol w:w="589"/>
        <w:gridCol w:w="589"/>
        <w:gridCol w:w="589"/>
        <w:gridCol w:w="589"/>
        <w:gridCol w:w="589"/>
        <w:gridCol w:w="589"/>
        <w:gridCol w:w="683"/>
        <w:gridCol w:w="683"/>
        <w:gridCol w:w="589"/>
        <w:gridCol w:w="589"/>
        <w:gridCol w:w="604"/>
      </w:tblGrid>
      <w:tr w:rsidR="00783598" w:rsidRPr="00340E4C">
        <w:trPr>
          <w:tblCellSpacing w:w="15" w:type="dxa"/>
        </w:trPr>
        <w:tc>
          <w:tcPr>
            <w:tcW w:w="560"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1994</w:t>
            </w:r>
          </w:p>
        </w:tc>
        <w:tc>
          <w:tcPr>
            <w:tcW w:w="560"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1995</w:t>
            </w:r>
          </w:p>
        </w:tc>
        <w:tc>
          <w:tcPr>
            <w:tcW w:w="560"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1996</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1997</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1998</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1999</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2000</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2001</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2002</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2003</w:t>
            </w:r>
          </w:p>
        </w:tc>
        <w:tc>
          <w:tcPr>
            <w:tcW w:w="653"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2004</w:t>
            </w:r>
          </w:p>
        </w:tc>
        <w:tc>
          <w:tcPr>
            <w:tcW w:w="653"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2005</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2006</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2007</w:t>
            </w:r>
          </w:p>
        </w:tc>
        <w:tc>
          <w:tcPr>
            <w:tcW w:w="559" w:type="dxa"/>
            <w:tcBorders>
              <w:top w:val="outset" w:sz="6" w:space="0" w:color="auto"/>
              <w:left w:val="outset" w:sz="6" w:space="0" w:color="auto"/>
              <w:bottom w:val="outset" w:sz="6" w:space="0" w:color="auto"/>
              <w:right w:val="outset" w:sz="6" w:space="0" w:color="auto"/>
            </w:tcBorders>
            <w:shd w:val="clear" w:color="auto" w:fill="F4F4FF"/>
          </w:tcPr>
          <w:p w:rsidR="00783598" w:rsidRPr="00340E4C" w:rsidRDefault="00783598">
            <w:pPr>
              <w:jc w:val="center"/>
              <w:rPr>
                <w:color w:val="000000"/>
                <w:sz w:val="23"/>
                <w:szCs w:val="23"/>
              </w:rPr>
            </w:pPr>
            <w:r w:rsidRPr="00340E4C">
              <w:rPr>
                <w:b/>
                <w:bCs/>
                <w:sz w:val="23"/>
                <w:szCs w:val="23"/>
              </w:rPr>
              <w:t>2008</w:t>
            </w:r>
          </w:p>
        </w:tc>
      </w:tr>
      <w:tr w:rsidR="00783598" w:rsidRPr="00340E4C">
        <w:trPr>
          <w:tblCellSpacing w:w="15" w:type="dxa"/>
        </w:trPr>
        <w:tc>
          <w:tcPr>
            <w:tcW w:w="560"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0,9</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0,8</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0,7</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0,7</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0,6</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0,6</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0,6</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0,5</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0,5</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0,5</w:t>
            </w:r>
          </w:p>
        </w:tc>
        <w:tc>
          <w:tcPr>
            <w:tcW w:w="653"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0,5</w:t>
            </w:r>
          </w:p>
        </w:tc>
        <w:tc>
          <w:tcPr>
            <w:tcW w:w="653"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sz w:val="23"/>
                <w:szCs w:val="23"/>
              </w:rPr>
              <w:t>0,5</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sz w:val="23"/>
                <w:szCs w:val="23"/>
              </w:rPr>
              <w:t>0,5</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0,5</w:t>
            </w:r>
          </w:p>
        </w:tc>
        <w:tc>
          <w:tcPr>
            <w:tcW w:w="559" w:type="dxa"/>
            <w:tcBorders>
              <w:top w:val="outset" w:sz="6" w:space="0" w:color="auto"/>
              <w:left w:val="outset" w:sz="6" w:space="0" w:color="auto"/>
              <w:bottom w:val="outset" w:sz="6" w:space="0" w:color="auto"/>
              <w:right w:val="outset" w:sz="6" w:space="0" w:color="auto"/>
            </w:tcBorders>
            <w:shd w:val="clear" w:color="auto" w:fill="FFFFFF"/>
          </w:tcPr>
          <w:p w:rsidR="00783598" w:rsidRPr="00340E4C" w:rsidRDefault="00783598">
            <w:pPr>
              <w:jc w:val="center"/>
              <w:rPr>
                <w:color w:val="000000"/>
                <w:sz w:val="23"/>
                <w:szCs w:val="23"/>
              </w:rPr>
            </w:pPr>
            <w:r w:rsidRPr="00340E4C">
              <w:rPr>
                <w:color w:val="000000"/>
                <w:sz w:val="23"/>
                <w:szCs w:val="23"/>
              </w:rPr>
              <w:t>0,5</w:t>
            </w:r>
          </w:p>
        </w:tc>
      </w:tr>
    </w:tbl>
    <w:p w:rsidR="00783598" w:rsidRDefault="00783598">
      <w:pPr>
        <w:jc w:val="both"/>
      </w:pPr>
    </w:p>
    <w:tbl>
      <w:tblPr>
        <w:tblW w:w="0" w:type="auto"/>
        <w:tblCellSpacing w:w="15" w:type="dxa"/>
        <w:tblBorders>
          <w:top w:val="single" w:sz="6" w:space="0" w:color="ECECFF"/>
          <w:left w:val="single" w:sz="6" w:space="0" w:color="ECECFF"/>
          <w:bottom w:val="single" w:sz="6" w:space="0" w:color="ECECFF"/>
          <w:right w:val="single" w:sz="6" w:space="0" w:color="ECECFF"/>
        </w:tblBorders>
        <w:tblCellMar>
          <w:top w:w="15" w:type="dxa"/>
          <w:left w:w="15" w:type="dxa"/>
          <w:bottom w:w="15" w:type="dxa"/>
          <w:right w:w="15" w:type="dxa"/>
        </w:tblCellMar>
        <w:tblLook w:val="0000" w:firstRow="0" w:lastRow="0" w:firstColumn="0" w:lastColumn="0" w:noHBand="0" w:noVBand="0"/>
      </w:tblPr>
      <w:tblGrid>
        <w:gridCol w:w="583"/>
        <w:gridCol w:w="568"/>
        <w:gridCol w:w="568"/>
        <w:gridCol w:w="568"/>
        <w:gridCol w:w="568"/>
        <w:gridCol w:w="568"/>
        <w:gridCol w:w="568"/>
        <w:gridCol w:w="568"/>
        <w:gridCol w:w="568"/>
        <w:gridCol w:w="568"/>
        <w:gridCol w:w="611"/>
        <w:gridCol w:w="611"/>
        <w:gridCol w:w="568"/>
        <w:gridCol w:w="568"/>
        <w:gridCol w:w="574"/>
        <w:gridCol w:w="565"/>
      </w:tblGrid>
      <w:tr w:rsidR="00D502E8" w:rsidRPr="00340E4C" w:rsidTr="00F43B00">
        <w:trPr>
          <w:tblCellSpacing w:w="15" w:type="dxa"/>
        </w:trPr>
        <w:tc>
          <w:tcPr>
            <w:tcW w:w="9132" w:type="dxa"/>
            <w:gridSpan w:val="16"/>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b/>
                <w:bCs/>
                <w:sz w:val="23"/>
                <w:szCs w:val="23"/>
              </w:rPr>
            </w:pPr>
            <w:r w:rsidRPr="00340E4C">
              <w:rPr>
                <w:b/>
                <w:bCs/>
                <w:sz w:val="23"/>
                <w:szCs w:val="23"/>
              </w:rPr>
              <w:t>Rok</w:t>
            </w:r>
          </w:p>
        </w:tc>
      </w:tr>
      <w:tr w:rsidR="00D502E8" w:rsidRPr="00340E4C" w:rsidTr="00F43B00">
        <w:trPr>
          <w:tblCellSpacing w:w="15" w:type="dxa"/>
        </w:trPr>
        <w:tc>
          <w:tcPr>
            <w:tcW w:w="544"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2010</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2011</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2012</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2013</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2014</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2015</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2016</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2017</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2018</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2019</w:t>
            </w:r>
          </w:p>
        </w:tc>
        <w:tc>
          <w:tcPr>
            <w:tcW w:w="60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2020</w:t>
            </w:r>
          </w:p>
        </w:tc>
        <w:tc>
          <w:tcPr>
            <w:tcW w:w="60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2021</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2022</w:t>
            </w:r>
          </w:p>
        </w:tc>
        <w:tc>
          <w:tcPr>
            <w:tcW w:w="545"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2023</w:t>
            </w:r>
          </w:p>
        </w:tc>
        <w:tc>
          <w:tcPr>
            <w:tcW w:w="554" w:type="dxa"/>
            <w:tcBorders>
              <w:top w:val="outset" w:sz="6" w:space="0" w:color="auto"/>
              <w:left w:val="outset" w:sz="6" w:space="0" w:color="auto"/>
              <w:bottom w:val="outset" w:sz="6" w:space="0" w:color="auto"/>
              <w:right w:val="outset" w:sz="6" w:space="0" w:color="auto"/>
            </w:tcBorders>
            <w:shd w:val="clear" w:color="auto" w:fill="F4F4FF"/>
          </w:tcPr>
          <w:p w:rsidR="00D502E8" w:rsidRPr="002F322B" w:rsidRDefault="00D502E8" w:rsidP="00F43B00">
            <w:pPr>
              <w:jc w:val="center"/>
              <w:rPr>
                <w:b/>
                <w:color w:val="000000"/>
                <w:sz w:val="23"/>
                <w:szCs w:val="23"/>
              </w:rPr>
            </w:pPr>
            <w:r w:rsidRPr="002F322B">
              <w:rPr>
                <w:b/>
                <w:color w:val="000000"/>
                <w:sz w:val="23"/>
                <w:szCs w:val="23"/>
              </w:rPr>
              <w:t>2024</w:t>
            </w:r>
          </w:p>
        </w:tc>
        <w:tc>
          <w:tcPr>
            <w:tcW w:w="379" w:type="dxa"/>
            <w:tcBorders>
              <w:top w:val="outset" w:sz="6" w:space="0" w:color="auto"/>
              <w:left w:val="outset" w:sz="6" w:space="0" w:color="auto"/>
              <w:bottom w:val="outset" w:sz="6" w:space="0" w:color="auto"/>
              <w:right w:val="outset" w:sz="6" w:space="0" w:color="auto"/>
            </w:tcBorders>
            <w:shd w:val="clear" w:color="auto" w:fill="F4F4FF"/>
          </w:tcPr>
          <w:p w:rsidR="00D502E8" w:rsidRPr="00340E4C" w:rsidRDefault="00D502E8" w:rsidP="00F43B00">
            <w:pPr>
              <w:jc w:val="center"/>
              <w:rPr>
                <w:b/>
                <w:bCs/>
                <w:sz w:val="23"/>
                <w:szCs w:val="23"/>
              </w:rPr>
            </w:pPr>
            <w:r>
              <w:rPr>
                <w:b/>
                <w:bCs/>
                <w:sz w:val="23"/>
                <w:szCs w:val="23"/>
              </w:rPr>
              <w:t>2025</w:t>
            </w:r>
          </w:p>
        </w:tc>
      </w:tr>
      <w:tr w:rsidR="00D502E8" w:rsidRPr="00340E4C" w:rsidTr="00F43B00">
        <w:trPr>
          <w:tblCellSpacing w:w="15" w:type="dxa"/>
        </w:trPr>
        <w:tc>
          <w:tcPr>
            <w:tcW w:w="544"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lastRenderedPageBreak/>
              <w:t>0,5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0,5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0,5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0,5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r>
              <w:rPr>
                <w:color w:val="000000"/>
                <w:sz w:val="23"/>
                <w:szCs w:val="23"/>
              </w:rPr>
              <w:t>0,5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036EE7" w:rsidP="00F43B00">
            <w:pPr>
              <w:jc w:val="center"/>
              <w:rPr>
                <w:color w:val="000000"/>
                <w:sz w:val="23"/>
                <w:szCs w:val="23"/>
              </w:rPr>
            </w:pPr>
            <w:r>
              <w:rPr>
                <w:color w:val="000000"/>
                <w:sz w:val="23"/>
                <w:szCs w:val="23"/>
              </w:rPr>
              <w:t>0,5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036EE7" w:rsidP="00F43B00">
            <w:pPr>
              <w:jc w:val="center"/>
              <w:rPr>
                <w:color w:val="000000"/>
                <w:sz w:val="23"/>
                <w:szCs w:val="23"/>
              </w:rPr>
            </w:pPr>
            <w:r>
              <w:rPr>
                <w:color w:val="000000"/>
                <w:sz w:val="23"/>
                <w:szCs w:val="23"/>
              </w:rPr>
              <w:t>0,5</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036EE7" w:rsidP="00F43B00">
            <w:pPr>
              <w:jc w:val="center"/>
              <w:rPr>
                <w:color w:val="000000"/>
                <w:sz w:val="23"/>
                <w:szCs w:val="23"/>
              </w:rPr>
            </w:pPr>
            <w:r>
              <w:rPr>
                <w:color w:val="000000"/>
                <w:sz w:val="23"/>
                <w:szCs w:val="23"/>
              </w:rPr>
              <w:t>0,48</w:t>
            </w: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45"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554"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color w:val="000000"/>
                <w:sz w:val="23"/>
                <w:szCs w:val="23"/>
              </w:rPr>
            </w:pPr>
          </w:p>
        </w:tc>
        <w:tc>
          <w:tcPr>
            <w:tcW w:w="379" w:type="dxa"/>
            <w:tcBorders>
              <w:top w:val="outset" w:sz="6" w:space="0" w:color="auto"/>
              <w:left w:val="outset" w:sz="6" w:space="0" w:color="auto"/>
              <w:bottom w:val="outset" w:sz="6" w:space="0" w:color="auto"/>
              <w:right w:val="outset" w:sz="6" w:space="0" w:color="auto"/>
            </w:tcBorders>
            <w:shd w:val="clear" w:color="auto" w:fill="FFFFFF"/>
          </w:tcPr>
          <w:p w:rsidR="00D502E8" w:rsidRPr="00340E4C" w:rsidRDefault="00D502E8" w:rsidP="00F43B00">
            <w:pPr>
              <w:jc w:val="center"/>
              <w:rPr>
                <w:sz w:val="23"/>
                <w:szCs w:val="23"/>
              </w:rPr>
            </w:pPr>
          </w:p>
        </w:tc>
      </w:tr>
    </w:tbl>
    <w:p w:rsidR="00B766BC" w:rsidRDefault="00B766BC">
      <w:pPr>
        <w:jc w:val="both"/>
      </w:pPr>
    </w:p>
    <w:p w:rsidR="00B766BC" w:rsidRPr="00340E4C" w:rsidRDefault="00B766BC">
      <w:pPr>
        <w:jc w:val="both"/>
      </w:pPr>
    </w:p>
    <w:p w:rsidR="00783598" w:rsidRPr="00340E4C" w:rsidRDefault="00783598">
      <w:pPr>
        <w:jc w:val="both"/>
      </w:pPr>
    </w:p>
    <w:p w:rsidR="00783598" w:rsidRPr="00340E4C" w:rsidRDefault="00783598">
      <w:pPr>
        <w:jc w:val="both"/>
      </w:pPr>
      <w:r w:rsidRPr="00340E4C">
        <w:t>Vzorec indexu spotřebitelských cen CPI:</w:t>
      </w:r>
    </w:p>
    <w:p w:rsidR="00783598" w:rsidRPr="00340E4C" w:rsidRDefault="00783598">
      <w:pPr>
        <w:jc w:val="both"/>
        <w:rPr>
          <w:color w:val="FF0000"/>
        </w:rPr>
      </w:pPr>
    </w:p>
    <w:p w:rsidR="00783598" w:rsidRPr="00340E4C" w:rsidRDefault="00783598">
      <w:pPr>
        <w:jc w:val="both"/>
        <w:rPr>
          <w:color w:val="FF0000"/>
        </w:rPr>
      </w:pPr>
      <w:r w:rsidRPr="00340E4C">
        <w:rPr>
          <w:color w:val="FF0000"/>
          <w:position w:val="-60"/>
        </w:rPr>
        <w:object w:dxaOrig="2260" w:dyaOrig="1320">
          <v:shape id="_x0000_i1029" type="#_x0000_t75" style="width:113.25pt;height:66.75pt" o:ole="">
            <v:imagedata r:id="rId24" o:title=""/>
          </v:shape>
          <o:OLEObject Type="Embed" ProgID="Equation.3" ShapeID="_x0000_i1029" DrawAspect="Content" ObjectID="_1674728775" r:id="rId25"/>
        </w:object>
      </w:r>
    </w:p>
    <w:p w:rsidR="005F6191" w:rsidRDefault="005F6191" w:rsidP="00DF63D4">
      <w:pPr>
        <w:pStyle w:val="poznamka"/>
        <w:spacing w:before="0" w:beforeAutospacing="0" w:after="0" w:afterAutospacing="0"/>
      </w:pPr>
    </w:p>
    <w:p w:rsidR="005F6191" w:rsidRDefault="005F6191" w:rsidP="00DF63D4">
      <w:pPr>
        <w:pStyle w:val="poznamka"/>
        <w:spacing w:before="0" w:beforeAutospacing="0" w:after="0" w:afterAutospacing="0"/>
      </w:pPr>
    </w:p>
    <w:p w:rsidR="005F6191" w:rsidRDefault="005F6191" w:rsidP="00DF63D4">
      <w:pPr>
        <w:pStyle w:val="poznamka"/>
        <w:spacing w:before="0" w:beforeAutospacing="0" w:after="0" w:afterAutospacing="0"/>
      </w:pPr>
    </w:p>
    <w:p w:rsidR="005F6191" w:rsidRDefault="005F6191" w:rsidP="00DF63D4">
      <w:pPr>
        <w:pStyle w:val="poznamka"/>
        <w:spacing w:before="0" w:beforeAutospacing="0" w:after="0" w:afterAutospacing="0"/>
      </w:pPr>
    </w:p>
    <w:p w:rsidR="00DF63D4" w:rsidRPr="00340E4C" w:rsidRDefault="00783598" w:rsidP="00DF63D4">
      <w:pPr>
        <w:pStyle w:val="poznamka"/>
        <w:spacing w:before="0" w:beforeAutospacing="0" w:after="0" w:afterAutospacing="0"/>
      </w:pPr>
      <w:r w:rsidRPr="00340E4C">
        <w:t>1 kg zadního hovězího:</w:t>
      </w:r>
      <w:r w:rsidRPr="00340E4C">
        <w:tab/>
        <w:t>1909:</w:t>
      </w:r>
      <w:r w:rsidRPr="00340E4C">
        <w:tab/>
      </w:r>
      <w:r w:rsidRPr="00340E4C">
        <w:tab/>
        <w:t xml:space="preserve">    3,50 Korun</w:t>
      </w:r>
    </w:p>
    <w:p w:rsidR="00783598" w:rsidRPr="00340E4C" w:rsidRDefault="00783598" w:rsidP="00DF63D4">
      <w:pPr>
        <w:pStyle w:val="poznamka"/>
        <w:spacing w:before="0" w:beforeAutospacing="0" w:after="0" w:afterAutospacing="0"/>
      </w:pPr>
      <w:r w:rsidRPr="00340E4C">
        <w:tab/>
      </w:r>
      <w:r w:rsidRPr="00340E4C">
        <w:tab/>
      </w:r>
      <w:r w:rsidRPr="00340E4C">
        <w:tab/>
      </w:r>
      <w:r w:rsidRPr="00340E4C">
        <w:tab/>
        <w:t>1919:</w:t>
      </w:r>
      <w:r w:rsidRPr="00340E4C">
        <w:tab/>
      </w:r>
      <w:r w:rsidRPr="00340E4C">
        <w:tab/>
        <w:t xml:space="preserve">  25,- Korun československých</w:t>
      </w:r>
    </w:p>
    <w:p w:rsidR="00783598" w:rsidRPr="00340E4C" w:rsidRDefault="00783598" w:rsidP="00DF63D4">
      <w:pPr>
        <w:pStyle w:val="poznamka"/>
        <w:spacing w:before="0" w:beforeAutospacing="0" w:after="0" w:afterAutospacing="0"/>
      </w:pPr>
      <w:r w:rsidRPr="00340E4C">
        <w:tab/>
      </w:r>
      <w:r w:rsidRPr="00340E4C">
        <w:tab/>
      </w:r>
      <w:r w:rsidRPr="00340E4C">
        <w:tab/>
      </w:r>
      <w:r w:rsidRPr="00340E4C">
        <w:tab/>
        <w:t>2009:</w:t>
      </w:r>
      <w:r w:rsidRPr="00340E4C">
        <w:tab/>
      </w:r>
      <w:r w:rsidRPr="00340E4C">
        <w:tab/>
        <w:t xml:space="preserve">170,- </w:t>
      </w:r>
      <w:r w:rsidRPr="00340E4C">
        <w:tab/>
        <w:t>Korun českých</w:t>
      </w:r>
      <w:r w:rsidRPr="00340E4C">
        <w:tab/>
      </w:r>
      <w:r w:rsidRPr="00340E4C">
        <w:tab/>
      </w:r>
    </w:p>
    <w:p w:rsidR="00783598" w:rsidRPr="00340E4C" w:rsidRDefault="00783598">
      <w:pPr>
        <w:jc w:val="both"/>
      </w:pPr>
      <w:r w:rsidRPr="00340E4C">
        <w:br w:type="textWrapping" w:clear="all"/>
      </w:r>
    </w:p>
    <w:p w:rsidR="00783598" w:rsidRPr="00340E4C" w:rsidRDefault="00783598">
      <w:pPr>
        <w:jc w:val="both"/>
      </w:pPr>
    </w:p>
    <w:p w:rsidR="00783598" w:rsidRDefault="00FE185B">
      <w:pPr>
        <w:jc w:val="both"/>
      </w:pPr>
      <w:r w:rsidRPr="00340E4C">
        <w:t>U jednoho kg hovězího můžeme ceny dlouhodobě porovnávat, i když hygienické požadavky byly před sto lety jistě mnohem nižší. Převážná většina zboží se ovšem v čase zlepšuje jak do parametrů, tak co do poměru ceny a výkonu, a proto je porovnávání obtížné.</w:t>
      </w:r>
    </w:p>
    <w:p w:rsidR="005F6191" w:rsidRDefault="005F6191">
      <w:pPr>
        <w:jc w:val="both"/>
      </w:pPr>
    </w:p>
    <w:p w:rsidR="005F6191" w:rsidRDefault="005F6191">
      <w:pPr>
        <w:jc w:val="both"/>
      </w:pPr>
    </w:p>
    <w:p w:rsidR="005F6191" w:rsidRDefault="005F6191">
      <w:pPr>
        <w:jc w:val="both"/>
      </w:pPr>
    </w:p>
    <w:p w:rsidR="005F6191" w:rsidRDefault="005F6191">
      <w:pPr>
        <w:jc w:val="both"/>
      </w:pPr>
      <w:r>
        <w:t>Zdroje:</w:t>
      </w:r>
    </w:p>
    <w:p w:rsidR="005F6191" w:rsidRDefault="006647E4">
      <w:pPr>
        <w:jc w:val="both"/>
      </w:pPr>
      <w:hyperlink r:id="rId26" w:history="1">
        <w:r w:rsidR="005F6191" w:rsidRPr="00717CCA">
          <w:rPr>
            <w:rStyle w:val="Hyperlink"/>
          </w:rPr>
          <w:t>www.kurzy.cz</w:t>
        </w:r>
      </w:hyperlink>
    </w:p>
    <w:p w:rsidR="005F6191" w:rsidRDefault="006647E4">
      <w:pPr>
        <w:jc w:val="both"/>
      </w:pPr>
      <w:hyperlink r:id="rId27" w:history="1">
        <w:r w:rsidR="005F6191" w:rsidRPr="00717CCA">
          <w:rPr>
            <w:rStyle w:val="Hyperlink"/>
          </w:rPr>
          <w:t>www.epp.eurostat.ec.europa.eu</w:t>
        </w:r>
      </w:hyperlink>
    </w:p>
    <w:p w:rsidR="005F6191" w:rsidRDefault="005F6191">
      <w:pPr>
        <w:jc w:val="both"/>
      </w:pPr>
    </w:p>
    <w:p w:rsidR="005F6191" w:rsidRPr="00340E4C" w:rsidRDefault="005F6191">
      <w:pPr>
        <w:jc w:val="both"/>
        <w:sectPr w:rsidR="005F6191" w:rsidRPr="00340E4C">
          <w:pgSz w:w="11906" w:h="16838"/>
          <w:pgMar w:top="1417" w:right="1417" w:bottom="1417" w:left="1417" w:header="708" w:footer="708" w:gutter="0"/>
          <w:cols w:space="708"/>
          <w:docGrid w:linePitch="360"/>
        </w:sectPr>
      </w:pPr>
      <w:r>
        <w:t xml:space="preserve"> </w:t>
      </w:r>
    </w:p>
    <w:p w:rsidR="00783598" w:rsidRPr="00340E4C" w:rsidRDefault="00783598"/>
    <w:p w:rsidR="00783598" w:rsidRPr="00340E4C" w:rsidRDefault="00783598" w:rsidP="00636A7A">
      <w:pPr>
        <w:pStyle w:val="berschrift1"/>
      </w:pPr>
      <w:bookmarkStart w:id="34" w:name="_Toc240444145"/>
      <w:bookmarkStart w:id="35" w:name="_Toc240775345"/>
      <w:bookmarkStart w:id="36" w:name="_Toc281979944"/>
      <w:bookmarkStart w:id="37" w:name="_Toc281979986"/>
      <w:bookmarkStart w:id="38" w:name="_Toc296073440"/>
      <w:bookmarkStart w:id="39" w:name="_Toc297533148"/>
      <w:bookmarkStart w:id="40" w:name="_Toc303675508"/>
      <w:bookmarkStart w:id="41" w:name="_Toc303963009"/>
      <w:bookmarkStart w:id="42" w:name="_Toc306176398"/>
      <w:bookmarkStart w:id="43" w:name="_Toc315341167"/>
      <w:bookmarkStart w:id="44" w:name="_Toc316459962"/>
      <w:bookmarkStart w:id="45" w:name="_Toc316460437"/>
      <w:bookmarkStart w:id="46" w:name="_Toc318291414"/>
      <w:bookmarkStart w:id="47" w:name="_Toc328466820"/>
      <w:bookmarkStart w:id="48" w:name="_Toc335724877"/>
      <w:bookmarkStart w:id="49" w:name="_Toc411926282"/>
      <w:bookmarkStart w:id="50" w:name="_Toc1629135"/>
      <w:bookmarkStart w:id="51" w:name="_GoBack"/>
      <w:bookmarkEnd w:id="51"/>
      <w:r w:rsidRPr="00340E4C">
        <w:t>Rovnovážný produkt ve dvousektorové ekonomice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83598" w:rsidRPr="00340E4C" w:rsidRDefault="00783598"/>
    <w:p w:rsidR="00783598" w:rsidRPr="00340E4C" w:rsidRDefault="00783598">
      <w:pPr>
        <w:jc w:val="both"/>
      </w:pPr>
      <w:r w:rsidRPr="00340E4C">
        <w:t xml:space="preserve">Dvousektorová ekonomika – viz 2.1.2. – zahrnuje pouze dvojí subjekty – firmy a domácnosti. Za jakých podmínek dosáhne tento systém rovnovážného produktu (tj. že veškeré dílčí nabídky se budou rovnat veškerým dílčím poptávkám. Domácnosti a firmy plánují a mohou vynaložit právě takový objem výdajů(důchodu), jaká je úroveň produktu)? </w:t>
      </w:r>
    </w:p>
    <w:p w:rsidR="00783598" w:rsidRPr="00340E4C" w:rsidRDefault="00783598">
      <w:pPr>
        <w:jc w:val="both"/>
      </w:pPr>
      <w:r w:rsidRPr="00340E4C">
        <w:t>Musíme stanovit podmínky fungování abstraktního modelu:</w:t>
      </w:r>
    </w:p>
    <w:p w:rsidR="00783598" w:rsidRPr="00340E4C" w:rsidRDefault="00783598" w:rsidP="001741A7">
      <w:pPr>
        <w:numPr>
          <w:ilvl w:val="0"/>
          <w:numId w:val="1"/>
        </w:numPr>
        <w:jc w:val="both"/>
      </w:pPr>
      <w:r w:rsidRPr="00340E4C">
        <w:t>cenová hladina je stálá,</w:t>
      </w:r>
    </w:p>
    <w:p w:rsidR="00783598" w:rsidRPr="00340E4C" w:rsidRDefault="00783598" w:rsidP="001741A7">
      <w:pPr>
        <w:numPr>
          <w:ilvl w:val="0"/>
          <w:numId w:val="1"/>
        </w:numPr>
        <w:jc w:val="both"/>
      </w:pPr>
      <w:r w:rsidRPr="00340E4C">
        <w:t>nabídka práce i kapitálu jsou dostatečné</w:t>
      </w:r>
    </w:p>
    <w:p w:rsidR="00783598" w:rsidRPr="00340E4C" w:rsidRDefault="00783598" w:rsidP="001741A7">
      <w:pPr>
        <w:numPr>
          <w:ilvl w:val="0"/>
          <w:numId w:val="1"/>
        </w:numPr>
        <w:jc w:val="both"/>
      </w:pPr>
      <w:r w:rsidRPr="00340E4C">
        <w:t>ekonomika je uzavřená</w:t>
      </w:r>
    </w:p>
    <w:p w:rsidR="00783598" w:rsidRPr="00340E4C" w:rsidRDefault="00783598" w:rsidP="001741A7">
      <w:pPr>
        <w:numPr>
          <w:ilvl w:val="0"/>
          <w:numId w:val="1"/>
        </w:numPr>
        <w:jc w:val="both"/>
      </w:pPr>
      <w:r w:rsidRPr="00340E4C">
        <w:t>neexistuje opotřebení kapitálu</w:t>
      </w:r>
    </w:p>
    <w:p w:rsidR="00783598" w:rsidRPr="00340E4C" w:rsidRDefault="00783598">
      <w:pPr>
        <w:jc w:val="both"/>
      </w:pPr>
    </w:p>
    <w:p w:rsidR="00783598" w:rsidRPr="00340E4C" w:rsidRDefault="00783598">
      <w:pPr>
        <w:jc w:val="both"/>
      </w:pPr>
      <w:r w:rsidRPr="00340E4C">
        <w:t xml:space="preserve">Pro agregátní výdaje </w:t>
      </w:r>
      <w:r w:rsidR="008D4F71">
        <w:t xml:space="preserve"> </w:t>
      </w:r>
      <w:r w:rsidRPr="00340E4C">
        <w:t>platí:</w:t>
      </w:r>
    </w:p>
    <w:p w:rsidR="00917420" w:rsidRPr="00340E4C" w:rsidRDefault="00917420">
      <w:pPr>
        <w:jc w:val="both"/>
      </w:pPr>
      <w:r w:rsidRPr="00340E4C">
        <w:t>Produkt = důchod</w:t>
      </w:r>
    </w:p>
    <w:p w:rsidR="00783598" w:rsidRPr="00340E4C" w:rsidRDefault="00783598">
      <w:pPr>
        <w:jc w:val="both"/>
      </w:pPr>
      <w:r w:rsidRPr="00340E4C">
        <w:t>AE=C+I=AD</w:t>
      </w:r>
    </w:p>
    <w:p w:rsidR="00917420" w:rsidRPr="00340E4C" w:rsidRDefault="00917420">
      <w:pPr>
        <w:jc w:val="both"/>
      </w:pPr>
      <w:r w:rsidRPr="00340E4C">
        <w:t>C = spotřeba</w:t>
      </w:r>
    </w:p>
    <w:p w:rsidR="00917420" w:rsidRPr="00340E4C" w:rsidRDefault="00917420">
      <w:pPr>
        <w:jc w:val="both"/>
      </w:pPr>
      <w:r w:rsidRPr="00340E4C">
        <w:t>I = investice = úspory</w:t>
      </w:r>
    </w:p>
    <w:p w:rsidR="00783598" w:rsidRPr="00340E4C" w:rsidRDefault="00783598">
      <w:pPr>
        <w:jc w:val="both"/>
      </w:pPr>
      <w:r w:rsidRPr="00340E4C">
        <w:t>AE = aggregate expenditures</w:t>
      </w:r>
      <w:r w:rsidR="00917420" w:rsidRPr="00340E4C">
        <w:t xml:space="preserve">, agregátní výdaje </w:t>
      </w:r>
    </w:p>
    <w:p w:rsidR="00783598" w:rsidRPr="00340E4C" w:rsidRDefault="00783598">
      <w:pPr>
        <w:jc w:val="both"/>
      </w:pPr>
      <w:r w:rsidRPr="00340E4C">
        <w:t>AD = aggregate demand</w:t>
      </w:r>
      <w:r w:rsidR="00917420" w:rsidRPr="00340E4C">
        <w:t xml:space="preserve">, agregátní poptávka, uskutečněné výdaje domácností a firem musejí se rovnat jejich příjmům </w:t>
      </w:r>
    </w:p>
    <w:p w:rsidR="00783598" w:rsidRPr="00340E4C" w:rsidRDefault="00783598">
      <w:pPr>
        <w:jc w:val="both"/>
      </w:pPr>
    </w:p>
    <w:p w:rsidR="00783598" w:rsidRPr="00340E4C" w:rsidRDefault="00783598">
      <w:pPr>
        <w:jc w:val="both"/>
      </w:pPr>
      <w:r w:rsidRPr="00340E4C">
        <w:t xml:space="preserve">Aby nastala </w:t>
      </w:r>
      <w:r w:rsidRPr="00340E4C">
        <w:rPr>
          <w:b/>
        </w:rPr>
        <w:t>rovnováha</w:t>
      </w:r>
      <w:r w:rsidRPr="00340E4C">
        <w:t>, musí platit, že produkt rovná se poptávce:</w:t>
      </w:r>
    </w:p>
    <w:p w:rsidR="00783598" w:rsidRPr="00340E4C" w:rsidRDefault="00783598">
      <w:pPr>
        <w:jc w:val="both"/>
      </w:pPr>
      <w:r w:rsidRPr="00340E4C">
        <w:t>Y=AD=C+I</w:t>
      </w:r>
    </w:p>
    <w:p w:rsidR="00783598" w:rsidRPr="00340E4C" w:rsidRDefault="00783598">
      <w:pPr>
        <w:jc w:val="both"/>
      </w:pPr>
      <w:r w:rsidRPr="00340E4C">
        <w:t>(Vyrobí-li firmy více, než je poptáváno, zůstane část produkce v neprodejných zásobách).</w:t>
      </w:r>
    </w:p>
    <w:p w:rsidR="00783598" w:rsidRPr="00340E4C" w:rsidRDefault="00783598">
      <w:pPr>
        <w:jc w:val="both"/>
        <w:rPr>
          <w:b/>
        </w:rPr>
      </w:pPr>
      <w:r w:rsidRPr="00340E4C">
        <w:rPr>
          <w:b/>
        </w:rPr>
        <w:t xml:space="preserve">Odtud dále budeme používat pro GDP písmeno Y </w:t>
      </w:r>
    </w:p>
    <w:p w:rsidR="00783598" w:rsidRPr="00340E4C" w:rsidRDefault="00783598">
      <w:pPr>
        <w:jc w:val="both"/>
      </w:pPr>
    </w:p>
    <w:p w:rsidR="00783598" w:rsidRPr="00340E4C" w:rsidRDefault="00783598">
      <w:pPr>
        <w:jc w:val="both"/>
      </w:pPr>
      <w:r w:rsidRPr="00340E4C">
        <w:t>Poptávka nebo agregátní výdaje sestávají ze dvou součástí: C (comsuption) a I (investment). Na čem závisí tyto dvě veličiny?</w:t>
      </w:r>
      <w:r w:rsidR="00917420" w:rsidRPr="00340E4C">
        <w:t xml:space="preserve"> Jaké nezávislé proměnné jsou závislou proměnnou? </w:t>
      </w:r>
    </w:p>
    <w:p w:rsidR="00783598" w:rsidRDefault="00783598">
      <w:pPr>
        <w:jc w:val="both"/>
      </w:pPr>
    </w:p>
    <w:p w:rsidR="00783598" w:rsidRPr="00340E4C" w:rsidRDefault="00783598" w:rsidP="00636A7A">
      <w:pPr>
        <w:pStyle w:val="berschrift2"/>
      </w:pPr>
      <w:r w:rsidRPr="00340E4C">
        <w:t>Spotřební funkce</w:t>
      </w:r>
    </w:p>
    <w:p w:rsidR="00783598" w:rsidRPr="00340E4C" w:rsidRDefault="00783598">
      <w:r w:rsidRPr="00340E4C">
        <w:t>Spotřeba je funkcí důchodu:</w:t>
      </w:r>
    </w:p>
    <w:p w:rsidR="00783598" w:rsidRPr="00340E4C" w:rsidRDefault="00783598">
      <w:r w:rsidRPr="00340E4C">
        <w:t>C=f(Y)</w:t>
      </w:r>
    </w:p>
    <w:p w:rsidR="00783598" w:rsidRPr="00340E4C" w:rsidRDefault="00783598">
      <w:r w:rsidRPr="00340E4C">
        <w:t>Předpokládáme-li, že funkce je lineární, můžeme tvrdit, že</w:t>
      </w:r>
    </w:p>
    <w:p w:rsidR="00783598" w:rsidRPr="00340E4C" w:rsidRDefault="00783598">
      <w:r w:rsidRPr="00340E4C">
        <w:rPr>
          <w:position w:val="-10"/>
        </w:rPr>
        <w:object w:dxaOrig="1280" w:dyaOrig="360">
          <v:shape id="_x0000_i1030" type="#_x0000_t75" style="width:63.75pt;height:18.75pt" o:ole="">
            <v:imagedata r:id="rId28" o:title=""/>
          </v:shape>
          <o:OLEObject Type="Embed" ProgID="Equation.3" ShapeID="_x0000_i1030" DrawAspect="Content" ObjectID="_1674728776" r:id="rId29"/>
        </w:object>
      </w:r>
    </w:p>
    <w:p w:rsidR="00783598" w:rsidRPr="00340E4C" w:rsidRDefault="00783598">
      <w:r w:rsidRPr="00340E4C">
        <w:t>C</w:t>
      </w:r>
      <w:r w:rsidRPr="00340E4C">
        <w:rPr>
          <w:vertAlign w:val="subscript"/>
        </w:rPr>
        <w:t>A</w:t>
      </w:r>
      <w:r w:rsidRPr="00340E4C">
        <w:t xml:space="preserve"> = autonomní spotřební výdaje, nezávislé na velikosti důchodu. Existují, i když se důchod rovná nule</w:t>
      </w:r>
    </w:p>
    <w:p w:rsidR="00783598" w:rsidRPr="00340E4C" w:rsidRDefault="00783598">
      <w:r w:rsidRPr="00340E4C">
        <w:t>C</w:t>
      </w:r>
      <w:r w:rsidRPr="00340E4C">
        <w:rPr>
          <w:vertAlign w:val="subscript"/>
        </w:rPr>
        <w:t>I</w:t>
      </w:r>
      <w:r w:rsidRPr="00340E4C">
        <w:t xml:space="preserve"> = indukované spotřební výdaje, jsou funkcí důchodu.</w:t>
      </w:r>
    </w:p>
    <w:p w:rsidR="00783598" w:rsidRPr="00340E4C" w:rsidRDefault="00783598"/>
    <w:p w:rsidR="00783598" w:rsidRPr="00340E4C" w:rsidRDefault="00783598">
      <w:pPr>
        <w:jc w:val="both"/>
      </w:pPr>
      <w:r w:rsidRPr="00340E4C">
        <w:t xml:space="preserve">Jedním z důležitých rozdílů v chápání spotřební funkce je přístup ke keynesiánskému výkladu spotřební funkce. Keynes tvrdil, že podíl spotřeby na důchodu s růstem důchodu klesá a že je úkolem hospodářské politiky doplnit tuto poptávkovou mezeru vládními výdaji. Odůvodněním tohoto postupu může být následující graf:  </w:t>
      </w:r>
    </w:p>
    <w:p w:rsidR="00655681" w:rsidRPr="00340E4C" w:rsidRDefault="00655681">
      <w:pPr>
        <w:jc w:val="both"/>
      </w:pPr>
    </w:p>
    <w:p w:rsidR="00655681" w:rsidRPr="00340E4C" w:rsidRDefault="00655681">
      <w:pPr>
        <w:jc w:val="both"/>
        <w:rPr>
          <w:b/>
        </w:rPr>
      </w:pPr>
      <w:r w:rsidRPr="00340E4C">
        <w:rPr>
          <w:b/>
        </w:rPr>
        <w:t>Problémem je, že veličiny měří</w:t>
      </w:r>
      <w:r w:rsidR="00036EE7">
        <w:rPr>
          <w:b/>
        </w:rPr>
        <w:t>m</w:t>
      </w:r>
      <w:r w:rsidRPr="00340E4C">
        <w:rPr>
          <w:b/>
        </w:rPr>
        <w:t>e penězi, ale peníze samy se také mění.</w:t>
      </w:r>
      <w:r w:rsidR="00E23E01" w:rsidRPr="00340E4C">
        <w:rPr>
          <w:b/>
        </w:rPr>
        <w:t xml:space="preserve"> Jejich hodnota kolísá.</w:t>
      </w:r>
    </w:p>
    <w:p w:rsidR="00783598" w:rsidRPr="00340E4C" w:rsidRDefault="0033114D">
      <w:pPr>
        <w:jc w:val="center"/>
      </w:pPr>
      <w:r w:rsidRPr="00340E4C">
        <w:rPr>
          <w:noProof/>
          <w:lang w:val="de-DE" w:eastAsia="de-DE"/>
        </w:rPr>
        <w:lastRenderedPageBreak/>
        <w:drawing>
          <wp:inline distT="0" distB="0" distL="0" distR="0" wp14:anchorId="7BC5A7C8" wp14:editId="68C29ADD">
            <wp:extent cx="3752423" cy="3876675"/>
            <wp:effectExtent l="0" t="0" r="635" b="0"/>
            <wp:docPr id="107" name="obrázek 107" descr="Spotřební funkce, úsporová funkce a rovnovážný produ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potřební funkce, úsporová funkce a rovnovážný produk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63219" cy="3887828"/>
                    </a:xfrm>
                    <a:prstGeom prst="rect">
                      <a:avLst/>
                    </a:prstGeom>
                    <a:noFill/>
                    <a:ln>
                      <a:noFill/>
                    </a:ln>
                  </pic:spPr>
                </pic:pic>
              </a:graphicData>
            </a:graphic>
          </wp:inline>
        </w:drawing>
      </w:r>
    </w:p>
    <w:p w:rsidR="00783598" w:rsidRPr="00340E4C" w:rsidRDefault="00783598">
      <w:r w:rsidRPr="00340E4C">
        <w:t xml:space="preserve">   </w:t>
      </w:r>
    </w:p>
    <w:p w:rsidR="00783598" w:rsidRPr="00340E4C" w:rsidRDefault="00783598">
      <w:pPr>
        <w:jc w:val="both"/>
      </w:pPr>
      <w:r w:rsidRPr="00340E4C">
        <w:t>Ve skutečnosti se lineární předpoklad nepotvrdil, spotřeba roste rychleji než lineárně a její podíl na důchodu se zvyšuje. To poskytlo argumenty antikeynesiáncům. Dnes se k vysvětlení průběhu závislosti spotřeby na důchodu používají například tyto modely:</w:t>
      </w:r>
    </w:p>
    <w:p w:rsidR="00783598" w:rsidRPr="00340E4C" w:rsidRDefault="00783598" w:rsidP="001741A7">
      <w:pPr>
        <w:numPr>
          <w:ilvl w:val="0"/>
          <w:numId w:val="13"/>
        </w:numPr>
        <w:jc w:val="both"/>
      </w:pPr>
      <w:r w:rsidRPr="00340E4C">
        <w:rPr>
          <w:b/>
        </w:rPr>
        <w:t>Fisherův</w:t>
      </w:r>
      <w:r w:rsidRPr="00340E4C">
        <w:rPr>
          <w:rStyle w:val="Funotenzeichen"/>
          <w:b/>
        </w:rPr>
        <w:footnoteReference w:id="2"/>
      </w:r>
      <w:r w:rsidRPr="00340E4C">
        <w:rPr>
          <w:b/>
        </w:rPr>
        <w:t xml:space="preserve"> model mezičasové volby</w:t>
      </w:r>
      <w:r w:rsidRPr="00340E4C">
        <w:t>: člověk má na zřeteli celý svůj život, má představu, jakou bude  mít mzdu v aktivním věku a jaký ho čeká starobní důchod a stejně tak plánuje celoživotně velké výdaje. Podle těchto představ dělí svůj příjem na okamžitou spotřebu a spotřebu budoucí. Dělí jej tak, aby celková čistá současná hodnota byla co nejvyšší, tj. aby kombinace současné a budoucí spotřeby dosahovala na nejvyšší indiferenční křivku.</w:t>
      </w:r>
    </w:p>
    <w:p w:rsidR="00783598" w:rsidRPr="00340E4C" w:rsidRDefault="00783598" w:rsidP="001741A7">
      <w:pPr>
        <w:numPr>
          <w:ilvl w:val="0"/>
          <w:numId w:val="13"/>
        </w:numPr>
        <w:jc w:val="both"/>
      </w:pPr>
      <w:r w:rsidRPr="00340E4C">
        <w:rPr>
          <w:b/>
        </w:rPr>
        <w:t>Modiglianiho</w:t>
      </w:r>
      <w:r w:rsidRPr="00340E4C">
        <w:rPr>
          <w:rStyle w:val="Funotenzeichen"/>
          <w:b/>
        </w:rPr>
        <w:footnoteReference w:id="3"/>
      </w:r>
      <w:r w:rsidRPr="00340E4C">
        <w:rPr>
          <w:b/>
        </w:rPr>
        <w:t xml:space="preserve"> hypotéza životního cyklu</w:t>
      </w:r>
      <w:r w:rsidRPr="00340E4C">
        <w:t>: člověk chce mít po celý život stejnou spotřebu a musí zohlednit kolísání a výpadky příjmů.</w:t>
      </w:r>
    </w:p>
    <w:p w:rsidR="00783598" w:rsidRPr="00340E4C" w:rsidRDefault="00783598" w:rsidP="001741A7">
      <w:pPr>
        <w:numPr>
          <w:ilvl w:val="0"/>
          <w:numId w:val="13"/>
        </w:numPr>
        <w:jc w:val="both"/>
      </w:pPr>
      <w:r w:rsidRPr="00340E4C">
        <w:rPr>
          <w:b/>
        </w:rPr>
        <w:t>Friedmannova</w:t>
      </w:r>
      <w:r w:rsidRPr="00340E4C">
        <w:rPr>
          <w:rStyle w:val="Funotenzeichen"/>
          <w:b/>
        </w:rPr>
        <w:footnoteReference w:id="4"/>
      </w:r>
      <w:r w:rsidRPr="00340E4C">
        <w:rPr>
          <w:b/>
        </w:rPr>
        <w:t xml:space="preserve"> hypotéza permanentního důchodu</w:t>
      </w:r>
      <w:r w:rsidRPr="00340E4C">
        <w:t xml:space="preserve">: domácnost nezvyšuje svou spotřebu vždy, když vzroste její důchod, protože důležité je, jestli důchod vzrostl permanentně nebo přechodně. Vzroste-li někomu plat a jeho pracovní místo se zdá dlouhodobě udržitelné, je to permanentní růst příjmu. Pokud má farmář jeden rok neočekávanou úrodu, nebo vyhraje-li někdo v loterii, je to jednorázové zvýšení důchodu a nemělo by se promítnout stejným nárůstem spotřeby. Mezi těmito dvěma póly existuje mnoho přechodných stádií.  </w:t>
      </w:r>
    </w:p>
    <w:p w:rsidR="00783598" w:rsidRPr="00340E4C" w:rsidRDefault="00783598" w:rsidP="00636A7A">
      <w:pPr>
        <w:pStyle w:val="berschrift2"/>
      </w:pPr>
      <w:r w:rsidRPr="00340E4C">
        <w:t>Funkce úspor</w:t>
      </w:r>
    </w:p>
    <w:p w:rsidR="00783598" w:rsidRPr="00340E4C" w:rsidRDefault="00783598">
      <w:pPr>
        <w:jc w:val="both"/>
      </w:pPr>
      <w:r w:rsidRPr="00340E4C">
        <w:t xml:space="preserve">Investice představují poptávku po úsporách, neboli zapůjčitelných fondech a úspory představují nabídku zapůjčitelných fondů. Platí stejně jako v mikroekonomii, že objem nabídky a poptávky je funkcí ceny, v případě úspor je cenou reálná úroková míra. </w:t>
      </w:r>
    </w:p>
    <w:p w:rsidR="00783598" w:rsidRPr="00340E4C" w:rsidRDefault="00783598"/>
    <w:p w:rsidR="00783598" w:rsidRPr="00340E4C" w:rsidRDefault="00783598">
      <w:r w:rsidRPr="00340E4C">
        <w:lastRenderedPageBreak/>
        <w:t>Obdobně jako spotřeba, j jsou úspory funkcí důchodu:</w:t>
      </w:r>
    </w:p>
    <w:p w:rsidR="00783598" w:rsidRPr="00340E4C" w:rsidRDefault="00783598">
      <w:r w:rsidRPr="00340E4C">
        <w:t>S=f(Y)</w:t>
      </w:r>
    </w:p>
    <w:p w:rsidR="00783598" w:rsidRPr="00340E4C" w:rsidRDefault="00783598">
      <w:r w:rsidRPr="00340E4C">
        <w:t xml:space="preserve">S = savings </w:t>
      </w:r>
    </w:p>
    <w:p w:rsidR="00783598" w:rsidRPr="00340E4C" w:rsidRDefault="00783598">
      <w:r w:rsidRPr="00340E4C">
        <w:rPr>
          <w:position w:val="-10"/>
        </w:rPr>
        <w:object w:dxaOrig="1320" w:dyaOrig="340">
          <v:shape id="_x0000_i1031" type="#_x0000_t75" style="width:66.75pt;height:18.75pt" o:ole="">
            <v:imagedata r:id="rId31" o:title=""/>
          </v:shape>
          <o:OLEObject Type="Embed" ProgID="Equation.3" ShapeID="_x0000_i1031" DrawAspect="Content" ObjectID="_1674728777" r:id="rId32"/>
        </w:object>
      </w:r>
    </w:p>
    <w:p w:rsidR="00783598" w:rsidRPr="00340E4C" w:rsidRDefault="00783598">
      <w:r w:rsidRPr="00340E4C">
        <w:t>S</w:t>
      </w:r>
      <w:r w:rsidRPr="00340E4C">
        <w:rPr>
          <w:vertAlign w:val="subscript"/>
        </w:rPr>
        <w:t>A</w:t>
      </w:r>
      <w:r w:rsidRPr="00340E4C">
        <w:t xml:space="preserve"> = autonomní úspory, když je důchod roven nule, musejí pokrýt autonomní spotřebu </w:t>
      </w:r>
    </w:p>
    <w:p w:rsidR="00783598" w:rsidRPr="00340E4C" w:rsidRDefault="00783598">
      <w:r w:rsidRPr="00340E4C">
        <w:t>S</w:t>
      </w:r>
      <w:r w:rsidRPr="00340E4C">
        <w:rPr>
          <w:vertAlign w:val="subscript"/>
        </w:rPr>
        <w:t>I</w:t>
      </w:r>
      <w:r w:rsidRPr="00340E4C">
        <w:t xml:space="preserve"> = indukované úspory, závisejí na výši důchodu</w:t>
      </w:r>
    </w:p>
    <w:p w:rsidR="00783598" w:rsidRPr="00340E4C" w:rsidRDefault="00783598">
      <w:pPr>
        <w:jc w:val="both"/>
      </w:pPr>
      <w:r w:rsidRPr="00340E4C">
        <w:t>Rozdíly ve sklonu k úsporám často nelze vysvětlit úrovní důchodu, ani maximalizací celoživotního užitku. Existují velké rozdíly v kulturách. Japonci i Číňané mají tradičně mnohem větší sklon k úsporám než Američané, Britové nebo Australané.</w:t>
      </w:r>
    </w:p>
    <w:p w:rsidR="00783598" w:rsidRPr="00340E4C" w:rsidRDefault="00783598"/>
    <w:p w:rsidR="00783598" w:rsidRPr="00340E4C" w:rsidRDefault="00783598">
      <w:pPr>
        <w:jc w:val="both"/>
      </w:pPr>
      <w:r w:rsidRPr="00340E4C">
        <w:t>Jestliže jsou úspory vloženy do firem jako investice, vyvolají růst nabídky statků (abstrahujeme od amortizace, proto veškeré investice vedou k růstu objemu mrtvého kapitálu), ale i poptávky po statcích. Tento efekt měříme investičním multiplikátorem</w:t>
      </w:r>
      <w:r w:rsidR="000C4ADA" w:rsidRPr="00340E4C">
        <w:t>.</w:t>
      </w:r>
    </w:p>
    <w:p w:rsidR="00783598" w:rsidRPr="00340E4C" w:rsidRDefault="00783598">
      <w:pPr>
        <w:jc w:val="both"/>
      </w:pPr>
    </w:p>
    <w:p w:rsidR="000C4ADA" w:rsidRPr="00340E4C" w:rsidRDefault="000C4ADA">
      <w:pPr>
        <w:jc w:val="both"/>
      </w:pPr>
      <w:r w:rsidRPr="00340E4C">
        <w:rPr>
          <w:b/>
          <w:u w:val="single"/>
        </w:rPr>
        <w:t>Investiční multiplikátor:</w:t>
      </w:r>
      <w:r w:rsidRPr="00340E4C">
        <w:t xml:space="preserve"> </w:t>
      </w:r>
      <w:r w:rsidRPr="00340E4C">
        <w:rPr>
          <w:b/>
        </w:rPr>
        <w:t>je koeficient, kterým je třeba násobit celkový přírůstek investic, abychom dostali jimi vyvolaný přírůstek důchodu</w:t>
      </w:r>
      <w:r w:rsidRPr="00340E4C">
        <w:t>.</w:t>
      </w:r>
      <w:r w:rsidR="0025749A">
        <w:t xml:space="preserve"> (převrácená hodnota mezního sklonu k úsporám)</w:t>
      </w:r>
    </w:p>
    <w:p w:rsidR="000C4ADA" w:rsidRPr="00340E4C" w:rsidRDefault="000C4ADA">
      <w:pPr>
        <w:jc w:val="both"/>
      </w:pPr>
    </w:p>
    <w:p w:rsidR="00783598" w:rsidRPr="00340E4C" w:rsidRDefault="00783598" w:rsidP="00DF63D4">
      <w:pPr>
        <w:jc w:val="both"/>
      </w:pPr>
      <w:r w:rsidRPr="00340E4C">
        <w:rPr>
          <w:position w:val="-24"/>
        </w:rPr>
        <w:object w:dxaOrig="940" w:dyaOrig="620">
          <v:shape id="_x0000_i1032" type="#_x0000_t75" style="width:47.25pt;height:31.5pt" o:ole="">
            <v:imagedata r:id="rId33" o:title=""/>
          </v:shape>
          <o:OLEObject Type="Embed" ProgID="Equation.3" ShapeID="_x0000_i1032" DrawAspect="Content" ObjectID="_1674728778" r:id="rId34"/>
        </w:object>
      </w:r>
    </w:p>
    <w:p w:rsidR="00783598" w:rsidRPr="00340E4C" w:rsidRDefault="00783598" w:rsidP="00DF63D4">
      <w:pPr>
        <w:jc w:val="both"/>
      </w:pPr>
      <w:r w:rsidRPr="00340E4C">
        <w:t xml:space="preserve"> Kde 1</w:t>
      </w:r>
      <w:r w:rsidR="000C4ADA" w:rsidRPr="00340E4C">
        <w:t xml:space="preserve"> – </w:t>
      </w:r>
      <w:r w:rsidRPr="00340E4C">
        <w:t>c</w:t>
      </w:r>
      <w:r w:rsidR="000C4ADA" w:rsidRPr="00340E4C">
        <w:t xml:space="preserve"> </w:t>
      </w:r>
      <w:r w:rsidRPr="00340E4C">
        <w:t>=</w:t>
      </w:r>
      <w:r w:rsidR="000C4ADA" w:rsidRPr="00340E4C">
        <w:t xml:space="preserve"> </w:t>
      </w:r>
      <w:r w:rsidRPr="00340E4C">
        <w:t>s</w:t>
      </w:r>
    </w:p>
    <w:p w:rsidR="00783598" w:rsidRPr="00340E4C" w:rsidRDefault="00783598" w:rsidP="00DF63D4">
      <w:pPr>
        <w:jc w:val="both"/>
      </w:pPr>
      <w:r w:rsidRPr="00340E4C">
        <w:t>c = mezní sklon ke spotřebě, neboli elasticita</w:t>
      </w:r>
      <w:r w:rsidR="00FE185B" w:rsidRPr="00340E4C">
        <w:t xml:space="preserve">: </w:t>
      </w:r>
      <m:oMath>
        <m:r>
          <w:rPr>
            <w:rFonts w:ascii="Cambria Math" w:hAnsi="Cambria Math"/>
          </w:rPr>
          <m:t>c´=</m:t>
        </m:r>
        <m:f>
          <m:fPr>
            <m:ctrlPr>
              <w:rPr>
                <w:rFonts w:ascii="Cambria Math" w:hAnsi="Cambria Math"/>
                <w:i/>
              </w:rPr>
            </m:ctrlPr>
          </m:fPr>
          <m:num>
            <m:r>
              <m:rPr>
                <m:sty m:val="p"/>
              </m:rPr>
              <w:rPr>
                <w:rFonts w:ascii="Cambria Math" w:hAnsi="Cambria Math"/>
              </w:rPr>
              <m:t>ΔC</m:t>
            </m:r>
          </m:num>
          <m:den>
            <m:r>
              <m:rPr>
                <m:sty m:val="p"/>
              </m:rPr>
              <w:rPr>
                <w:rFonts w:ascii="Cambria Math" w:hAnsi="Cambria Math"/>
              </w:rPr>
              <m:t>ΔY</m:t>
            </m:r>
          </m:den>
        </m:f>
      </m:oMath>
    </w:p>
    <w:p w:rsidR="00783598" w:rsidRPr="00340E4C" w:rsidRDefault="00783598" w:rsidP="00DF63D4">
      <w:pPr>
        <w:jc w:val="both"/>
      </w:pPr>
      <w:r w:rsidRPr="00340E4C">
        <w:t xml:space="preserve">s = mezní sklon k úsporám, neboli elasticita </w:t>
      </w:r>
    </w:p>
    <w:p w:rsidR="00783598" w:rsidRPr="00340E4C" w:rsidRDefault="00783598" w:rsidP="00DF63D4">
      <w:pPr>
        <w:jc w:val="both"/>
      </w:pPr>
    </w:p>
    <w:p w:rsidR="00783598" w:rsidRPr="00340E4C" w:rsidRDefault="00783598" w:rsidP="00DF63D4">
      <w:pPr>
        <w:jc w:val="both"/>
      </w:pPr>
      <w:r w:rsidRPr="00340E4C">
        <w:t>Platí, že:</w:t>
      </w:r>
    </w:p>
    <w:p w:rsidR="00783598" w:rsidRPr="00340E4C" w:rsidRDefault="00783598" w:rsidP="00DF63D4">
      <w:pPr>
        <w:jc w:val="both"/>
      </w:pPr>
      <w:r w:rsidRPr="00340E4C">
        <w:rPr>
          <w:position w:val="-10"/>
        </w:rPr>
        <w:object w:dxaOrig="1200" w:dyaOrig="340">
          <v:shape id="_x0000_i1033" type="#_x0000_t75" style="width:60pt;height:18.75pt" o:ole="">
            <v:imagedata r:id="rId35" o:title=""/>
          </v:shape>
          <o:OLEObject Type="Embed" ProgID="Equation.3" ShapeID="_x0000_i1033" DrawAspect="Content" ObjectID="_1674728779" r:id="rId36"/>
        </w:object>
      </w:r>
    </w:p>
    <w:p w:rsidR="00783598" w:rsidRPr="00340E4C" w:rsidRDefault="00783598" w:rsidP="00DF63D4">
      <w:pPr>
        <w:jc w:val="both"/>
      </w:pPr>
    </w:p>
    <w:p w:rsidR="000C4ADA" w:rsidRPr="00340E4C" w:rsidRDefault="000C4ADA" w:rsidP="00DF63D4">
      <w:r w:rsidRPr="00340E4C">
        <w:t>Nebo jinak:</w:t>
      </w:r>
    </w:p>
    <w:p w:rsidR="000C4ADA" w:rsidRPr="00340E4C" w:rsidRDefault="000C4ADA" w:rsidP="00DF63D4">
      <w:r w:rsidRPr="00340E4C">
        <w:t>delta Y = (1 / 1 – {delta C / delta YD})* delta I</w:t>
      </w:r>
      <w:r w:rsidRPr="00340E4C">
        <w:br/>
      </w:r>
      <w:r w:rsidRPr="00340E4C">
        <w:br/>
        <w:t>kde: delta C/delta YD … mezní sklon ke spotřebě</w:t>
      </w:r>
      <w:r w:rsidRPr="00340E4C">
        <w:br/>
        <w:t>I … investice</w:t>
      </w:r>
      <w:r w:rsidRPr="00340E4C">
        <w:br/>
        <w:t>Y … národní důchod</w:t>
      </w:r>
    </w:p>
    <w:p w:rsidR="00DF63D4" w:rsidRPr="00340E4C" w:rsidRDefault="00DF63D4" w:rsidP="000C4ADA">
      <w:pPr>
        <w:spacing w:line="384" w:lineRule="atLeast"/>
      </w:pPr>
    </w:p>
    <w:p w:rsidR="00DF63D4" w:rsidRPr="00340E4C" w:rsidRDefault="00DF63D4" w:rsidP="000C4ADA">
      <w:pPr>
        <w:spacing w:line="384" w:lineRule="atLeast"/>
      </w:pPr>
    </w:p>
    <w:p w:rsidR="00DF63D4" w:rsidRPr="00340E4C" w:rsidRDefault="00DF63D4" w:rsidP="000C4ADA">
      <w:pPr>
        <w:spacing w:line="384" w:lineRule="atLeast"/>
      </w:pPr>
    </w:p>
    <w:p w:rsidR="00DF63D4" w:rsidRPr="00340E4C" w:rsidRDefault="00DF63D4" w:rsidP="000C4ADA">
      <w:pPr>
        <w:spacing w:line="384" w:lineRule="atLeast"/>
      </w:pPr>
      <w:r w:rsidRPr="00340E4C">
        <w:t>Makroekonomické souvislosti investičního multiplikátoru:</w:t>
      </w:r>
    </w:p>
    <w:p w:rsidR="000C4ADA" w:rsidRPr="00340E4C" w:rsidRDefault="00DF63D4" w:rsidP="001741A7">
      <w:pPr>
        <w:numPr>
          <w:ilvl w:val="0"/>
          <w:numId w:val="1"/>
        </w:numPr>
        <w:jc w:val="both"/>
      </w:pPr>
      <w:r w:rsidRPr="00340E4C">
        <w:t>Přírůstek důchodu je vyšší než vložená investice v závislosti na sklonu k úsporám. Rostoucí sklon k úsporám sice zvyšuje potenciální zdroje pro investice, ale snižuje spotřebu, takže brzdí růst poptávky,</w:t>
      </w:r>
    </w:p>
    <w:p w:rsidR="00783598" w:rsidRPr="00340E4C" w:rsidRDefault="00783598" w:rsidP="001741A7">
      <w:pPr>
        <w:numPr>
          <w:ilvl w:val="0"/>
          <w:numId w:val="1"/>
        </w:numPr>
        <w:jc w:val="both"/>
        <w:rPr>
          <w:i/>
        </w:rPr>
      </w:pPr>
      <w:r w:rsidRPr="00340E4C">
        <w:rPr>
          <w:b/>
          <w:i/>
          <w:u w:val="single"/>
        </w:rPr>
        <w:t>Keynesiánský paradox spořivosti</w:t>
      </w:r>
      <w:r w:rsidRPr="00340E4C">
        <w:rPr>
          <w:i/>
        </w:rPr>
        <w:t>: zvýšení úspor domácností vede k poklesu produktu, protože úspory snižují nabídku</w:t>
      </w:r>
      <w:r w:rsidR="002F322B">
        <w:rPr>
          <w:i/>
        </w:rPr>
        <w:t xml:space="preserve"> </w:t>
      </w:r>
      <w:r w:rsidR="0025749A">
        <w:rPr>
          <w:i/>
        </w:rPr>
        <w:t xml:space="preserve">peněz </w:t>
      </w:r>
      <w:r w:rsidRPr="00340E4C">
        <w:rPr>
          <w:i/>
        </w:rPr>
        <w:t xml:space="preserve"> a tím nutí firmy méně vyrábět, aby bylo dosaženo rovnovážného produktu.</w:t>
      </w:r>
    </w:p>
    <w:p w:rsidR="00DF63D4" w:rsidRDefault="00DF63D4" w:rsidP="00DF63D4">
      <w:pPr>
        <w:jc w:val="both"/>
      </w:pPr>
    </w:p>
    <w:p w:rsidR="008D4F71" w:rsidRDefault="008D4F71" w:rsidP="008D4F71">
      <w:pPr>
        <w:pStyle w:val="berschrift3"/>
      </w:pPr>
      <w:r>
        <w:t>Odvození rovnovážného stavu ve dvousektorové ekonomice</w:t>
      </w:r>
    </w:p>
    <w:p w:rsidR="008D4F71" w:rsidRDefault="008D4F71" w:rsidP="00DF63D4">
      <w:pPr>
        <w:jc w:val="both"/>
      </w:pPr>
    </w:p>
    <w:p w:rsidR="008D4F71" w:rsidRDefault="001A3D48" w:rsidP="00DF63D4">
      <w:pPr>
        <w:jc w:val="both"/>
      </w:pPr>
      <w:r>
        <w:lastRenderedPageBreak/>
        <w:t xml:space="preserve">Aby ve (dvousektorové) ekonomice nastala rovnováha, musí být část důchodu určená na spotřebu spotřebována a část důchodu určená na úspory uspořena a investována. </w:t>
      </w:r>
      <w:r w:rsidR="008D4F71">
        <w:t>Předpokládáme</w:t>
      </w:r>
      <w:r>
        <w:t xml:space="preserve"> tedy</w:t>
      </w:r>
      <w:r w:rsidR="008D4F71">
        <w:t>, že se úspory rovnají investicím S = I</w:t>
      </w:r>
      <w:r>
        <w:t>. Proto</w:t>
      </w:r>
      <w:r w:rsidR="008D4F71">
        <w:t xml:space="preserve"> můžeme odvodit:</w:t>
      </w:r>
    </w:p>
    <w:p w:rsidR="008D4F71" w:rsidRDefault="008D4F71" w:rsidP="00DF63D4">
      <w:pPr>
        <w:jc w:val="both"/>
      </w:pPr>
    </w:p>
    <w:p w:rsidR="008D4F71" w:rsidRPr="001A3D48" w:rsidRDefault="008D4F71" w:rsidP="00DF63D4">
      <w:pPr>
        <w:jc w:val="both"/>
      </w:pPr>
      <m:oMathPara>
        <m:oMath>
          <m:r>
            <w:rPr>
              <w:rFonts w:ascii="Cambria Math" w:hAnsi="Cambria Math"/>
            </w:rPr>
            <m:t>Y=</m:t>
          </m:r>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+c×Y+I</m:t>
          </m:r>
        </m:oMath>
      </m:oMathPara>
    </w:p>
    <w:p w:rsidR="001A3D48" w:rsidRPr="001A3D48" w:rsidRDefault="001A3D48" w:rsidP="00DF63D4">
      <w:pPr>
        <w:jc w:val="both"/>
      </w:pPr>
      <m:oMathPara>
        <m:oMath>
          <m:r>
            <w:rPr>
              <w:rFonts w:ascii="Cambria Math" w:hAnsi="Cambria Math"/>
            </w:rPr>
            <m:t>Y-c×Y=</m:t>
          </m:r>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+I</m:t>
          </m:r>
        </m:oMath>
      </m:oMathPara>
    </w:p>
    <w:p w:rsidR="001A3D48" w:rsidRPr="001A3D48" w:rsidRDefault="006647E4" w:rsidP="00DF63D4">
      <w:pPr>
        <w:jc w:val="both"/>
      </w:pPr>
      <m:oMathPara>
        <m:oMath>
          <m:d>
            <m:dPr>
              <m:ctrlPr>
                <w:rPr>
                  <w:rFonts w:ascii="Cambria Math" w:hAnsi="Cambria Math"/>
                  <w:i/>
                </w:rPr>
              </m:ctrlPr>
            </m:dPr>
            <m:e>
              <m:r>
                <w:rPr>
                  <w:rFonts w:ascii="Cambria Math" w:hAnsi="Cambria Math"/>
                </w:rPr>
                <m:t>1-c</m:t>
              </m:r>
            </m:e>
          </m:d>
          <m:r>
            <w:rPr>
              <w:rFonts w:ascii="Cambria Math" w:hAnsi="Cambria Math"/>
            </w:rPr>
            <m:t>Y=</m:t>
          </m:r>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+I</m:t>
          </m:r>
        </m:oMath>
      </m:oMathPara>
    </w:p>
    <w:p w:rsidR="001A3D48" w:rsidRPr="001A3D48" w:rsidRDefault="001A3D48" w:rsidP="00DF63D4">
      <w:pPr>
        <w:jc w:val="both"/>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1-c</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+I)</m:t>
          </m:r>
        </m:oMath>
      </m:oMathPara>
    </w:p>
    <w:p w:rsidR="001A3D48" w:rsidRDefault="001A3D48" w:rsidP="00DF63D4">
      <w:pPr>
        <w:jc w:val="both"/>
      </w:pPr>
      <w:r>
        <w:t>Pouze, platí-li tato rovnice, je ekonomika v rovnovážném stavu.</w:t>
      </w:r>
    </w:p>
    <w:p w:rsidR="001A3D48" w:rsidRPr="00340E4C" w:rsidRDefault="001A3D48" w:rsidP="00DF63D4">
      <w:pPr>
        <w:jc w:val="both"/>
      </w:pPr>
    </w:p>
    <w:p w:rsidR="00783598" w:rsidRPr="00340E4C" w:rsidRDefault="00783598" w:rsidP="00636A7A">
      <w:pPr>
        <w:pStyle w:val="berschrift2"/>
      </w:pPr>
      <w:r w:rsidRPr="00340E4C">
        <w:t>Charakteristika třísektorové a čtyřsektorové ekonomiky</w:t>
      </w:r>
    </w:p>
    <w:p w:rsidR="00783598" w:rsidRPr="00340E4C" w:rsidRDefault="00783598"/>
    <w:p w:rsidR="00783598" w:rsidRPr="00340E4C" w:rsidRDefault="00783598">
      <w:pPr>
        <w:rPr>
          <w:b/>
        </w:rPr>
      </w:pPr>
      <w:r w:rsidRPr="00340E4C">
        <w:rPr>
          <w:b/>
        </w:rPr>
        <w:t>Třísektorová ekonomika sestává z těchto subjektů:</w:t>
      </w:r>
    </w:p>
    <w:p w:rsidR="00783598" w:rsidRPr="00340E4C" w:rsidRDefault="00783598" w:rsidP="001741A7">
      <w:pPr>
        <w:numPr>
          <w:ilvl w:val="0"/>
          <w:numId w:val="1"/>
        </w:numPr>
      </w:pPr>
      <w:r w:rsidRPr="00340E4C">
        <w:t>domácnosti</w:t>
      </w:r>
    </w:p>
    <w:p w:rsidR="00783598" w:rsidRPr="00340E4C" w:rsidRDefault="00783598" w:rsidP="001741A7">
      <w:pPr>
        <w:numPr>
          <w:ilvl w:val="0"/>
          <w:numId w:val="1"/>
        </w:numPr>
      </w:pPr>
      <w:r w:rsidRPr="00340E4C">
        <w:t>firmy</w:t>
      </w:r>
    </w:p>
    <w:p w:rsidR="00783598" w:rsidRPr="00340E4C" w:rsidRDefault="00783598" w:rsidP="001741A7">
      <w:pPr>
        <w:numPr>
          <w:ilvl w:val="0"/>
          <w:numId w:val="1"/>
        </w:numPr>
      </w:pPr>
      <w:r w:rsidRPr="00340E4C">
        <w:t>vláda (veřejný sektor) – jakou úlohu má vláda v ekonomice?</w:t>
      </w:r>
    </w:p>
    <w:p w:rsidR="00783598" w:rsidRPr="00340E4C" w:rsidRDefault="00783598"/>
    <w:p w:rsidR="00783598" w:rsidRPr="00340E4C" w:rsidRDefault="00783598">
      <w:r w:rsidRPr="00340E4C">
        <w:t>Agregátní poptávka: AD = C + I + G</w:t>
      </w:r>
    </w:p>
    <w:p w:rsidR="00783598" w:rsidRPr="00340E4C" w:rsidRDefault="00783598"/>
    <w:p w:rsidR="00783598" w:rsidRPr="00340E4C" w:rsidRDefault="00783598">
      <w:r w:rsidRPr="00340E4C">
        <w:t>Poptávka vlády je rozdílem mezi odvody od ostatních subjektů (T = taxes) a platbami jim (TR = transfer payments)</w:t>
      </w:r>
    </w:p>
    <w:p w:rsidR="00FC02A9" w:rsidRPr="00340E4C" w:rsidRDefault="00FC02A9"/>
    <w:p w:rsidR="00FC02A9" w:rsidRPr="00340E4C" w:rsidRDefault="00FC02A9">
      <w:r w:rsidRPr="00340E4C">
        <w:t>Rovnovážný produkt nastane, když:</w:t>
      </w:r>
    </w:p>
    <w:p w:rsidR="00783598" w:rsidRPr="00340E4C" w:rsidRDefault="00783598">
      <w:r w:rsidRPr="00340E4C">
        <w:t>C + I + G = AE = Y = C + S + (T-TR)</w:t>
      </w:r>
    </w:p>
    <w:p w:rsidR="00783598" w:rsidRPr="00340E4C" w:rsidRDefault="00783598">
      <w:r w:rsidRPr="00340E4C">
        <w:t>Veličina T-TR se musí promítnout do křivky celkové agregátní poptávky.</w:t>
      </w:r>
    </w:p>
    <w:p w:rsidR="00783598" w:rsidRPr="00340E4C" w:rsidRDefault="00783598">
      <w:r w:rsidRPr="00340E4C">
        <w:t>Daně mají části:</w:t>
      </w:r>
    </w:p>
    <w:p w:rsidR="00783598" w:rsidRPr="00340E4C" w:rsidRDefault="00783598" w:rsidP="001741A7">
      <w:pPr>
        <w:numPr>
          <w:ilvl w:val="0"/>
          <w:numId w:val="1"/>
        </w:numPr>
      </w:pPr>
      <w:r w:rsidRPr="00340E4C">
        <w:t>autonomní, nezávislou na výši důchodu (daň z nemovitostí, silniční) a</w:t>
      </w:r>
    </w:p>
    <w:p w:rsidR="00783598" w:rsidRPr="00340E4C" w:rsidRDefault="00783598" w:rsidP="001741A7">
      <w:pPr>
        <w:numPr>
          <w:ilvl w:val="0"/>
          <w:numId w:val="1"/>
        </w:numPr>
      </w:pPr>
      <w:r w:rsidRPr="00340E4C">
        <w:t>indukovanou výší důchodu (z příjmu, z přidané hodnoty a spotřební)</w:t>
      </w:r>
    </w:p>
    <w:p w:rsidR="00FC02A9" w:rsidRPr="00340E4C" w:rsidRDefault="00FC02A9"/>
    <w:p w:rsidR="00783598" w:rsidRPr="00340E4C" w:rsidRDefault="00783598">
      <w:pPr>
        <w:jc w:val="both"/>
      </w:pPr>
      <w:r w:rsidRPr="00340E4C">
        <w:t>Zvýšení vládních výdajů nebo transferových plateb zvyšuje agregátní poptávku, zvýšení výběru daní agregátní poptávku snižuje. Z těchto závislostí pochází myšlenka zvýšit agregátní poptávku a překonat krizi snížením daní a zvýšením vládních výdajů.</w:t>
      </w:r>
    </w:p>
    <w:p w:rsidR="00783598" w:rsidRPr="00340E4C" w:rsidRDefault="00783598">
      <w:pPr>
        <w:jc w:val="both"/>
      </w:pPr>
      <w:r w:rsidRPr="00340E4C">
        <w:t>Přebytek veřejných rozpočtů zvyšuje nabídku zapůjčitelných fondů, deficit veřejných rozpočtů zvyšuje poptávku po zapůjčitelných fondech.</w:t>
      </w:r>
    </w:p>
    <w:p w:rsidR="008A595E" w:rsidRPr="00340E4C" w:rsidRDefault="008A595E">
      <w:pPr>
        <w:jc w:val="both"/>
      </w:pPr>
    </w:p>
    <w:p w:rsidR="008A595E" w:rsidRDefault="00783598">
      <w:pPr>
        <w:jc w:val="both"/>
      </w:pPr>
      <w:r w:rsidRPr="00340E4C">
        <w:t xml:space="preserve">Podobně jako měl měly úspory multiplikační efekt na investice, mají multiplikační efekt i vládní výdaje nebo příjmy. </w:t>
      </w:r>
    </w:p>
    <w:p w:rsidR="005F6191" w:rsidRPr="00340E4C" w:rsidRDefault="005F6191">
      <w:pPr>
        <w:jc w:val="both"/>
      </w:pPr>
    </w:p>
    <w:p w:rsidR="00783598" w:rsidRPr="00340E4C" w:rsidRDefault="00783598">
      <w:pPr>
        <w:jc w:val="both"/>
      </w:pPr>
      <w:r w:rsidRPr="00340E4C">
        <w:rPr>
          <w:b/>
          <w:u w:val="single"/>
        </w:rPr>
        <w:t>Multiplikátor vládních výdajů</w:t>
      </w:r>
      <w:r w:rsidRPr="00340E4C">
        <w:t xml:space="preserve"> (chápeme jako spotřební výdaje) vypočteme:</w:t>
      </w:r>
    </w:p>
    <w:p w:rsidR="00783598" w:rsidRPr="00340E4C" w:rsidRDefault="00783598">
      <w:pPr>
        <w:jc w:val="both"/>
      </w:pPr>
      <w:r w:rsidRPr="00340E4C">
        <w:rPr>
          <w:position w:val="-28"/>
        </w:rPr>
        <w:object w:dxaOrig="2420" w:dyaOrig="660">
          <v:shape id="_x0000_i1034" type="#_x0000_t75" style="width:120.75pt;height:33pt" o:ole="">
            <v:imagedata r:id="rId37" o:title=""/>
          </v:shape>
          <o:OLEObject Type="Embed" ProgID="Equation.3" ShapeID="_x0000_i1034" DrawAspect="Content" ObjectID="_1674728780" r:id="rId38"/>
        </w:object>
      </w:r>
    </w:p>
    <w:p w:rsidR="00783598" w:rsidRPr="00340E4C" w:rsidRDefault="00783598">
      <w:pPr>
        <w:jc w:val="both"/>
      </w:pPr>
      <w:r w:rsidRPr="00340E4C">
        <w:t>t = sazba daně</w:t>
      </w:r>
    </w:p>
    <w:p w:rsidR="00783598" w:rsidRPr="00340E4C" w:rsidRDefault="00783598">
      <w:pPr>
        <w:jc w:val="both"/>
      </w:pPr>
    </w:p>
    <w:p w:rsidR="00783598" w:rsidRPr="00340E4C" w:rsidRDefault="00783598">
      <w:r w:rsidRPr="00340E4C">
        <w:t xml:space="preserve">Vyjádříme </w:t>
      </w:r>
      <w:r w:rsidRPr="00340E4C">
        <w:rPr>
          <w:position w:val="-28"/>
        </w:rPr>
        <w:object w:dxaOrig="2320" w:dyaOrig="660">
          <v:shape id="_x0000_i1035" type="#_x0000_t75" style="width:116.25pt;height:33pt" o:ole="">
            <v:imagedata r:id="rId39" o:title=""/>
          </v:shape>
          <o:OLEObject Type="Embed" ProgID="Equation.3" ShapeID="_x0000_i1035" DrawAspect="Content" ObjectID="_1674728781" r:id="rId40"/>
        </w:object>
      </w:r>
    </w:p>
    <w:p w:rsidR="00783598" w:rsidRPr="00340E4C" w:rsidRDefault="00783598"/>
    <w:p w:rsidR="00783598" w:rsidRPr="00340E4C" w:rsidRDefault="00783598">
      <w:r w:rsidRPr="00340E4C">
        <w:t xml:space="preserve">Neboli: </w:t>
      </w:r>
      <w:r w:rsidRPr="00340E4C">
        <w:rPr>
          <w:position w:val="-12"/>
        </w:rPr>
        <w:object w:dxaOrig="1460" w:dyaOrig="360">
          <v:shape id="_x0000_i1036" type="#_x0000_t75" style="width:72.75pt;height:18.75pt" o:ole="">
            <v:imagedata r:id="rId41" o:title=""/>
          </v:shape>
          <o:OLEObject Type="Embed" ProgID="Equation.3" ShapeID="_x0000_i1036" DrawAspect="Content" ObjectID="_1674728782" r:id="rId42"/>
        </w:object>
      </w:r>
    </w:p>
    <w:p w:rsidR="00783598" w:rsidRPr="00340E4C" w:rsidRDefault="00783598"/>
    <w:p w:rsidR="00FC02A9" w:rsidRPr="00340E4C" w:rsidRDefault="00FC02A9" w:rsidP="00FC02A9">
      <w:pPr>
        <w:jc w:val="both"/>
      </w:pPr>
      <w:r w:rsidRPr="00340E4C">
        <w:t>Vládní výdaje vyvolají větší spotřebu, než samy reprezentují. Opět záleží na sklonu ke spotřebě a úsporám. Přibývá však nový problém, jak zajistit, aby vládní výdaje byly vynaloženy na správném místě, protože vládní výdaje neprocházejí kontrolou trhu, reakcí poptávky a nabídky. Jejich poskytovatelé, veřejný sektor, nejsou za chybná rozhodnutí v alokaci zdrojů sankcionovány.</w:t>
      </w:r>
    </w:p>
    <w:p w:rsidR="00FC02A9" w:rsidRPr="00340E4C" w:rsidRDefault="00FC02A9"/>
    <w:p w:rsidR="00783598" w:rsidRPr="00340E4C" w:rsidRDefault="00783598">
      <w:pPr>
        <w:rPr>
          <w:i/>
        </w:rPr>
      </w:pPr>
      <w:r w:rsidRPr="00340E4C">
        <w:rPr>
          <w:i/>
        </w:rPr>
        <w:t>Obdobně bychom mohli analyzovat:</w:t>
      </w:r>
    </w:p>
    <w:p w:rsidR="00783598" w:rsidRPr="00340E4C" w:rsidRDefault="00783598" w:rsidP="001741A7">
      <w:pPr>
        <w:numPr>
          <w:ilvl w:val="0"/>
          <w:numId w:val="1"/>
        </w:numPr>
        <w:rPr>
          <w:i/>
        </w:rPr>
      </w:pPr>
      <w:r w:rsidRPr="00340E4C">
        <w:rPr>
          <w:i/>
        </w:rPr>
        <w:t>že transferové platby (chápeme jako dávky vyplacené z veřejných rozpočtů) jejich příjemci zčásti spotřebují a zčásti uspoří,</w:t>
      </w:r>
    </w:p>
    <w:p w:rsidR="00783598" w:rsidRPr="00340E4C" w:rsidRDefault="00783598" w:rsidP="001741A7">
      <w:pPr>
        <w:numPr>
          <w:ilvl w:val="0"/>
          <w:numId w:val="1"/>
        </w:numPr>
        <w:rPr>
          <w:i/>
        </w:rPr>
      </w:pPr>
      <w:r w:rsidRPr="00340E4C">
        <w:rPr>
          <w:i/>
        </w:rPr>
        <w:t>že multiplikační efekt mají autonomní daně</w:t>
      </w:r>
    </w:p>
    <w:p w:rsidR="00783598" w:rsidRPr="00340E4C" w:rsidRDefault="00783598" w:rsidP="001741A7">
      <w:pPr>
        <w:numPr>
          <w:ilvl w:val="0"/>
          <w:numId w:val="1"/>
        </w:numPr>
        <w:rPr>
          <w:i/>
        </w:rPr>
      </w:pPr>
      <w:r w:rsidRPr="00340E4C">
        <w:rPr>
          <w:i/>
        </w:rPr>
        <w:t>jaký vliv na rovnovážný produkt má změna sazby daně apod.</w:t>
      </w:r>
    </w:p>
    <w:p w:rsidR="00783598" w:rsidRPr="00340E4C" w:rsidRDefault="00783598"/>
    <w:p w:rsidR="00783598" w:rsidRPr="00340E4C" w:rsidRDefault="00783598">
      <w:pPr>
        <w:rPr>
          <w:b/>
        </w:rPr>
      </w:pPr>
      <w:r w:rsidRPr="00340E4C">
        <w:rPr>
          <w:b/>
        </w:rPr>
        <w:t>Čtyřsektorová ekonomika sestává z těchto sektorů:</w:t>
      </w:r>
    </w:p>
    <w:p w:rsidR="00783598" w:rsidRPr="00340E4C" w:rsidRDefault="00783598" w:rsidP="001741A7">
      <w:pPr>
        <w:numPr>
          <w:ilvl w:val="0"/>
          <w:numId w:val="1"/>
        </w:numPr>
      </w:pPr>
      <w:r w:rsidRPr="00340E4C">
        <w:t>domácnosti</w:t>
      </w:r>
    </w:p>
    <w:p w:rsidR="00783598" w:rsidRPr="00340E4C" w:rsidRDefault="00783598" w:rsidP="001741A7">
      <w:pPr>
        <w:numPr>
          <w:ilvl w:val="0"/>
          <w:numId w:val="1"/>
        </w:numPr>
      </w:pPr>
      <w:r w:rsidRPr="00340E4C">
        <w:t>firmy</w:t>
      </w:r>
    </w:p>
    <w:p w:rsidR="00783598" w:rsidRPr="00340E4C" w:rsidRDefault="00783598" w:rsidP="001741A7">
      <w:pPr>
        <w:numPr>
          <w:ilvl w:val="0"/>
          <w:numId w:val="1"/>
        </w:numPr>
      </w:pPr>
      <w:r w:rsidRPr="00340E4C">
        <w:t>vláda (veřejný sektor)</w:t>
      </w:r>
    </w:p>
    <w:p w:rsidR="00783598" w:rsidRPr="00340E4C" w:rsidRDefault="00783598" w:rsidP="001741A7">
      <w:pPr>
        <w:numPr>
          <w:ilvl w:val="0"/>
          <w:numId w:val="1"/>
        </w:numPr>
      </w:pPr>
      <w:r w:rsidRPr="00340E4C">
        <w:t>zahraniční obchod (vnější prostředí systému). Čím je ovlivněn zahraniční obchod?:</w:t>
      </w:r>
    </w:p>
    <w:p w:rsidR="00783598" w:rsidRPr="00340E4C" w:rsidRDefault="00783598" w:rsidP="001741A7">
      <w:pPr>
        <w:numPr>
          <w:ilvl w:val="1"/>
          <w:numId w:val="1"/>
        </w:numPr>
      </w:pPr>
      <w:r w:rsidRPr="00340E4C">
        <w:t>poměr tuzemské a zahraniční cenové hladiny</w:t>
      </w:r>
    </w:p>
    <w:p w:rsidR="00783598" w:rsidRPr="00340E4C" w:rsidRDefault="00783598" w:rsidP="001741A7">
      <w:pPr>
        <w:numPr>
          <w:ilvl w:val="1"/>
          <w:numId w:val="1"/>
        </w:numPr>
      </w:pPr>
      <w:r w:rsidRPr="00340E4C">
        <w:t>vládní podpory či restrikce zahraničního obchodu</w:t>
      </w:r>
    </w:p>
    <w:p w:rsidR="00783598" w:rsidRPr="00340E4C" w:rsidRDefault="00783598" w:rsidP="001741A7">
      <w:pPr>
        <w:numPr>
          <w:ilvl w:val="1"/>
          <w:numId w:val="1"/>
        </w:numPr>
      </w:pPr>
      <w:r w:rsidRPr="00340E4C">
        <w:t>preference spotřebitelů</w:t>
      </w:r>
    </w:p>
    <w:p w:rsidR="00783598" w:rsidRPr="00340E4C" w:rsidRDefault="00783598" w:rsidP="001741A7">
      <w:pPr>
        <w:numPr>
          <w:ilvl w:val="1"/>
          <w:numId w:val="1"/>
        </w:numPr>
      </w:pPr>
      <w:r w:rsidRPr="00340E4C">
        <w:t>měnový kurz</w:t>
      </w:r>
    </w:p>
    <w:p w:rsidR="00783598" w:rsidRPr="00340E4C" w:rsidRDefault="00783598"/>
    <w:p w:rsidR="00783598" w:rsidRPr="00340E4C" w:rsidRDefault="00783598">
      <w:r w:rsidRPr="00340E4C">
        <w:t>Jak se projeví pohyb statků, služeb a výrobních faktorů ven z ekonomiky a dovnitř do ní?</w:t>
      </w:r>
    </w:p>
    <w:p w:rsidR="00783598" w:rsidRPr="00340E4C" w:rsidRDefault="00783598">
      <w:r w:rsidRPr="00340E4C">
        <w:t>Agregátní poptávka závisí i na zahraničním obchodě:</w:t>
      </w:r>
    </w:p>
    <w:p w:rsidR="00783598" w:rsidRPr="00340E4C" w:rsidRDefault="00783598">
      <w:r w:rsidRPr="00340E4C">
        <w:rPr>
          <w:position w:val="-10"/>
        </w:rPr>
        <w:object w:dxaOrig="4280" w:dyaOrig="340">
          <v:shape id="_x0000_i1037" type="#_x0000_t75" style="width:213pt;height:18.75pt" o:ole="">
            <v:imagedata r:id="rId43" o:title=""/>
          </v:shape>
          <o:OLEObject Type="Embed" ProgID="Equation.3" ShapeID="_x0000_i1037" DrawAspect="Content" ObjectID="_1674728783" r:id="rId44"/>
        </w:object>
      </w:r>
    </w:p>
    <w:p w:rsidR="00783598" w:rsidRPr="00340E4C" w:rsidRDefault="00783598"/>
    <w:p w:rsidR="00AF2582" w:rsidRPr="00340E4C" w:rsidRDefault="00AF2582">
      <w:r w:rsidRPr="00340E4C">
        <w:t>Výsledek této funkce se projeví na obou stranách rovnice</w:t>
      </w:r>
    </w:p>
    <w:p w:rsidR="00AF2582" w:rsidRPr="00340E4C" w:rsidRDefault="00AF2582" w:rsidP="00AF2582">
      <w:r w:rsidRPr="00340E4C">
        <w:t>C + I + G = AE = Y = C + S + (T-TR)</w:t>
      </w:r>
    </w:p>
    <w:p w:rsidR="00AF2582" w:rsidRPr="00340E4C" w:rsidRDefault="00AF2582">
      <w:r w:rsidRPr="00340E4C">
        <w:t xml:space="preserve">a v případě nerovnováhy musí být vyrovnán, viz dále platební bilance. </w:t>
      </w:r>
    </w:p>
    <w:p w:rsidR="00AF2582" w:rsidRPr="00340E4C" w:rsidRDefault="00AF2582"/>
    <w:p w:rsidR="00783598" w:rsidRPr="00340E4C" w:rsidRDefault="00783598">
      <w:r w:rsidRPr="00340E4C">
        <w:t>A</w:t>
      </w:r>
      <w:r w:rsidRPr="00340E4C">
        <w:rPr>
          <w:vertAlign w:val="subscript"/>
        </w:rPr>
        <w:t>A</w:t>
      </w:r>
      <w:r w:rsidRPr="00340E4C">
        <w:t xml:space="preserve"> = autonomní výdaje</w:t>
      </w:r>
    </w:p>
    <w:p w:rsidR="00783598" w:rsidRPr="00340E4C" w:rsidRDefault="00783598">
      <w:r w:rsidRPr="00340E4C">
        <w:t>IM</w:t>
      </w:r>
      <w:r w:rsidRPr="00340E4C">
        <w:rPr>
          <w:vertAlign w:val="subscript"/>
        </w:rPr>
        <w:t>A</w:t>
      </w:r>
      <w:r w:rsidRPr="00340E4C">
        <w:t xml:space="preserve"> = autonomní dovoz, nezávislý na úrovni domácího důchodu</w:t>
      </w:r>
    </w:p>
    <w:p w:rsidR="00783598" w:rsidRPr="00340E4C" w:rsidRDefault="00783598">
      <w:r w:rsidRPr="00340E4C">
        <w:t>m = mezní sklon k importu, nárůst importu při růstu důchodu o jednotku</w:t>
      </w:r>
    </w:p>
    <w:p w:rsidR="00783598" w:rsidRPr="00340E4C" w:rsidRDefault="00783598">
      <w:r w:rsidRPr="00340E4C">
        <w:t>c = mezní sklon ke spotřebě</w:t>
      </w:r>
    </w:p>
    <w:p w:rsidR="00783598" w:rsidRPr="00340E4C" w:rsidRDefault="00783598"/>
    <w:p w:rsidR="00783598" w:rsidRPr="00340E4C" w:rsidRDefault="00783598">
      <w:r w:rsidRPr="00340E4C">
        <w:rPr>
          <w:b/>
        </w:rPr>
        <w:t>Zahraniční obchod se projevuje multiplikátorem otevřené ekonomiky</w:t>
      </w:r>
      <w:r w:rsidRPr="00340E4C">
        <w:t>:</w:t>
      </w:r>
    </w:p>
    <w:p w:rsidR="00783598" w:rsidRPr="00340E4C" w:rsidRDefault="00783598">
      <w:r w:rsidRPr="00340E4C">
        <w:rPr>
          <w:position w:val="-28"/>
        </w:rPr>
        <w:object w:dxaOrig="2079" w:dyaOrig="660">
          <v:shape id="_x0000_i1038" type="#_x0000_t75" style="width:105pt;height:33pt" o:ole="">
            <v:imagedata r:id="rId45" o:title=""/>
          </v:shape>
          <o:OLEObject Type="Embed" ProgID="Equation.3" ShapeID="_x0000_i1038" DrawAspect="Content" ObjectID="_1674728784" r:id="rId46"/>
        </w:object>
      </w:r>
    </w:p>
    <w:p w:rsidR="00783598" w:rsidRPr="00340E4C" w:rsidRDefault="00783598">
      <w:r w:rsidRPr="00340E4C">
        <w:t>Zvýšení čistého exportu vyvolá následující přírůstek rovnovážného produktu:</w:t>
      </w:r>
    </w:p>
    <w:p w:rsidR="00783598" w:rsidRPr="00340E4C" w:rsidRDefault="00783598">
      <w:r w:rsidRPr="00340E4C">
        <w:rPr>
          <w:position w:val="-28"/>
        </w:rPr>
        <w:object w:dxaOrig="2900" w:dyaOrig="660">
          <v:shape id="_x0000_i1039" type="#_x0000_t75" style="width:144.75pt;height:33pt" o:ole="">
            <v:imagedata r:id="rId47" o:title=""/>
          </v:shape>
          <o:OLEObject Type="Embed" ProgID="Equation.3" ShapeID="_x0000_i1039" DrawAspect="Content" ObjectID="_1674728785" r:id="rId48"/>
        </w:object>
      </w:r>
    </w:p>
    <w:p w:rsidR="00783598" w:rsidRPr="00340E4C" w:rsidRDefault="00783598">
      <w:r w:rsidRPr="00340E4C">
        <w:t xml:space="preserve">NX = čistý export = export </w:t>
      </w:r>
      <w:r w:rsidR="00FC02A9" w:rsidRPr="00340E4C">
        <w:t>–</w:t>
      </w:r>
      <w:r w:rsidRPr="00340E4C">
        <w:t xml:space="preserve"> import</w:t>
      </w:r>
    </w:p>
    <w:p w:rsidR="00FC02A9" w:rsidRPr="00340E4C" w:rsidRDefault="00FC02A9"/>
    <w:p w:rsidR="00FC02A9" w:rsidRPr="00340E4C" w:rsidRDefault="00FC02A9" w:rsidP="00FC02A9"/>
    <w:p w:rsidR="00FC02A9" w:rsidRPr="00340E4C" w:rsidRDefault="00FC02A9"/>
    <w:p w:rsidR="00783598" w:rsidRPr="00340E4C" w:rsidRDefault="0033114D">
      <w:r w:rsidRPr="00340E4C">
        <w:rPr>
          <w:noProof/>
          <w:lang w:val="de-DE" w:eastAsia="de-DE"/>
        </w:rPr>
        <w:lastRenderedPageBreak/>
        <w:drawing>
          <wp:inline distT="0" distB="0" distL="0" distR="0" wp14:anchorId="0CBC1031" wp14:editId="25C5DD9A">
            <wp:extent cx="5042191" cy="3648075"/>
            <wp:effectExtent l="0" t="0" r="6350" b="0"/>
            <wp:docPr id="117" name="obrázek 117" descr="Makroekonomický koloběh - čtyřsektorová ekonom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akroekonomický koloběh - čtyřsektorová ekonomik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46200" cy="3650976"/>
                    </a:xfrm>
                    <a:prstGeom prst="rect">
                      <a:avLst/>
                    </a:prstGeom>
                    <a:noFill/>
                    <a:ln>
                      <a:noFill/>
                    </a:ln>
                  </pic:spPr>
                </pic:pic>
              </a:graphicData>
            </a:graphic>
          </wp:inline>
        </w:drawing>
      </w:r>
    </w:p>
    <w:p w:rsidR="00783598" w:rsidRPr="00340E4C" w:rsidRDefault="00783598"/>
    <w:p w:rsidR="00783598" w:rsidRPr="00340E4C" w:rsidRDefault="00783598">
      <w:pPr>
        <w:jc w:val="both"/>
      </w:pPr>
      <w:r w:rsidRPr="00340E4C">
        <w:t>Hranici ekonomického systému samozřejmě nepřekračují jen spotřební statky a platby za ně, ale překračují se oběma směry i výrobní faktory, pracovní síla a kapitál (zapůjčitelné fondy).</w:t>
      </w:r>
    </w:p>
    <w:p w:rsidR="00783598" w:rsidRPr="00340E4C" w:rsidRDefault="00783598"/>
    <w:p w:rsidR="00783598" w:rsidRPr="00340E4C" w:rsidRDefault="00783598">
      <w:pPr>
        <w:rPr>
          <w:b/>
        </w:rPr>
      </w:pPr>
      <w:r w:rsidRPr="00340E4C">
        <w:rPr>
          <w:b/>
        </w:rPr>
        <w:t>Poznámka: Vzájemná závislost zahraničních investic a zahraničního obchodu:</w:t>
      </w:r>
    </w:p>
    <w:p w:rsidR="00783598" w:rsidRPr="00340E4C" w:rsidRDefault="00783598">
      <w:pPr>
        <w:jc w:val="both"/>
      </w:pPr>
      <w:r w:rsidRPr="00340E4C">
        <w:t xml:space="preserve">Domácí úroková míra je 8% a domácí úspory 500 mld. CZK. Úroková míra dolarových vkladů je 4%, kurs CZK/USD je 20. Investiční poptávka je například 800 mld. CZK. Nižší domácí úroková míra je lákavá pro zahraniční investory, a proto investují v ČR, Existuje-li volný pohyb kapitálu. Nakupují koruny za dolary. Poptávka po koruně vzrůstá. Rostoucí poptávka má za následek nárůst ceny, tj, směnného kurzu. Ovšem poptávka po investicích roste jenom tak dlouho, dokud neuspokojí domácí nabídku, tedy nepokryje přebytek investiční poptávky na domácími úsporami, tj. 300 mld. CZK. </w:t>
      </w:r>
    </w:p>
    <w:p w:rsidR="00783598" w:rsidRPr="00340E4C" w:rsidRDefault="00783598">
      <w:pPr>
        <w:jc w:val="both"/>
      </w:pPr>
      <w:r w:rsidRPr="00340E4C">
        <w:t>Jakmile vzrostl směnný kurz   CZK/USD, vývozci při přepočítávání svých cen z CZK na USD požadují v zahraničí za domácí zboží více, cena roste a stlačuje poptávku. V zahraničním obchodě vzniká schodek. Jakmile se schodek, tj. platby za čistý import do zahraničí, vyrovná zahraničních investicím v CZ, tj. 300 mld. CZK, nastane rovnovážný stav a kurz se ustálí například na 2</w:t>
      </w:r>
      <w:r w:rsidR="00C13CEF">
        <w:t>5</w:t>
      </w:r>
      <w:r w:rsidRPr="00340E4C">
        <w:t>,-CZK.</w:t>
      </w:r>
    </w:p>
    <w:p w:rsidR="00783598" w:rsidRDefault="00783598">
      <w:pPr>
        <w:jc w:val="both"/>
      </w:pPr>
    </w:p>
    <w:p w:rsidR="00036EE7" w:rsidRDefault="00036EE7">
      <w:pPr>
        <w:jc w:val="both"/>
      </w:pPr>
    </w:p>
    <w:p w:rsidR="00036EE7" w:rsidRDefault="00036EE7">
      <w:pPr>
        <w:jc w:val="both"/>
      </w:pPr>
    </w:p>
    <w:p w:rsidR="00036EE7" w:rsidRDefault="00036EE7">
      <w:pPr>
        <w:jc w:val="both"/>
      </w:pPr>
    </w:p>
    <w:p w:rsidR="00036EE7" w:rsidRDefault="00036EE7">
      <w:pPr>
        <w:jc w:val="both"/>
      </w:pPr>
    </w:p>
    <w:p w:rsidR="00036EE7" w:rsidRDefault="00036EE7">
      <w:pPr>
        <w:jc w:val="both"/>
      </w:pPr>
    </w:p>
    <w:p w:rsidR="00036EE7" w:rsidRDefault="00036EE7">
      <w:pPr>
        <w:jc w:val="both"/>
      </w:pPr>
    </w:p>
    <w:p w:rsidR="00036EE7" w:rsidRDefault="00036EE7">
      <w:pPr>
        <w:jc w:val="both"/>
      </w:pPr>
    </w:p>
    <w:p w:rsidR="00036EE7" w:rsidRDefault="00036EE7">
      <w:pPr>
        <w:jc w:val="both"/>
      </w:pPr>
    </w:p>
    <w:p w:rsidR="00036EE7" w:rsidRDefault="00036EE7">
      <w:pPr>
        <w:jc w:val="both"/>
      </w:pPr>
    </w:p>
    <w:p w:rsidR="00036EE7" w:rsidRDefault="00036EE7">
      <w:pPr>
        <w:jc w:val="both"/>
      </w:pPr>
    </w:p>
    <w:p w:rsidR="00036EE7" w:rsidRPr="00340E4C" w:rsidRDefault="00036EE7">
      <w:pPr>
        <w:jc w:val="both"/>
      </w:pPr>
    </w:p>
    <w:p w:rsidR="00783598" w:rsidRPr="00340E4C" w:rsidRDefault="00783598">
      <w:pPr>
        <w:jc w:val="both"/>
      </w:pPr>
      <w:r w:rsidRPr="00340E4C">
        <w:lastRenderedPageBreak/>
        <w:t>Jak je to v České republice?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1101"/>
        <w:gridCol w:w="1101"/>
        <w:gridCol w:w="1101"/>
        <w:gridCol w:w="1065"/>
      </w:tblGrid>
      <w:tr w:rsidR="00F43B00" w:rsidRPr="00340E4C" w:rsidTr="00F43B00">
        <w:tc>
          <w:tcPr>
            <w:tcW w:w="4694" w:type="dxa"/>
          </w:tcPr>
          <w:p w:rsidR="00F43B00" w:rsidRPr="00340E4C" w:rsidRDefault="00F43B00">
            <w:pPr>
              <w:jc w:val="center"/>
            </w:pPr>
            <w:r w:rsidRPr="00340E4C">
              <w:t>Ukazatel toku během daného roku</w:t>
            </w:r>
          </w:p>
        </w:tc>
        <w:tc>
          <w:tcPr>
            <w:tcW w:w="1101" w:type="dxa"/>
          </w:tcPr>
          <w:p w:rsidR="00F43B00" w:rsidRPr="00340E4C" w:rsidRDefault="00F43B00">
            <w:pPr>
              <w:jc w:val="center"/>
            </w:pPr>
            <w:r w:rsidRPr="00340E4C">
              <w:t>1998</w:t>
            </w:r>
          </w:p>
        </w:tc>
        <w:tc>
          <w:tcPr>
            <w:tcW w:w="1101" w:type="dxa"/>
          </w:tcPr>
          <w:p w:rsidR="00F43B00" w:rsidRPr="00340E4C" w:rsidRDefault="00F43B00">
            <w:pPr>
              <w:jc w:val="center"/>
            </w:pPr>
            <w:r w:rsidRPr="00340E4C">
              <w:t>2007</w:t>
            </w:r>
          </w:p>
        </w:tc>
        <w:tc>
          <w:tcPr>
            <w:tcW w:w="1101" w:type="dxa"/>
          </w:tcPr>
          <w:p w:rsidR="00F43B00" w:rsidRPr="00340E4C" w:rsidRDefault="00F43B00">
            <w:pPr>
              <w:jc w:val="center"/>
            </w:pPr>
            <w:r>
              <w:t>2013</w:t>
            </w:r>
          </w:p>
        </w:tc>
        <w:tc>
          <w:tcPr>
            <w:tcW w:w="1065" w:type="dxa"/>
          </w:tcPr>
          <w:p w:rsidR="00F43B00" w:rsidRDefault="00F43B00">
            <w:pPr>
              <w:jc w:val="center"/>
            </w:pPr>
            <w:r>
              <w:t>2017</w:t>
            </w:r>
          </w:p>
        </w:tc>
      </w:tr>
      <w:tr w:rsidR="00F43B00" w:rsidRPr="00340E4C" w:rsidTr="00F43B00">
        <w:tc>
          <w:tcPr>
            <w:tcW w:w="4694" w:type="dxa"/>
          </w:tcPr>
          <w:p w:rsidR="00F43B00" w:rsidRPr="00340E4C" w:rsidRDefault="00F43B00">
            <w:pPr>
              <w:jc w:val="both"/>
            </w:pPr>
            <w:r w:rsidRPr="00340E4C">
              <w:t>Přímé investice ze zahraničí</w:t>
            </w:r>
          </w:p>
        </w:tc>
        <w:tc>
          <w:tcPr>
            <w:tcW w:w="1101" w:type="dxa"/>
          </w:tcPr>
          <w:p w:rsidR="00F43B00" w:rsidRPr="00340E4C" w:rsidRDefault="00F43B00">
            <w:pPr>
              <w:jc w:val="right"/>
            </w:pPr>
            <w:r w:rsidRPr="00340E4C">
              <w:t>119</w:t>
            </w:r>
          </w:p>
        </w:tc>
        <w:tc>
          <w:tcPr>
            <w:tcW w:w="1101" w:type="dxa"/>
          </w:tcPr>
          <w:p w:rsidR="00F43B00" w:rsidRPr="00340E4C" w:rsidRDefault="00F43B00">
            <w:pPr>
              <w:jc w:val="right"/>
            </w:pPr>
            <w:r w:rsidRPr="00340E4C">
              <w:t>185</w:t>
            </w:r>
          </w:p>
        </w:tc>
        <w:tc>
          <w:tcPr>
            <w:tcW w:w="1101" w:type="dxa"/>
          </w:tcPr>
          <w:p w:rsidR="00F43B00" w:rsidRPr="00340E4C" w:rsidRDefault="00F43B00">
            <w:pPr>
              <w:jc w:val="right"/>
            </w:pPr>
            <w:r>
              <w:t>135</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pPr>
            <w:r w:rsidRPr="00340E4C">
              <w:t>Portfoliové investice ze zahraničí</w:t>
            </w:r>
          </w:p>
        </w:tc>
        <w:tc>
          <w:tcPr>
            <w:tcW w:w="1101" w:type="dxa"/>
          </w:tcPr>
          <w:p w:rsidR="00F43B00" w:rsidRPr="00340E4C" w:rsidRDefault="00F43B00">
            <w:pPr>
              <w:jc w:val="right"/>
            </w:pPr>
            <w:r w:rsidRPr="00340E4C">
              <w:t>0</w:t>
            </w:r>
          </w:p>
        </w:tc>
        <w:tc>
          <w:tcPr>
            <w:tcW w:w="1101" w:type="dxa"/>
          </w:tcPr>
          <w:p w:rsidR="00F43B00" w:rsidRPr="00340E4C" w:rsidRDefault="00F43B00">
            <w:pPr>
              <w:jc w:val="right"/>
            </w:pPr>
            <w:r w:rsidRPr="00340E4C">
              <w:t>74</w:t>
            </w:r>
          </w:p>
        </w:tc>
        <w:tc>
          <w:tcPr>
            <w:tcW w:w="1101" w:type="dxa"/>
          </w:tcPr>
          <w:p w:rsidR="00F43B00" w:rsidRPr="00340E4C" w:rsidRDefault="00F43B00">
            <w:pPr>
              <w:jc w:val="right"/>
            </w:pPr>
            <w:r>
              <w:t>95</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pPr>
            <w:r w:rsidRPr="00340E4C">
              <w:t>Ostatní investice ze zahraničí</w:t>
            </w:r>
          </w:p>
        </w:tc>
        <w:tc>
          <w:tcPr>
            <w:tcW w:w="1101" w:type="dxa"/>
          </w:tcPr>
          <w:p w:rsidR="00F43B00" w:rsidRPr="00340E4C" w:rsidRDefault="00F43B00">
            <w:pPr>
              <w:jc w:val="right"/>
            </w:pPr>
            <w:r w:rsidRPr="00340E4C">
              <w:t>192</w:t>
            </w:r>
          </w:p>
        </w:tc>
        <w:tc>
          <w:tcPr>
            <w:tcW w:w="1101" w:type="dxa"/>
          </w:tcPr>
          <w:p w:rsidR="00F43B00" w:rsidRPr="00340E4C" w:rsidRDefault="00F43B00">
            <w:pPr>
              <w:jc w:val="right"/>
            </w:pPr>
            <w:r w:rsidRPr="00340E4C">
              <w:t>71</w:t>
            </w:r>
          </w:p>
        </w:tc>
        <w:tc>
          <w:tcPr>
            <w:tcW w:w="1101" w:type="dxa"/>
          </w:tcPr>
          <w:p w:rsidR="00F43B00" w:rsidRPr="00340E4C" w:rsidRDefault="00F43B00">
            <w:pPr>
              <w:jc w:val="right"/>
            </w:pPr>
            <w:r>
              <w:t>82</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rPr>
                <w:b/>
              </w:rPr>
            </w:pPr>
            <w:r w:rsidRPr="00340E4C">
              <w:rPr>
                <w:b/>
              </w:rPr>
              <w:t>Příliv investic celkem</w:t>
            </w:r>
          </w:p>
        </w:tc>
        <w:tc>
          <w:tcPr>
            <w:tcW w:w="1101" w:type="dxa"/>
          </w:tcPr>
          <w:p w:rsidR="00F43B00" w:rsidRPr="00340E4C" w:rsidRDefault="00F43B00">
            <w:pPr>
              <w:jc w:val="right"/>
              <w:rPr>
                <w:b/>
              </w:rPr>
            </w:pPr>
            <w:r w:rsidRPr="00340E4C">
              <w:rPr>
                <w:b/>
              </w:rPr>
              <w:t>311</w:t>
            </w:r>
          </w:p>
        </w:tc>
        <w:tc>
          <w:tcPr>
            <w:tcW w:w="1101" w:type="dxa"/>
          </w:tcPr>
          <w:p w:rsidR="00F43B00" w:rsidRPr="00340E4C" w:rsidRDefault="00F43B00">
            <w:pPr>
              <w:jc w:val="right"/>
              <w:rPr>
                <w:b/>
              </w:rPr>
            </w:pPr>
            <w:r w:rsidRPr="00340E4C">
              <w:rPr>
                <w:b/>
              </w:rPr>
              <w:t>330</w:t>
            </w:r>
          </w:p>
        </w:tc>
        <w:tc>
          <w:tcPr>
            <w:tcW w:w="1101" w:type="dxa"/>
          </w:tcPr>
          <w:p w:rsidR="00F43B00" w:rsidRPr="00340E4C" w:rsidRDefault="00F43B00">
            <w:pPr>
              <w:jc w:val="right"/>
              <w:rPr>
                <w:b/>
              </w:rPr>
            </w:pPr>
            <w:r>
              <w:rPr>
                <w:b/>
              </w:rPr>
              <w:t>312</w:t>
            </w:r>
          </w:p>
        </w:tc>
        <w:tc>
          <w:tcPr>
            <w:tcW w:w="1065" w:type="dxa"/>
          </w:tcPr>
          <w:p w:rsidR="00F43B00" w:rsidRDefault="00C13CEF">
            <w:pPr>
              <w:jc w:val="right"/>
              <w:rPr>
                <w:b/>
              </w:rPr>
            </w:pPr>
            <w:r>
              <w:rPr>
                <w:b/>
              </w:rPr>
              <w:t>87</w:t>
            </w:r>
          </w:p>
        </w:tc>
      </w:tr>
      <w:tr w:rsidR="00F43B00" w:rsidRPr="00340E4C" w:rsidTr="00F43B00">
        <w:tc>
          <w:tcPr>
            <w:tcW w:w="4694" w:type="dxa"/>
          </w:tcPr>
          <w:p w:rsidR="00F43B00" w:rsidRPr="00340E4C" w:rsidRDefault="00F43B00">
            <w:pPr>
              <w:jc w:val="both"/>
            </w:pPr>
            <w:r w:rsidRPr="00340E4C">
              <w:t>Přímé investice do zahraničí</w:t>
            </w:r>
          </w:p>
        </w:tc>
        <w:tc>
          <w:tcPr>
            <w:tcW w:w="1101" w:type="dxa"/>
          </w:tcPr>
          <w:p w:rsidR="00F43B00" w:rsidRPr="00340E4C" w:rsidRDefault="00F43B00">
            <w:pPr>
              <w:jc w:val="right"/>
            </w:pPr>
            <w:r w:rsidRPr="00340E4C">
              <w:t>6</w:t>
            </w:r>
          </w:p>
        </w:tc>
        <w:tc>
          <w:tcPr>
            <w:tcW w:w="1101" w:type="dxa"/>
          </w:tcPr>
          <w:p w:rsidR="00F43B00" w:rsidRPr="00340E4C" w:rsidRDefault="00F43B00">
            <w:pPr>
              <w:jc w:val="right"/>
            </w:pPr>
            <w:r w:rsidRPr="00340E4C">
              <w:t>21</w:t>
            </w:r>
          </w:p>
        </w:tc>
        <w:tc>
          <w:tcPr>
            <w:tcW w:w="1101" w:type="dxa"/>
          </w:tcPr>
          <w:p w:rsidR="00F43B00" w:rsidRPr="00340E4C" w:rsidRDefault="00F43B00">
            <w:pPr>
              <w:jc w:val="right"/>
            </w:pPr>
            <w:r>
              <w:t>77</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pPr>
            <w:r w:rsidRPr="00340E4C">
              <w:t>Portfoliové investice do zahraničí</w:t>
            </w:r>
          </w:p>
        </w:tc>
        <w:tc>
          <w:tcPr>
            <w:tcW w:w="1101" w:type="dxa"/>
          </w:tcPr>
          <w:p w:rsidR="00F43B00" w:rsidRPr="00340E4C" w:rsidRDefault="00F43B00">
            <w:pPr>
              <w:jc w:val="right"/>
            </w:pPr>
            <w:r w:rsidRPr="00340E4C">
              <w:t>-3</w:t>
            </w:r>
          </w:p>
        </w:tc>
        <w:tc>
          <w:tcPr>
            <w:tcW w:w="1101" w:type="dxa"/>
          </w:tcPr>
          <w:p w:rsidR="00F43B00" w:rsidRPr="00340E4C" w:rsidRDefault="00F43B00">
            <w:pPr>
              <w:jc w:val="right"/>
            </w:pPr>
            <w:r w:rsidRPr="00340E4C">
              <w:t>58</w:t>
            </w:r>
          </w:p>
        </w:tc>
        <w:tc>
          <w:tcPr>
            <w:tcW w:w="1101" w:type="dxa"/>
          </w:tcPr>
          <w:p w:rsidR="00F43B00" w:rsidRPr="00340E4C" w:rsidRDefault="00F43B00">
            <w:pPr>
              <w:jc w:val="right"/>
            </w:pPr>
            <w:r>
              <w:t>2</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pPr>
            <w:r w:rsidRPr="00340E4C">
              <w:t>Ostatní investice do zahraničí</w:t>
            </w:r>
          </w:p>
        </w:tc>
        <w:tc>
          <w:tcPr>
            <w:tcW w:w="1101" w:type="dxa"/>
          </w:tcPr>
          <w:p w:rsidR="00F43B00" w:rsidRPr="00340E4C" w:rsidRDefault="00F43B00">
            <w:pPr>
              <w:jc w:val="right"/>
            </w:pPr>
            <w:r w:rsidRPr="00340E4C">
              <w:t>-40</w:t>
            </w:r>
          </w:p>
        </w:tc>
        <w:tc>
          <w:tcPr>
            <w:tcW w:w="1101" w:type="dxa"/>
          </w:tcPr>
          <w:p w:rsidR="00F43B00" w:rsidRPr="00340E4C" w:rsidRDefault="00F43B00">
            <w:pPr>
              <w:jc w:val="right"/>
            </w:pPr>
            <w:r w:rsidRPr="00340E4C">
              <w:t>94</w:t>
            </w:r>
          </w:p>
        </w:tc>
        <w:tc>
          <w:tcPr>
            <w:tcW w:w="1101" w:type="dxa"/>
          </w:tcPr>
          <w:p w:rsidR="00F43B00" w:rsidRPr="00340E4C" w:rsidRDefault="00F43B00">
            <w:pPr>
              <w:jc w:val="right"/>
            </w:pPr>
            <w:r>
              <w:t>134</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rPr>
                <w:b/>
              </w:rPr>
            </w:pPr>
            <w:r w:rsidRPr="00340E4C">
              <w:rPr>
                <w:b/>
              </w:rPr>
              <w:t>Odliv investic celkem</w:t>
            </w:r>
          </w:p>
        </w:tc>
        <w:tc>
          <w:tcPr>
            <w:tcW w:w="1101" w:type="dxa"/>
          </w:tcPr>
          <w:p w:rsidR="00F43B00" w:rsidRPr="00340E4C" w:rsidRDefault="00F43B00">
            <w:pPr>
              <w:jc w:val="right"/>
              <w:rPr>
                <w:b/>
              </w:rPr>
            </w:pPr>
            <w:r w:rsidRPr="00340E4C">
              <w:rPr>
                <w:b/>
              </w:rPr>
              <w:t>-37</w:t>
            </w:r>
          </w:p>
        </w:tc>
        <w:tc>
          <w:tcPr>
            <w:tcW w:w="1101" w:type="dxa"/>
          </w:tcPr>
          <w:p w:rsidR="00F43B00" w:rsidRPr="00340E4C" w:rsidRDefault="00F43B00">
            <w:pPr>
              <w:jc w:val="right"/>
              <w:rPr>
                <w:b/>
              </w:rPr>
            </w:pPr>
            <w:r w:rsidRPr="00340E4C">
              <w:rPr>
                <w:b/>
              </w:rPr>
              <w:t>173</w:t>
            </w:r>
          </w:p>
        </w:tc>
        <w:tc>
          <w:tcPr>
            <w:tcW w:w="1101" w:type="dxa"/>
          </w:tcPr>
          <w:p w:rsidR="00F43B00" w:rsidRPr="00340E4C" w:rsidRDefault="00F43B00" w:rsidP="00E017BD">
            <w:pPr>
              <w:jc w:val="right"/>
              <w:rPr>
                <w:b/>
              </w:rPr>
            </w:pPr>
            <w:r>
              <w:rPr>
                <w:b/>
              </w:rPr>
              <w:t>213</w:t>
            </w:r>
          </w:p>
        </w:tc>
        <w:tc>
          <w:tcPr>
            <w:tcW w:w="1065" w:type="dxa"/>
          </w:tcPr>
          <w:p w:rsidR="00F43B00" w:rsidRDefault="00C13CEF" w:rsidP="00E017BD">
            <w:pPr>
              <w:jc w:val="right"/>
              <w:rPr>
                <w:b/>
              </w:rPr>
            </w:pPr>
            <w:r>
              <w:rPr>
                <w:b/>
              </w:rPr>
              <w:t>36</w:t>
            </w:r>
          </w:p>
        </w:tc>
      </w:tr>
      <w:tr w:rsidR="00F43B00" w:rsidRPr="00340E4C" w:rsidTr="00F43B00">
        <w:tc>
          <w:tcPr>
            <w:tcW w:w="4694" w:type="dxa"/>
          </w:tcPr>
          <w:p w:rsidR="00F43B00" w:rsidRPr="00340E4C" w:rsidRDefault="00F43B00">
            <w:pPr>
              <w:jc w:val="both"/>
            </w:pPr>
            <w:r w:rsidRPr="00340E4C">
              <w:t>Saldo kapitálových toků</w:t>
            </w:r>
          </w:p>
        </w:tc>
        <w:tc>
          <w:tcPr>
            <w:tcW w:w="1101" w:type="dxa"/>
          </w:tcPr>
          <w:p w:rsidR="00F43B00" w:rsidRPr="00340E4C" w:rsidRDefault="00F43B00">
            <w:pPr>
              <w:jc w:val="right"/>
            </w:pPr>
            <w:r w:rsidRPr="00340E4C">
              <w:t>-274</w:t>
            </w:r>
          </w:p>
        </w:tc>
        <w:tc>
          <w:tcPr>
            <w:tcW w:w="1101" w:type="dxa"/>
          </w:tcPr>
          <w:p w:rsidR="00F43B00" w:rsidRPr="00340E4C" w:rsidRDefault="00F43B00">
            <w:pPr>
              <w:jc w:val="right"/>
            </w:pPr>
            <w:r w:rsidRPr="00340E4C">
              <w:t>-157</w:t>
            </w:r>
          </w:p>
        </w:tc>
        <w:tc>
          <w:tcPr>
            <w:tcW w:w="1101" w:type="dxa"/>
          </w:tcPr>
          <w:p w:rsidR="00F43B00" w:rsidRPr="00340E4C" w:rsidRDefault="00F43B00">
            <w:pPr>
              <w:jc w:val="right"/>
            </w:pPr>
            <w:r>
              <w:t>-99</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pPr>
            <w:r w:rsidRPr="00340E4C">
              <w:t xml:space="preserve">Čisté úspory domácností </w:t>
            </w:r>
          </w:p>
        </w:tc>
        <w:tc>
          <w:tcPr>
            <w:tcW w:w="1101" w:type="dxa"/>
          </w:tcPr>
          <w:p w:rsidR="00F43B00" w:rsidRPr="00340E4C" w:rsidRDefault="00F43B00">
            <w:pPr>
              <w:jc w:val="right"/>
            </w:pPr>
          </w:p>
        </w:tc>
        <w:tc>
          <w:tcPr>
            <w:tcW w:w="1101" w:type="dxa"/>
          </w:tcPr>
          <w:p w:rsidR="00F43B00" w:rsidRPr="00340E4C" w:rsidRDefault="00F43B00">
            <w:pPr>
              <w:jc w:val="right"/>
            </w:pPr>
            <w:r w:rsidRPr="00340E4C">
              <w:t>76</w:t>
            </w:r>
          </w:p>
        </w:tc>
        <w:tc>
          <w:tcPr>
            <w:tcW w:w="1101" w:type="dxa"/>
          </w:tcPr>
          <w:p w:rsidR="00F43B00" w:rsidRPr="00340E4C" w:rsidRDefault="00F43B00">
            <w:pPr>
              <w:jc w:val="right"/>
            </w:pPr>
            <w:r>
              <w:t>X</w:t>
            </w:r>
          </w:p>
        </w:tc>
        <w:tc>
          <w:tcPr>
            <w:tcW w:w="1065" w:type="dxa"/>
          </w:tcPr>
          <w:p w:rsidR="00F43B00" w:rsidRDefault="00F43B00">
            <w:pPr>
              <w:jc w:val="right"/>
            </w:pPr>
          </w:p>
        </w:tc>
      </w:tr>
      <w:tr w:rsidR="00F43B00" w:rsidRPr="00340E4C" w:rsidTr="00F43B00">
        <w:tc>
          <w:tcPr>
            <w:tcW w:w="4694" w:type="dxa"/>
          </w:tcPr>
          <w:p w:rsidR="00F43B00" w:rsidRPr="00340E4C" w:rsidRDefault="00F43B00">
            <w:pPr>
              <w:jc w:val="both"/>
            </w:pPr>
            <w:r w:rsidRPr="00340E4C">
              <w:t>Saldo po započtení čistých úspor domácností</w:t>
            </w:r>
            <w:r w:rsidRPr="00340E4C">
              <w:rPr>
                <w:rStyle w:val="Funotenzeichen"/>
              </w:rPr>
              <w:footnoteReference w:id="5"/>
            </w:r>
          </w:p>
        </w:tc>
        <w:tc>
          <w:tcPr>
            <w:tcW w:w="1101" w:type="dxa"/>
          </w:tcPr>
          <w:p w:rsidR="00F43B00" w:rsidRPr="00340E4C" w:rsidRDefault="00F43B00">
            <w:pPr>
              <w:jc w:val="right"/>
            </w:pPr>
            <w:r w:rsidRPr="00340E4C">
              <w:t>X</w:t>
            </w:r>
          </w:p>
        </w:tc>
        <w:tc>
          <w:tcPr>
            <w:tcW w:w="1101" w:type="dxa"/>
          </w:tcPr>
          <w:p w:rsidR="00F43B00" w:rsidRPr="00340E4C" w:rsidRDefault="00F43B00">
            <w:pPr>
              <w:jc w:val="right"/>
            </w:pPr>
            <w:r w:rsidRPr="00340E4C">
              <w:t>-81</w:t>
            </w:r>
          </w:p>
        </w:tc>
        <w:tc>
          <w:tcPr>
            <w:tcW w:w="1101" w:type="dxa"/>
          </w:tcPr>
          <w:p w:rsidR="00F43B00" w:rsidRPr="00340E4C" w:rsidRDefault="00F43B00">
            <w:pPr>
              <w:jc w:val="right"/>
            </w:pPr>
          </w:p>
        </w:tc>
        <w:tc>
          <w:tcPr>
            <w:tcW w:w="1065" w:type="dxa"/>
          </w:tcPr>
          <w:p w:rsidR="00F43B00" w:rsidRPr="00340E4C" w:rsidRDefault="00F43B00">
            <w:pPr>
              <w:jc w:val="right"/>
            </w:pPr>
          </w:p>
        </w:tc>
      </w:tr>
    </w:tbl>
    <w:p w:rsidR="00783598" w:rsidRPr="00340E4C" w:rsidRDefault="00783598">
      <w:pPr>
        <w:jc w:val="both"/>
      </w:pPr>
      <w:r w:rsidRPr="00340E4C">
        <w:t>Údaje v mld CZK, Pramen ČNB, ČSÚ</w:t>
      </w:r>
    </w:p>
    <w:p w:rsidR="00783598" w:rsidRPr="00340E4C" w:rsidRDefault="00783598"/>
    <w:p w:rsidR="00783598" w:rsidRPr="00340E4C" w:rsidRDefault="00783598"/>
    <w:p w:rsidR="00783598" w:rsidRPr="00340E4C" w:rsidRDefault="00783598">
      <w:r w:rsidRPr="00340E4C">
        <w:t>Doplněk:</w:t>
      </w:r>
    </w:p>
    <w:p w:rsidR="00783598" w:rsidRPr="00340E4C" w:rsidRDefault="00783598" w:rsidP="001741A7">
      <w:pPr>
        <w:numPr>
          <w:ilvl w:val="0"/>
          <w:numId w:val="1"/>
        </w:numPr>
        <w:jc w:val="both"/>
      </w:pPr>
      <w:r w:rsidRPr="00340E4C">
        <w:t xml:space="preserve">Německo se stalo po sjednocení </w:t>
      </w:r>
      <w:r w:rsidR="002F322B">
        <w:t xml:space="preserve">v roce 1990 </w:t>
      </w:r>
      <w:r w:rsidRPr="00340E4C">
        <w:t>dovozcem kapitálu</w:t>
      </w:r>
    </w:p>
    <w:p w:rsidR="00783598" w:rsidRPr="00340E4C" w:rsidRDefault="00783598" w:rsidP="001741A7">
      <w:pPr>
        <w:numPr>
          <w:ilvl w:val="0"/>
          <w:numId w:val="1"/>
        </w:numPr>
        <w:jc w:val="both"/>
      </w:pPr>
      <w:r w:rsidRPr="00340E4C">
        <w:t>USA se od 80.</w:t>
      </w:r>
      <w:r w:rsidR="005F6191">
        <w:t xml:space="preserve"> </w:t>
      </w:r>
      <w:r w:rsidRPr="00340E4C">
        <w:t>let stalo dovozcem kapitálu v důsledku deficitů veřejných rozpočtů a záporného salda obchodní bilance</w:t>
      </w:r>
    </w:p>
    <w:p w:rsidR="00783598" w:rsidRPr="00340E4C" w:rsidRDefault="00783598" w:rsidP="001741A7">
      <w:pPr>
        <w:numPr>
          <w:ilvl w:val="0"/>
          <w:numId w:val="1"/>
        </w:numPr>
        <w:jc w:val="both"/>
        <w:sectPr w:rsidR="00783598" w:rsidRPr="00340E4C">
          <w:pgSz w:w="11906" w:h="16838"/>
          <w:pgMar w:top="1417" w:right="1417" w:bottom="1417" w:left="1417" w:header="708" w:footer="708" w:gutter="0"/>
          <w:cols w:space="708"/>
          <w:docGrid w:linePitch="360"/>
        </w:sectPr>
      </w:pPr>
    </w:p>
    <w:p w:rsidR="00783598" w:rsidRPr="00340E4C" w:rsidRDefault="00783598"/>
    <w:p w:rsidR="00783598" w:rsidRPr="00340E4C" w:rsidRDefault="00783598" w:rsidP="00636A7A">
      <w:pPr>
        <w:pStyle w:val="berschrift1"/>
      </w:pPr>
      <w:r w:rsidRPr="00340E4C">
        <w:t xml:space="preserve"> </w:t>
      </w:r>
      <w:bookmarkStart w:id="52" w:name="_Toc240444146"/>
      <w:bookmarkStart w:id="53" w:name="_Toc240775346"/>
      <w:bookmarkStart w:id="54" w:name="_Toc281979945"/>
      <w:bookmarkStart w:id="55" w:name="_Toc281979987"/>
      <w:bookmarkStart w:id="56" w:name="_Toc296073441"/>
      <w:bookmarkStart w:id="57" w:name="_Toc297533149"/>
      <w:bookmarkStart w:id="58" w:name="_Toc303675509"/>
      <w:bookmarkStart w:id="59" w:name="_Toc303963010"/>
      <w:bookmarkStart w:id="60" w:name="_Toc306176399"/>
      <w:bookmarkStart w:id="61" w:name="_Toc315341168"/>
      <w:bookmarkStart w:id="62" w:name="_Toc316459963"/>
      <w:bookmarkStart w:id="63" w:name="_Toc316460438"/>
      <w:bookmarkStart w:id="64" w:name="_Toc318291415"/>
      <w:bookmarkStart w:id="65" w:name="_Toc328466821"/>
      <w:bookmarkStart w:id="66" w:name="_Toc335724878"/>
      <w:bookmarkStart w:id="67" w:name="_Toc411926283"/>
      <w:bookmarkStart w:id="68" w:name="_Toc1629136"/>
      <w:r w:rsidRPr="00340E4C">
        <w:t>Agregátní nabídka a agregátní poptávka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83598" w:rsidRPr="00340E4C" w:rsidRDefault="00783598"/>
    <w:p w:rsidR="00783598" w:rsidRPr="00340E4C" w:rsidRDefault="00783598">
      <w:pPr>
        <w:jc w:val="both"/>
      </w:pPr>
      <w:r w:rsidRPr="00340E4C">
        <w:t>Definovali jsme si makroekonomický model, který se v přijatelné míře přibližuje schématizované skutečnosti. Pokusme se nyní stanovit agregátní nabídku a poptávku a podmínky pro dosažení rovnováhy těchto veličin.</w:t>
      </w:r>
    </w:p>
    <w:p w:rsidR="00783598" w:rsidRPr="00340E4C" w:rsidRDefault="00783598" w:rsidP="00636A7A">
      <w:pPr>
        <w:pStyle w:val="berschrift2"/>
      </w:pPr>
      <w:r w:rsidRPr="00340E4C">
        <w:t>Agregátní poptávka (AD = aggregate Demand)</w:t>
      </w:r>
    </w:p>
    <w:p w:rsidR="00783598" w:rsidRPr="00340E4C" w:rsidRDefault="00783598">
      <w:pPr>
        <w:jc w:val="both"/>
      </w:pPr>
      <w:r w:rsidRPr="00340E4C">
        <w:t>Obecně platí, že objem poptávky je funkcí ceny. Z toho plyne, že  pokles ceny (v případě agregátní poptávky pokles celkové cenové hladiny) povede k růstu poptávky a naopak. Platí funkce:</w:t>
      </w:r>
    </w:p>
    <w:p w:rsidR="00783598" w:rsidRPr="00340E4C" w:rsidRDefault="00783598">
      <w:pPr>
        <w:jc w:val="both"/>
      </w:pPr>
      <w:r w:rsidRPr="00340E4C">
        <w:t>AD = C + I + G + NX</w:t>
      </w:r>
    </w:p>
    <w:p w:rsidR="00783598" w:rsidRPr="00340E4C" w:rsidRDefault="00783598">
      <w:pPr>
        <w:jc w:val="both"/>
      </w:pPr>
    </w:p>
    <w:p w:rsidR="00783598" w:rsidRPr="00340E4C" w:rsidRDefault="00783598">
      <w:pPr>
        <w:jc w:val="both"/>
      </w:pPr>
      <w:r w:rsidRPr="00340E4C">
        <w:t>Protože se však pohybujeme na agregátní úrovni, musíme vzít úvahu, že změna ceny má dopad i na celkový objem peněz v</w:t>
      </w:r>
      <w:r w:rsidR="001A3D48">
        <w:t> </w:t>
      </w:r>
      <w:r w:rsidRPr="00340E4C">
        <w:t>ekonomice</w:t>
      </w:r>
      <w:r w:rsidR="001A3D48">
        <w:t xml:space="preserve"> (navíc hraje roli přesun peněz ze zahraničí a do zahraničí)</w:t>
      </w:r>
      <w:r w:rsidRPr="00340E4C">
        <w:t xml:space="preserve">: </w:t>
      </w:r>
    </w:p>
    <w:p w:rsidR="00783598" w:rsidRPr="00340E4C" w:rsidRDefault="00783598">
      <w:pPr>
        <w:jc w:val="both"/>
      </w:pPr>
      <w:r w:rsidRPr="00340E4C">
        <w:t>Předpokládejme, že trh zboží a trh peněz jsou v rovnováze. Pokud klesne cena zboží, ceteris paribus se na trhu:</w:t>
      </w:r>
    </w:p>
    <w:p w:rsidR="00783598" w:rsidRPr="00340E4C" w:rsidRDefault="00783598" w:rsidP="001741A7">
      <w:pPr>
        <w:numPr>
          <w:ilvl w:val="0"/>
          <w:numId w:val="1"/>
        </w:numPr>
        <w:jc w:val="both"/>
      </w:pPr>
      <w:r w:rsidRPr="00340E4C">
        <w:t>zvýší reálná peněžní zásoba, protože na transakce nebude třeba tolik peněz a</w:t>
      </w:r>
    </w:p>
    <w:p w:rsidR="00783598" w:rsidRPr="00340E4C" w:rsidRDefault="00783598" w:rsidP="001741A7">
      <w:pPr>
        <w:numPr>
          <w:ilvl w:val="0"/>
          <w:numId w:val="1"/>
        </w:numPr>
        <w:jc w:val="both"/>
      </w:pPr>
      <w:r w:rsidRPr="00340E4C">
        <w:t>pokles cenové hladiny zvyšuje konkurenční schopnost domácího zboží proti zboží zahraničnímu – v důsledku toho agregátní poptávka klesá.</w:t>
      </w:r>
    </w:p>
    <w:p w:rsidR="00783598" w:rsidRPr="00340E4C" w:rsidRDefault="00783598">
      <w:pPr>
        <w:jc w:val="both"/>
      </w:pPr>
    </w:p>
    <w:p w:rsidR="00783598" w:rsidRPr="00340E4C" w:rsidRDefault="00783598">
      <w:pPr>
        <w:jc w:val="both"/>
      </w:pPr>
      <w:r w:rsidRPr="00340E4C">
        <w:t>Co působí na agregátní poptávku:</w:t>
      </w:r>
    </w:p>
    <w:p w:rsidR="00783598" w:rsidRPr="00340E4C" w:rsidRDefault="00783598" w:rsidP="001741A7">
      <w:pPr>
        <w:numPr>
          <w:ilvl w:val="0"/>
          <w:numId w:val="1"/>
        </w:numPr>
        <w:jc w:val="both"/>
      </w:pPr>
      <w:r w:rsidRPr="00340E4C">
        <w:t>růst bohatství domácností zvyšuje spotřební výdaje (důchodová pružnost poptávky)</w:t>
      </w:r>
    </w:p>
    <w:p w:rsidR="00783598" w:rsidRPr="00340E4C" w:rsidRDefault="00783598" w:rsidP="001741A7">
      <w:pPr>
        <w:numPr>
          <w:ilvl w:val="0"/>
          <w:numId w:val="1"/>
        </w:numPr>
        <w:jc w:val="both"/>
      </w:pPr>
      <w:r w:rsidRPr="00340E4C">
        <w:t>očekávání a preference spotřebitelů a investorů mohou vychýlit AD oběma směry</w:t>
      </w:r>
    </w:p>
    <w:p w:rsidR="00783598" w:rsidRPr="00340E4C" w:rsidRDefault="00783598" w:rsidP="001741A7">
      <w:pPr>
        <w:numPr>
          <w:ilvl w:val="0"/>
          <w:numId w:val="1"/>
        </w:numPr>
        <w:jc w:val="both"/>
      </w:pPr>
      <w:r w:rsidRPr="00340E4C">
        <w:t>pokles úrokové míry zvyšuje výdaje na spotřebu statků i výrobních faktorů a vlivem změny měnových kurzů může stimulovat export</w:t>
      </w:r>
    </w:p>
    <w:p w:rsidR="00783598" w:rsidRPr="00340E4C" w:rsidRDefault="00783598" w:rsidP="001741A7">
      <w:pPr>
        <w:numPr>
          <w:ilvl w:val="0"/>
          <w:numId w:val="1"/>
        </w:numPr>
        <w:jc w:val="both"/>
      </w:pPr>
      <w:r w:rsidRPr="00340E4C">
        <w:t xml:space="preserve">růst populace vede k růstu spotřebních výdajů </w:t>
      </w:r>
    </w:p>
    <w:p w:rsidR="00783598" w:rsidRPr="00340E4C" w:rsidRDefault="00783598" w:rsidP="001741A7">
      <w:pPr>
        <w:numPr>
          <w:ilvl w:val="0"/>
          <w:numId w:val="1"/>
        </w:numPr>
        <w:jc w:val="both"/>
      </w:pPr>
      <w:r w:rsidRPr="00340E4C">
        <w:t>daně – pokles míry zdanění zvyšuje osobní disponibilní důchod a tím může vést k růstu spotřebních výdajů</w:t>
      </w:r>
      <w:r w:rsidR="001A3D48">
        <w:t xml:space="preserve"> (v sektoru domácností)</w:t>
      </w:r>
    </w:p>
    <w:p w:rsidR="00783598" w:rsidRPr="00340E4C" w:rsidRDefault="00783598" w:rsidP="001741A7">
      <w:pPr>
        <w:numPr>
          <w:ilvl w:val="0"/>
          <w:numId w:val="1"/>
        </w:numPr>
        <w:jc w:val="both"/>
      </w:pPr>
      <w:r w:rsidRPr="00340E4C">
        <w:t xml:space="preserve">transferové platby a ostatní vládní výdaje vede k růstu spotřebních a investičních výdajů, pokud nenarazí na nezměnitelnou nabídku v krátkém období </w:t>
      </w:r>
      <w:r w:rsidR="00C13CEF">
        <w:t>(například mimořádné zvýšení poptávky po stavbě dálnic)</w:t>
      </w:r>
      <w:r w:rsidRPr="00340E4C">
        <w:t xml:space="preserve"> </w:t>
      </w:r>
    </w:p>
    <w:p w:rsidR="00783598" w:rsidRPr="00340E4C" w:rsidRDefault="00783598" w:rsidP="001741A7">
      <w:pPr>
        <w:numPr>
          <w:ilvl w:val="0"/>
          <w:numId w:val="1"/>
        </w:numPr>
        <w:jc w:val="both"/>
      </w:pPr>
      <w:r w:rsidRPr="00340E4C">
        <w:t>režim a výsledek zahraničního obchodu a zahraničních platebních toků. K růstu vývozu vede růst zahraniční cenové hladiny, znehodnocování domácí měny a proexportní opatření vlády a odbourání případných dalších obchodních bariér</w:t>
      </w:r>
    </w:p>
    <w:p w:rsidR="00783598" w:rsidRPr="00340E4C" w:rsidRDefault="00783598">
      <w:pPr>
        <w:jc w:val="both"/>
      </w:pPr>
      <w:r w:rsidRPr="00340E4C">
        <w:t xml:space="preserve">  </w:t>
      </w:r>
    </w:p>
    <w:p w:rsidR="00783598" w:rsidRPr="00340E4C" w:rsidRDefault="00783598">
      <w:pPr>
        <w:jc w:val="both"/>
      </w:pPr>
      <w:r w:rsidRPr="00340E4C">
        <w:t>Vztah cenové hladiny a změny výdajů se však vyznačuje dvěma efekty:</w:t>
      </w:r>
    </w:p>
    <w:p w:rsidR="00783598" w:rsidRPr="00340E4C" w:rsidRDefault="00783598">
      <w:pPr>
        <w:jc w:val="both"/>
        <w:rPr>
          <w:b/>
        </w:rPr>
      </w:pPr>
    </w:p>
    <w:p w:rsidR="00783598" w:rsidRPr="00340E4C" w:rsidRDefault="00783598">
      <w:pPr>
        <w:jc w:val="both"/>
      </w:pPr>
      <w:r w:rsidRPr="00340E4C">
        <w:rPr>
          <w:b/>
        </w:rPr>
        <w:t>Keynesiánský</w:t>
      </w:r>
      <w:r w:rsidRPr="00340E4C">
        <w:rPr>
          <w:rStyle w:val="Funotenzeichen"/>
          <w:b/>
        </w:rPr>
        <w:footnoteReference w:id="6"/>
      </w:r>
      <w:r w:rsidRPr="00340E4C">
        <w:rPr>
          <w:b/>
        </w:rPr>
        <w:t xml:space="preserve"> efekt: </w:t>
      </w:r>
      <w:r w:rsidRPr="00340E4C">
        <w:t xml:space="preserve">pokles cenové hladiny znamená, že na běžné výdaje potřebuji méně peněz, poptávka po hotových penězích klesá a přesouvá se do jiných finančních aktiv, tím roste cena těchto jiných finančních aktiv. Protože mají nastavený určitý výnos a poměr tohoto výnosu při rostoucí ceně klesá, klesá reálný výnos z dluhopisů, tím klesá zájem o investování do těchto finančních aktiv (Pozn. Na druhé straně pokles ceny zboží vyvolá </w:t>
      </w:r>
      <w:r w:rsidR="001A3D48">
        <w:t>nejprve růst poptávky. Nabídka se ocitne pod rovnovážnou úrovní</w:t>
      </w:r>
      <w:r w:rsidRPr="00340E4C">
        <w:t xml:space="preserve"> a to opět povede k růstu ceny). Klesají investiční výdaje a to se projevuje poklesem spotřeby dlouhodobých statků, vládních výdajů i exportu.</w:t>
      </w:r>
    </w:p>
    <w:p w:rsidR="00783598" w:rsidRPr="00340E4C" w:rsidRDefault="00783598">
      <w:pPr>
        <w:jc w:val="both"/>
        <w:rPr>
          <w:b/>
        </w:rPr>
      </w:pPr>
    </w:p>
    <w:p w:rsidR="00783598" w:rsidRPr="00340E4C" w:rsidRDefault="00783598">
      <w:pPr>
        <w:jc w:val="both"/>
      </w:pPr>
      <w:r w:rsidRPr="00340E4C">
        <w:rPr>
          <w:b/>
        </w:rPr>
        <w:t>Pigouův</w:t>
      </w:r>
      <w:r w:rsidRPr="00340E4C">
        <w:rPr>
          <w:rStyle w:val="Funotenzeichen"/>
          <w:b/>
        </w:rPr>
        <w:footnoteReference w:id="7"/>
      </w:r>
      <w:r w:rsidRPr="00340E4C">
        <w:rPr>
          <w:b/>
        </w:rPr>
        <w:t xml:space="preserve"> efekt: </w:t>
      </w:r>
    </w:p>
    <w:p w:rsidR="00783598" w:rsidRPr="00340E4C" w:rsidRDefault="00783598">
      <w:pPr>
        <w:jc w:val="both"/>
        <w:rPr>
          <w:lang w:eastAsia="cs-CZ"/>
        </w:rPr>
      </w:pPr>
      <w:r w:rsidRPr="00340E4C">
        <w:rPr>
          <w:lang w:eastAsia="cs-CZ"/>
        </w:rPr>
        <w:t>Hodnota peněz držených veřejností jako část bohatství závisí na cenové úrovni. Když cenová hladina roste, daná zásoba nominálních peněz ztrácí hodnotu, když ceny klesají, hodnota dané zásoby nominálních peněz se zvyšuje. Zvyšuje-li se toto reálné bohatství, lidé zvyšují spotřební výdaje: jsou-li spotřební výdaje veřejnosti závislé na reálném bohatství, křivka poptávky se bude posunovat, kdykoliv se bude měnit (snižovat) cenová úroveň.</w:t>
      </w:r>
    </w:p>
    <w:p w:rsidR="00783598" w:rsidRPr="00340E4C" w:rsidRDefault="00783598">
      <w:pPr>
        <w:jc w:val="both"/>
      </w:pPr>
    </w:p>
    <w:p w:rsidR="00783598" w:rsidRPr="00340E4C" w:rsidRDefault="00783598" w:rsidP="00636A7A">
      <w:pPr>
        <w:pStyle w:val="berschrift2"/>
      </w:pPr>
      <w:r w:rsidRPr="00340E4C">
        <w:t>Agregátní nabídka (AS = aggregate Supply)</w:t>
      </w:r>
    </w:p>
    <w:p w:rsidR="00783598" w:rsidRPr="00340E4C" w:rsidRDefault="00783598">
      <w:pPr>
        <w:jc w:val="both"/>
      </w:pPr>
      <w:r w:rsidRPr="00340E4C">
        <w:t xml:space="preserve">Ekonomický systém by měl vytvářet </w:t>
      </w:r>
      <w:r w:rsidR="001A3D48">
        <w:t xml:space="preserve">maximální </w:t>
      </w:r>
      <w:r w:rsidRPr="00340E4C">
        <w:t xml:space="preserve">potenciální domácí produkt při daném objemu výrobních faktorů. Protože využití kapitálu – investic – by mělo být maximální, zbývá zodpovědět otázku, jaké je optimální využití práce? Je to takové využití, při němž je míra nezaměstnanosti </w:t>
      </w:r>
      <w:r w:rsidRPr="00340E4C">
        <w:rPr>
          <w:b/>
        </w:rPr>
        <w:t>přirozená</w:t>
      </w:r>
      <w:r w:rsidRPr="00340E4C">
        <w:t xml:space="preserve">. </w:t>
      </w:r>
    </w:p>
    <w:p w:rsidR="00783598" w:rsidRPr="00340E4C" w:rsidRDefault="00783598">
      <w:pPr>
        <w:jc w:val="both"/>
      </w:pPr>
      <w:r w:rsidRPr="00340E4C">
        <w:rPr>
          <w:b/>
        </w:rPr>
        <w:t>Přirozená míra nezaměstnanosti</w:t>
      </w:r>
      <w:r w:rsidRPr="00340E4C">
        <w:t xml:space="preserve"> je nejnižší dlouhodobě udržitelná míra nezaměstnanosti odpovídající potenciálnímu produktu – viz „Zaměstnanost“.. Její výše je pro každou ekonomiku jiná a nelze ani říci, že by tato míra byla žádoucí - je prostě přirozená. V přirozené míře tedy není zahrnuta cyklická nezaměstnanost. Míra nezaměstnanosti v ekonomice fluktuuje okolo přirozené míry nezaměstnanosti díky hospodářským cyklům (v recesi je míra nezaměstnanosti vyšší než je přirozená míra nezaměstnanosti).</w:t>
      </w:r>
    </w:p>
    <w:p w:rsidR="00783598" w:rsidRPr="00340E4C" w:rsidRDefault="00783598">
      <w:pPr>
        <w:jc w:val="both"/>
      </w:pPr>
      <w:r w:rsidRPr="00340E4C">
        <w:t>Kdyby mzdy a ceny byly dokonale pružné a kdyby lidé měli úplné informace o všech cenách a mzdách, trh práce by se okamžitě vyčišťoval na úrovni přirozené míry nezaměstnanosti a ekonomika by neustále vytvářela svůj potenciální produkt.</w:t>
      </w:r>
    </w:p>
    <w:p w:rsidR="00783598" w:rsidRPr="00340E4C" w:rsidRDefault="00783598">
      <w:pPr>
        <w:jc w:val="both"/>
      </w:pPr>
      <w:r w:rsidRPr="00340E4C">
        <w:t>Pohybujeme se na makroekonomické úrovni, tvrdíme, že cenová hladina je jenom „početní vyjádření cen“ a na reálnou úroveň výroby a spotřeby statků by neměla mít vliv. Pokud hovoříme o vlivech, máme na mysli změny agregátních veličin. Vzroste –li reálná mzda, myslíme, že vzroste za celý ekonomický systém a ne jen určité skupině nebo jednotlivci.</w:t>
      </w:r>
    </w:p>
    <w:p w:rsidR="00783598" w:rsidRPr="00340E4C" w:rsidRDefault="00783598">
      <w:pPr>
        <w:jc w:val="both"/>
      </w:pPr>
    </w:p>
    <w:p w:rsidR="00783598" w:rsidRPr="00340E4C" w:rsidRDefault="00783598">
      <w:pPr>
        <w:jc w:val="both"/>
      </w:pPr>
      <w:r w:rsidRPr="00340E4C">
        <w:t>Co způsobuje změnu AS?</w:t>
      </w:r>
    </w:p>
    <w:p w:rsidR="00783598" w:rsidRPr="00340E4C" w:rsidRDefault="00783598" w:rsidP="001741A7">
      <w:pPr>
        <w:numPr>
          <w:ilvl w:val="0"/>
          <w:numId w:val="1"/>
        </w:numPr>
        <w:jc w:val="both"/>
      </w:pPr>
      <w:r w:rsidRPr="00340E4C">
        <w:t>změna reálné mzdy</w:t>
      </w:r>
    </w:p>
    <w:p w:rsidR="00783598" w:rsidRPr="00340E4C" w:rsidRDefault="00783598" w:rsidP="001741A7">
      <w:pPr>
        <w:numPr>
          <w:ilvl w:val="0"/>
          <w:numId w:val="1"/>
        </w:numPr>
        <w:jc w:val="both"/>
      </w:pPr>
      <w:r w:rsidRPr="00340E4C">
        <w:t>změna cen vstupů</w:t>
      </w:r>
    </w:p>
    <w:p w:rsidR="00783598" w:rsidRPr="00340E4C" w:rsidRDefault="00783598" w:rsidP="001741A7">
      <w:pPr>
        <w:numPr>
          <w:ilvl w:val="0"/>
          <w:numId w:val="1"/>
        </w:numPr>
        <w:jc w:val="both"/>
      </w:pPr>
      <w:r w:rsidRPr="00340E4C">
        <w:t>inflační očekávání</w:t>
      </w:r>
    </w:p>
    <w:p w:rsidR="00783598" w:rsidRPr="00340E4C" w:rsidRDefault="00783598" w:rsidP="001741A7">
      <w:pPr>
        <w:numPr>
          <w:ilvl w:val="0"/>
          <w:numId w:val="1"/>
        </w:numPr>
        <w:jc w:val="both"/>
      </w:pPr>
      <w:r w:rsidRPr="00340E4C">
        <w:t>změna počtu obyvatelstva</w:t>
      </w:r>
    </w:p>
    <w:p w:rsidR="00783598" w:rsidRPr="00340E4C" w:rsidRDefault="00783598" w:rsidP="001741A7">
      <w:pPr>
        <w:numPr>
          <w:ilvl w:val="0"/>
          <w:numId w:val="1"/>
        </w:numPr>
        <w:jc w:val="both"/>
      </w:pPr>
      <w:r w:rsidRPr="00340E4C">
        <w:t>změna objemu zap</w:t>
      </w:r>
      <w:r w:rsidR="005F6191">
        <w:t>ů</w:t>
      </w:r>
      <w:r w:rsidRPr="00340E4C">
        <w:t>jčitelných fondů v ekonomice</w:t>
      </w:r>
    </w:p>
    <w:p w:rsidR="00783598" w:rsidRPr="00340E4C" w:rsidRDefault="00783598" w:rsidP="001741A7">
      <w:pPr>
        <w:numPr>
          <w:ilvl w:val="0"/>
          <w:numId w:val="1"/>
        </w:numPr>
        <w:jc w:val="both"/>
      </w:pPr>
      <w:r w:rsidRPr="00340E4C">
        <w:t>změna produktivity výrobních faktorů (zpravidla se neustále zvyšuje)</w:t>
      </w:r>
    </w:p>
    <w:p w:rsidR="00783598" w:rsidRPr="00340E4C" w:rsidRDefault="00783598" w:rsidP="001741A7">
      <w:pPr>
        <w:numPr>
          <w:ilvl w:val="0"/>
          <w:numId w:val="1"/>
        </w:numPr>
        <w:jc w:val="both"/>
      </w:pPr>
      <w:r w:rsidRPr="00340E4C">
        <w:t>změna klimatických podmínek</w:t>
      </w:r>
    </w:p>
    <w:p w:rsidR="00783598" w:rsidRPr="00340E4C" w:rsidRDefault="00783598" w:rsidP="001741A7">
      <w:pPr>
        <w:numPr>
          <w:ilvl w:val="0"/>
          <w:numId w:val="1"/>
        </w:numPr>
        <w:jc w:val="both"/>
      </w:pPr>
      <w:r w:rsidRPr="00340E4C">
        <w:t>změna podnětu k práci a podnikání</w:t>
      </w:r>
    </w:p>
    <w:p w:rsidR="00783598" w:rsidRPr="00340E4C" w:rsidRDefault="00783598">
      <w:pPr>
        <w:jc w:val="both"/>
      </w:pPr>
    </w:p>
    <w:p w:rsidR="00783598" w:rsidRPr="00340E4C" w:rsidRDefault="00783598">
      <w:pPr>
        <w:jc w:val="both"/>
        <w:rPr>
          <w:b/>
        </w:rPr>
      </w:pPr>
      <w:r w:rsidRPr="00340E4C">
        <w:rPr>
          <w:b/>
        </w:rPr>
        <w:t>Krátkodobá keynesiánská AS</w:t>
      </w:r>
    </w:p>
    <w:p w:rsidR="00783598" w:rsidRPr="00340E4C" w:rsidRDefault="00783598">
      <w:pPr>
        <w:jc w:val="both"/>
      </w:pPr>
      <w:r w:rsidRPr="00340E4C">
        <w:t>S růstem ceny reálná nabídka stoupá. I pro agregátní nabídku platí to, co bylo řečeno v mikroekonomii, že nabídku v krátkém období lze měnit jen v určitém rozsahu, protože nejsme schopni změnit objem využívaných výrobních faktorů, ani jejich mezní produktivitu. V krátkém období je tedy nabídka vodorovná a nezávislá na změně ceny.</w:t>
      </w:r>
    </w:p>
    <w:p w:rsidR="00783598" w:rsidRPr="00340E4C" w:rsidRDefault="00783598">
      <w:pPr>
        <w:jc w:val="both"/>
      </w:pPr>
    </w:p>
    <w:p w:rsidR="00783598" w:rsidRPr="00340E4C" w:rsidRDefault="00783598">
      <w:pPr>
        <w:jc w:val="both"/>
        <w:rPr>
          <w:b/>
        </w:rPr>
      </w:pPr>
      <w:r w:rsidRPr="00340E4C">
        <w:rPr>
          <w:b/>
        </w:rPr>
        <w:t>Dlouhodobá AS</w:t>
      </w:r>
    </w:p>
    <w:p w:rsidR="00783598" w:rsidRPr="00340E4C" w:rsidRDefault="00783598">
      <w:pPr>
        <w:jc w:val="both"/>
      </w:pPr>
      <w:r w:rsidRPr="00340E4C">
        <w:t>Růst cenové hladiny vyvolává tlak na růst reálných mezd, ty se přizpůsobí růstu cenové hladiny a firmy nejsou ochotny vyrábět více. Nabídka je svislá. Růst AS je potom způsoben například zavedením technologické inovace.</w:t>
      </w:r>
    </w:p>
    <w:p w:rsidR="00783598" w:rsidRPr="00340E4C" w:rsidRDefault="00783598">
      <w:pPr>
        <w:jc w:val="both"/>
      </w:pPr>
    </w:p>
    <w:p w:rsidR="00783598" w:rsidRPr="00340E4C" w:rsidRDefault="00783598">
      <w:pPr>
        <w:jc w:val="both"/>
        <w:rPr>
          <w:b/>
        </w:rPr>
      </w:pPr>
      <w:r w:rsidRPr="00340E4C">
        <w:rPr>
          <w:b/>
        </w:rPr>
        <w:t>Co hovoří proti této koncepci?</w:t>
      </w:r>
    </w:p>
    <w:p w:rsidR="00783598" w:rsidRPr="00340E4C" w:rsidRDefault="00783598" w:rsidP="001741A7">
      <w:pPr>
        <w:numPr>
          <w:ilvl w:val="0"/>
          <w:numId w:val="15"/>
        </w:numPr>
        <w:jc w:val="both"/>
      </w:pPr>
      <w:r w:rsidRPr="00340E4C">
        <w:t>mzdy jsou nepružné,</w:t>
      </w:r>
    </w:p>
    <w:p w:rsidR="00783598" w:rsidRPr="00340E4C" w:rsidRDefault="00783598" w:rsidP="001741A7">
      <w:pPr>
        <w:numPr>
          <w:ilvl w:val="0"/>
          <w:numId w:val="15"/>
        </w:numPr>
        <w:jc w:val="both"/>
      </w:pPr>
      <w:r w:rsidRPr="00340E4C">
        <w:t>zaměstnavatel zohledňuje ve mzdách mnoho jiných faktorů než jenom produktivitu – existují kolektivní smlouvy, existuje cyklický vývoj ekonomiky a podnikatel nemůže přenést výkyvy na zaměstnance, veřejná sféra není výkyvy vůbec schopna přenést na zaměstnance, a proto existuje snaha o stanovení pevných udržitelných a tedy pokud možno co nejnižších mezd,</w:t>
      </w:r>
    </w:p>
    <w:p w:rsidR="00783598" w:rsidRPr="00340E4C" w:rsidRDefault="00783598" w:rsidP="001741A7">
      <w:pPr>
        <w:numPr>
          <w:ilvl w:val="0"/>
          <w:numId w:val="15"/>
        </w:numPr>
        <w:jc w:val="both"/>
      </w:pPr>
      <w:r w:rsidRPr="00340E4C">
        <w:t xml:space="preserve">zaměstnanci vstupují jako kupující na některé trhy často a na některé řídčeji. Nevedou si statistiky o růstu cen a reálných mezd a chápou teprve se zpožděním, jaký je reálný vývoj. </w:t>
      </w:r>
      <w:r w:rsidR="00036EE7">
        <w:t>Nejsou prostě dokonale informovaným subjektem.</w:t>
      </w:r>
    </w:p>
    <w:p w:rsidR="00783598" w:rsidRPr="00340E4C" w:rsidRDefault="00783598">
      <w:pPr>
        <w:jc w:val="both"/>
      </w:pPr>
    </w:p>
    <w:p w:rsidR="00783598" w:rsidRPr="00340E4C" w:rsidRDefault="00783598" w:rsidP="00636A7A">
      <w:pPr>
        <w:pStyle w:val="berschrift2"/>
      </w:pPr>
      <w:r w:rsidRPr="00340E4C">
        <w:t>Makroekonomická rovnováha (AE = aggregate Equilibrium)</w:t>
      </w:r>
    </w:p>
    <w:p w:rsidR="00783598" w:rsidRPr="00340E4C" w:rsidRDefault="00783598"/>
    <w:p w:rsidR="00783598" w:rsidRPr="00340E4C" w:rsidRDefault="00783598">
      <w:pPr>
        <w:jc w:val="both"/>
      </w:pPr>
      <w:r w:rsidRPr="00340E4C">
        <w:t>Trh zboží a služeb je v rovnováze, když plánované agregátní výdaje se rovnají domácímu produktu.</w:t>
      </w:r>
    </w:p>
    <w:p w:rsidR="00783598" w:rsidRPr="00340E4C" w:rsidRDefault="00783598">
      <w:pPr>
        <w:jc w:val="both"/>
      </w:pPr>
      <w:r w:rsidRPr="00340E4C">
        <w:t>Trh zboží a služeb je popsán následujícími třemi rovnicemi:</w:t>
      </w:r>
    </w:p>
    <w:p w:rsidR="00783598" w:rsidRPr="00340E4C" w:rsidRDefault="00783598" w:rsidP="001741A7">
      <w:pPr>
        <w:numPr>
          <w:ilvl w:val="0"/>
          <w:numId w:val="14"/>
        </w:numPr>
        <w:jc w:val="both"/>
      </w:pPr>
      <w:r w:rsidRPr="00340E4C">
        <w:t>Spotřební funkce:</w:t>
      </w:r>
    </w:p>
    <w:p w:rsidR="00783598" w:rsidRPr="00340E4C" w:rsidRDefault="00783598">
      <w:pPr>
        <w:jc w:val="both"/>
      </w:pPr>
      <w:r w:rsidRPr="00340E4C">
        <w:rPr>
          <w:position w:val="-10"/>
        </w:rPr>
        <w:object w:dxaOrig="1460" w:dyaOrig="360">
          <v:shape id="_x0000_i1040" type="#_x0000_t75" style="width:72.75pt;height:18.75pt" o:ole="">
            <v:imagedata r:id="rId50" o:title=""/>
          </v:shape>
          <o:OLEObject Type="Embed" ProgID="Equation.3" ShapeID="_x0000_i1040" DrawAspect="Content" ObjectID="_1674728786" r:id="rId51"/>
        </w:object>
      </w:r>
      <w:r w:rsidRPr="00340E4C">
        <w:t xml:space="preserve"> </w:t>
      </w:r>
    </w:p>
    <w:p w:rsidR="00783598" w:rsidRPr="00340E4C" w:rsidRDefault="00783598" w:rsidP="001741A7">
      <w:pPr>
        <w:numPr>
          <w:ilvl w:val="0"/>
          <w:numId w:val="14"/>
        </w:numPr>
        <w:jc w:val="both"/>
      </w:pPr>
      <w:r w:rsidRPr="00340E4C">
        <w:t>Funkce plánovaných investic:</w:t>
      </w:r>
    </w:p>
    <w:p w:rsidR="00783598" w:rsidRPr="00340E4C" w:rsidRDefault="00783598">
      <w:pPr>
        <w:ind w:left="360"/>
        <w:jc w:val="both"/>
      </w:pPr>
      <w:r w:rsidRPr="00340E4C">
        <w:rPr>
          <w:position w:val="-10"/>
        </w:rPr>
        <w:object w:dxaOrig="980" w:dyaOrig="360">
          <v:shape id="_x0000_i1041" type="#_x0000_t75" style="width:48pt;height:18.75pt" o:ole="">
            <v:imagedata r:id="rId52" o:title=""/>
          </v:shape>
          <o:OLEObject Type="Embed" ProgID="Equation.3" ShapeID="_x0000_i1041" DrawAspect="Content" ObjectID="_1674728787" r:id="rId53"/>
        </w:object>
      </w:r>
    </w:p>
    <w:p w:rsidR="00783598" w:rsidRPr="00340E4C" w:rsidRDefault="00783598">
      <w:pPr>
        <w:jc w:val="both"/>
      </w:pPr>
      <w:r w:rsidRPr="00340E4C">
        <w:t>Kde I</w:t>
      </w:r>
      <w:r w:rsidRPr="00340E4C">
        <w:rPr>
          <w:vertAlign w:val="superscript"/>
        </w:rPr>
        <w:t>P</w:t>
      </w:r>
      <w:r w:rsidRPr="00340E4C">
        <w:t xml:space="preserve"> jsou plánované investice a r je úroková míra.</w:t>
      </w:r>
    </w:p>
    <w:p w:rsidR="00783598" w:rsidRPr="00340E4C" w:rsidRDefault="00783598" w:rsidP="001741A7">
      <w:pPr>
        <w:numPr>
          <w:ilvl w:val="0"/>
          <w:numId w:val="14"/>
        </w:numPr>
        <w:jc w:val="both"/>
      </w:pPr>
      <w:r w:rsidRPr="00340E4C">
        <w:t>domácí produkt je funkcí spotřeby a investic:</w:t>
      </w:r>
    </w:p>
    <w:p w:rsidR="00783598" w:rsidRPr="00340E4C" w:rsidRDefault="00783598">
      <w:pPr>
        <w:jc w:val="both"/>
      </w:pPr>
      <w:r w:rsidRPr="00340E4C">
        <w:rPr>
          <w:position w:val="-6"/>
        </w:rPr>
        <w:object w:dxaOrig="1100" w:dyaOrig="320">
          <v:shape id="_x0000_i1042" type="#_x0000_t75" style="width:54.75pt;height:15.75pt" o:ole="">
            <v:imagedata r:id="rId54" o:title=""/>
          </v:shape>
          <o:OLEObject Type="Embed" ProgID="Equation.3" ShapeID="_x0000_i1042" DrawAspect="Content" ObjectID="_1674728788" r:id="rId55"/>
        </w:object>
      </w:r>
    </w:p>
    <w:p w:rsidR="00783598" w:rsidRPr="00340E4C" w:rsidRDefault="00783598">
      <w:pPr>
        <w:jc w:val="both"/>
      </w:pPr>
      <w:r w:rsidRPr="00340E4C">
        <w:t xml:space="preserve"> </w:t>
      </w:r>
    </w:p>
    <w:p w:rsidR="00783598" w:rsidRPr="00340E4C" w:rsidRDefault="00783598">
      <w:pPr>
        <w:jc w:val="both"/>
      </w:pPr>
      <w:r w:rsidRPr="00340E4C">
        <w:t>Je-li skutečná cenová hladina shodná s očekávanou, domácí produkt setrvává na úrovni potenciálního produktu, neboť lidé považují relativní ceny svých služeb za nezměněné a nemají důvod měnit své nabídky.</w:t>
      </w:r>
    </w:p>
    <w:p w:rsidR="00783598" w:rsidRPr="00340E4C" w:rsidRDefault="00783598">
      <w:pPr>
        <w:jc w:val="both"/>
      </w:pPr>
    </w:p>
    <w:p w:rsidR="00783598" w:rsidRPr="00340E4C" w:rsidRDefault="00783598">
      <w:pPr>
        <w:jc w:val="both"/>
      </w:pPr>
      <w:r w:rsidRPr="00340E4C">
        <w:t>Poku</w:t>
      </w:r>
      <w:r w:rsidR="00BA7B16" w:rsidRPr="00340E4C">
        <w:t>d</w:t>
      </w:r>
      <w:r w:rsidRPr="00340E4C">
        <w:t xml:space="preserve"> se skutečná cenová hladina zvýší nad očekávanou, domácí produkt roste nad potenciální produkt. Lidé se totiž domnívají, že jejich relativní ceny vzrostly, a proto zvyšují nabídku svých služeb.</w:t>
      </w:r>
    </w:p>
    <w:p w:rsidR="00783598" w:rsidRPr="00340E4C" w:rsidRDefault="00783598">
      <w:pPr>
        <w:jc w:val="both"/>
      </w:pPr>
    </w:p>
    <w:p w:rsidR="00783598" w:rsidRPr="00340E4C" w:rsidRDefault="00783598">
      <w:pPr>
        <w:jc w:val="both"/>
      </w:pPr>
      <w:r w:rsidRPr="00340E4C">
        <w:t>Když skutečná cenová hladina klesne pod očekávanou, domácí produkt klesne pod potenciální produkt. Lidé se domnívají, že klesly jejich relativní ceny, a proto snižují nabídky svých služeb.</w:t>
      </w:r>
    </w:p>
    <w:p w:rsidR="00783598" w:rsidRPr="00340E4C" w:rsidRDefault="00783598">
      <w:pPr>
        <w:jc w:val="both"/>
      </w:pPr>
    </w:p>
    <w:p w:rsidR="00783598" w:rsidRPr="00340E4C" w:rsidRDefault="00783598">
      <w:pPr>
        <w:jc w:val="both"/>
      </w:pPr>
      <w:r w:rsidRPr="00340E4C">
        <w:rPr>
          <w:b/>
        </w:rPr>
        <w:t>Poptávkový šok</w:t>
      </w:r>
      <w:r w:rsidRPr="00340E4C">
        <w:t xml:space="preserve"> – náhlá změna poptávky (například G = tedy </w:t>
      </w:r>
      <w:r w:rsidR="004B4A1D">
        <w:t xml:space="preserve">když </w:t>
      </w:r>
      <w:r w:rsidRPr="00340E4C">
        <w:t>vlád</w:t>
      </w:r>
      <w:r w:rsidR="004B4A1D">
        <w:t>a významně změní výdaje co do objemu a struktury</w:t>
      </w:r>
      <w:r w:rsidRPr="00340E4C">
        <w:t>)</w:t>
      </w:r>
    </w:p>
    <w:p w:rsidR="00783598" w:rsidRPr="00340E4C" w:rsidRDefault="00783598">
      <w:pPr>
        <w:jc w:val="both"/>
      </w:pPr>
      <w:r w:rsidRPr="00340E4C">
        <w:rPr>
          <w:b/>
        </w:rPr>
        <w:t>Nabídkový šok</w:t>
      </w:r>
      <w:r w:rsidRPr="00340E4C">
        <w:t xml:space="preserve"> – (zavedení nových technologií)</w:t>
      </w:r>
    </w:p>
    <w:p w:rsidR="004B4A1D" w:rsidRPr="00340E4C" w:rsidRDefault="004B4A1D">
      <w:pPr>
        <w:jc w:val="both"/>
      </w:pPr>
    </w:p>
    <w:p w:rsidR="00783598" w:rsidRPr="00340E4C" w:rsidRDefault="00783598" w:rsidP="00636A7A">
      <w:pPr>
        <w:pStyle w:val="berschrift2"/>
      </w:pPr>
      <w:r w:rsidRPr="00340E4C">
        <w:t xml:space="preserve">Model IS-LM (keynesiánský model </w:t>
      </w:r>
      <w:r w:rsidR="005F6191">
        <w:t xml:space="preserve">původně </w:t>
      </w:r>
      <w:r w:rsidRPr="00340E4C">
        <w:t>z 30.</w:t>
      </w:r>
      <w:r w:rsidR="004B4A1D">
        <w:t xml:space="preserve"> </w:t>
      </w:r>
      <w:r w:rsidRPr="00340E4C">
        <w:t>let 20.</w:t>
      </w:r>
      <w:r w:rsidR="004031C8">
        <w:t xml:space="preserve"> </w:t>
      </w:r>
      <w:r w:rsidRPr="00340E4C">
        <w:t>století)</w:t>
      </w:r>
    </w:p>
    <w:p w:rsidR="003A6576" w:rsidRPr="00340E4C" w:rsidRDefault="003A6576">
      <w:pPr>
        <w:jc w:val="both"/>
      </w:pPr>
    </w:p>
    <w:p w:rsidR="00E23E01" w:rsidRPr="00340E4C" w:rsidRDefault="004B4A1D">
      <w:pPr>
        <w:jc w:val="both"/>
      </w:pPr>
      <w:r>
        <w:t xml:space="preserve">Velká hospodářská krize ukázala, že </w:t>
      </w:r>
      <w:r w:rsidRPr="004031C8">
        <w:rPr>
          <w:b/>
        </w:rPr>
        <w:t>trh peněz</w:t>
      </w:r>
      <w:r>
        <w:t xml:space="preserve"> a </w:t>
      </w:r>
      <w:r w:rsidRPr="004031C8">
        <w:rPr>
          <w:b/>
        </w:rPr>
        <w:t>trh statků</w:t>
      </w:r>
      <w:r>
        <w:t xml:space="preserve">, tvorba GDP, důchody a investice jsou významně ovlivňovány úrokovou sazbou. Pohyb úrokové sazby má však na různých trzích různé dopady. </w:t>
      </w:r>
      <w:r w:rsidR="00E23E01" w:rsidRPr="00340E4C">
        <w:t xml:space="preserve">Keynesiánci se pokusili stanovit podmínky tržní rovnováhy modelem IS- LM.  </w:t>
      </w:r>
    </w:p>
    <w:p w:rsidR="007B6CE7" w:rsidRPr="00340E4C" w:rsidRDefault="00783598">
      <w:pPr>
        <w:jc w:val="both"/>
      </w:pPr>
      <w:r w:rsidRPr="00340E4C">
        <w:rPr>
          <w:b/>
        </w:rPr>
        <w:lastRenderedPageBreak/>
        <w:t>IS</w:t>
      </w:r>
      <w:r w:rsidRPr="00340E4C">
        <w:t xml:space="preserve"> = </w:t>
      </w:r>
      <w:r w:rsidR="007B6CE7" w:rsidRPr="00340E4C">
        <w:t xml:space="preserve">je </w:t>
      </w:r>
      <w:r w:rsidRPr="00340E4C">
        <w:t>křivka znázorňující všechny kombinace úrokové míry a produktu, při nichž je trh zboží a služeb v</w:t>
      </w:r>
      <w:r w:rsidR="007B6CE7" w:rsidRPr="00340E4C">
        <w:t> </w:t>
      </w:r>
      <w:r w:rsidRPr="00340E4C">
        <w:t>rovnováze</w:t>
      </w:r>
      <w:r w:rsidR="007B6CE7" w:rsidRPr="00340E4C">
        <w:t>, neboli agregátní výdaje jsou rovny agregátním důchodům (model tedy abstrahuje od existence státu a zahraničního obchodu – viz dvousektorová ekonomika</w:t>
      </w:r>
      <w:r w:rsidR="00BA7B16" w:rsidRPr="00340E4C">
        <w:rPr>
          <w:rStyle w:val="Funotenzeichen"/>
        </w:rPr>
        <w:footnoteReference w:id="8"/>
      </w:r>
      <w:r w:rsidR="007B6CE7" w:rsidRPr="00340E4C">
        <w:t xml:space="preserve">): </w:t>
      </w:r>
    </w:p>
    <w:p w:rsidR="00783598" w:rsidRPr="00340E4C" w:rsidRDefault="007B6CE7">
      <w:pPr>
        <w:jc w:val="both"/>
      </w:pPr>
      <w:r w:rsidRPr="00340E4C">
        <w:t>I = S</w:t>
      </w:r>
      <w:r w:rsidR="00783598" w:rsidRPr="00340E4C">
        <w:t xml:space="preserve"> </w:t>
      </w:r>
    </w:p>
    <w:p w:rsidR="007B6CE7" w:rsidRPr="00340E4C" w:rsidRDefault="007B6CE7">
      <w:pPr>
        <w:jc w:val="both"/>
      </w:pPr>
      <w:r w:rsidRPr="00340E4C">
        <w:rPr>
          <w:b/>
        </w:rPr>
        <w:t>Model předpokládá, že pokles úrokové míry vede k růstu poptávky</w:t>
      </w:r>
      <w:r w:rsidR="00BA7B16" w:rsidRPr="00340E4C">
        <w:rPr>
          <w:b/>
        </w:rPr>
        <w:t>:</w:t>
      </w:r>
    </w:p>
    <w:p w:rsidR="00BA7B16" w:rsidRPr="00340E4C" w:rsidRDefault="00BA7B16">
      <w:pPr>
        <w:jc w:val="both"/>
      </w:pPr>
      <m:oMathPara>
        <m:oMath>
          <m:r>
            <w:rPr>
              <w:rFonts w:ascii="Cambria Math" w:hAnsi="Cambria Math"/>
            </w:rPr>
            <m:t>Y=C+I</m:t>
          </m:r>
        </m:oMath>
      </m:oMathPara>
    </w:p>
    <w:p w:rsidR="00BA7B16" w:rsidRPr="00340E4C" w:rsidRDefault="00BA7B16">
      <w:pPr>
        <w:jc w:val="both"/>
      </w:pPr>
      <w:r w:rsidRPr="00340E4C">
        <w:t>C i I jsou citlivé na úrokovou míru.</w:t>
      </w:r>
      <w:r w:rsidR="004031C8">
        <w:t xml:space="preserve"> </w:t>
      </w:r>
    </w:p>
    <w:p w:rsidR="00BA7B16" w:rsidRPr="00340E4C" w:rsidRDefault="00BA7B16">
      <w:pPr>
        <w:jc w:val="both"/>
      </w:pPr>
    </w:p>
    <w:p w:rsidR="007B6CE7" w:rsidRDefault="00783598">
      <w:pPr>
        <w:jc w:val="both"/>
      </w:pPr>
      <w:r w:rsidRPr="004B4A1D">
        <w:rPr>
          <w:b/>
        </w:rPr>
        <w:t>LM</w:t>
      </w:r>
      <w:r w:rsidRPr="00340E4C">
        <w:t xml:space="preserve"> = křivka znázorňující všechny kombinace úrokové míry a produktu, při nichž je trh peněz v rovnováze. </w:t>
      </w:r>
      <w:r w:rsidR="007B6CE7" w:rsidRPr="00340E4C">
        <w:t xml:space="preserve">Čím vyšší je úroková míra, tím vyšší je nabídka peněz M. Aby nastala rovnováha na trhu, musí se nabídka peněz rovnat poptávce po nich: L </w:t>
      </w:r>
      <w:r w:rsidR="004031C8">
        <w:t xml:space="preserve">(odvozeno od „Loan“ = půjčka neboli poptávka po půjčkách) </w:t>
      </w:r>
      <w:r w:rsidR="007B6CE7" w:rsidRPr="00340E4C">
        <w:t>= M</w:t>
      </w:r>
      <w:r w:rsidR="004031C8">
        <w:t xml:space="preserve"> (odvozeno od „Money“ neboli nabídka peněz)</w:t>
      </w:r>
      <w:r w:rsidR="007B6CE7" w:rsidRPr="00340E4C">
        <w:t xml:space="preserve">. </w:t>
      </w:r>
    </w:p>
    <w:p w:rsidR="004031C8" w:rsidRDefault="004031C8">
      <w:pPr>
        <w:jc w:val="both"/>
      </w:pPr>
      <w:r>
        <w:t>Keynes stanovuje rovnici poptávky po penězích takto:</w:t>
      </w:r>
    </w:p>
    <w:p w:rsidR="004031C8" w:rsidRPr="004031C8" w:rsidRDefault="004031C8" w:rsidP="004031C8">
      <w:pPr>
        <w:jc w:val="center"/>
      </w:pPr>
      <w:r>
        <w:t>L</w:t>
      </w:r>
      <m:oMath>
        <m:r>
          <w:rPr>
            <w:rFonts w:ascii="Cambria Math" w:hAnsi="Cambria Math"/>
          </w:rPr>
          <m:t>=k×Y-h×i</m:t>
        </m:r>
      </m:oMath>
    </w:p>
    <w:p w:rsidR="004031C8" w:rsidRDefault="004031C8">
      <w:pPr>
        <w:jc w:val="both"/>
      </w:pPr>
      <w:r>
        <w:t>Kde:</w:t>
      </w:r>
    </w:p>
    <w:p w:rsidR="004031C8" w:rsidRDefault="004031C8" w:rsidP="004031C8">
      <w:pPr>
        <w:ind w:left="708" w:firstLine="708"/>
        <w:jc w:val="both"/>
      </w:pPr>
      <w:r>
        <w:t>k = citlivost poptávky po penězích na reálný důchod</w:t>
      </w:r>
    </w:p>
    <w:p w:rsidR="004031C8" w:rsidRDefault="004031C8" w:rsidP="004031C8">
      <w:pPr>
        <w:ind w:left="708" w:firstLine="708"/>
        <w:jc w:val="both"/>
      </w:pPr>
      <w:r>
        <w:t>h = citlivost poptávky po penězích na úrokovou míru</w:t>
      </w:r>
    </w:p>
    <w:p w:rsidR="004031C8" w:rsidRPr="00340E4C" w:rsidRDefault="004031C8" w:rsidP="004031C8">
      <w:pPr>
        <w:jc w:val="both"/>
      </w:pPr>
      <w:r>
        <w:t xml:space="preserve">L = M, proto </w:t>
      </w:r>
      <m:oMath>
        <m:r>
          <w:rPr>
            <w:rFonts w:ascii="Cambria Math" w:hAnsi="Cambria Math"/>
          </w:rPr>
          <m:t>M=k×Y-h×i</m:t>
        </m:r>
      </m:oMath>
      <w:r>
        <w:tab/>
      </w:r>
    </w:p>
    <w:p w:rsidR="004031C8" w:rsidRDefault="004031C8">
      <w:pPr>
        <w:jc w:val="both"/>
      </w:pPr>
    </w:p>
    <w:p w:rsidR="00BA7B16" w:rsidRDefault="004031C8">
      <w:pPr>
        <w:jc w:val="both"/>
      </w:pPr>
      <w:r>
        <w:t>Z této rovnice můžeme odvodit úrokovou míru:</w:t>
      </w:r>
    </w:p>
    <w:p w:rsidR="004031C8" w:rsidRDefault="004031C8">
      <w:pPr>
        <w:jc w:val="both"/>
      </w:pPr>
      <m:oMathPara>
        <m:oMath>
          <m:r>
            <w:rPr>
              <w:rFonts w:ascii="Cambria Math" w:hAnsi="Cambria Math"/>
            </w:rPr>
            <m:t>i=</m:t>
          </m:r>
          <m:f>
            <m:fPr>
              <m:ctrlPr>
                <w:rPr>
                  <w:rFonts w:ascii="Cambria Math" w:hAnsi="Cambria Math"/>
                  <w:i/>
                </w:rPr>
              </m:ctrlPr>
            </m:fPr>
            <m:num>
              <m:r>
                <w:rPr>
                  <w:rFonts w:ascii="Cambria Math" w:hAnsi="Cambria Math"/>
                </w:rPr>
                <m:t>M-k×Y</m:t>
              </m:r>
            </m:num>
            <m:den>
              <m:r>
                <w:rPr>
                  <w:rFonts w:ascii="Cambria Math" w:hAnsi="Cambria Math"/>
                </w:rPr>
                <m:t>h</m:t>
              </m:r>
            </m:den>
          </m:f>
        </m:oMath>
      </m:oMathPara>
    </w:p>
    <w:p w:rsidR="004031C8" w:rsidRPr="00340E4C" w:rsidRDefault="004031C8">
      <w:pPr>
        <w:jc w:val="both"/>
      </w:pPr>
    </w:p>
    <w:p w:rsidR="00783598" w:rsidRPr="00340E4C" w:rsidRDefault="00783598">
      <w:pPr>
        <w:jc w:val="both"/>
      </w:pPr>
      <w:r w:rsidRPr="00340E4C">
        <w:t>Křivka LM může dosahovat extrémních sklonů:</w:t>
      </w:r>
    </w:p>
    <w:p w:rsidR="00783598" w:rsidRPr="00340E4C" w:rsidRDefault="00783598">
      <w:pPr>
        <w:jc w:val="both"/>
      </w:pPr>
      <w:r w:rsidRPr="00340E4C">
        <w:t>- jestliže je poptávka po penězích necitlivá na úrok, existuje jediná úroveň produktu pro jakoukoli úrokovou míru. LM = je svislice, protínající vodorovnou osu v bodě Y</w:t>
      </w:r>
    </w:p>
    <w:p w:rsidR="00E23E01" w:rsidRDefault="00E23E01">
      <w:pPr>
        <w:jc w:val="both"/>
      </w:pPr>
    </w:p>
    <w:p w:rsidR="00C13CEF" w:rsidRDefault="00C13CEF">
      <w:pPr>
        <w:jc w:val="both"/>
      </w:pPr>
    </w:p>
    <w:p w:rsidR="00C13CEF" w:rsidRPr="00C13CEF" w:rsidRDefault="00C13CEF">
      <w:pPr>
        <w:jc w:val="both"/>
        <w:rPr>
          <w:i/>
          <w:sz w:val="36"/>
        </w:rPr>
      </w:pPr>
      <w:r>
        <w:rPr>
          <w:i/>
          <w:sz w:val="36"/>
        </w:rPr>
        <w:t>Růst C (spotřeba) vyvolá vyšší úrok, protože poroste poptávka po spotřebních úvěrech. Vyšší úroky z úvěrů znamenají i vyšší výnos pro držitele úspor, a proto vzroste sklon k S (úspory)</w:t>
      </w:r>
    </w:p>
    <w:p w:rsidR="00783598" w:rsidRPr="00340E4C" w:rsidRDefault="0033114D">
      <w:pPr>
        <w:jc w:val="both"/>
      </w:pPr>
      <w:r w:rsidRPr="00340E4C">
        <w:rPr>
          <w:noProof/>
          <w:lang w:val="de-DE" w:eastAsia="de-DE"/>
        </w:rPr>
        <w:lastRenderedPageBreak/>
        <w:drawing>
          <wp:inline distT="0" distB="0" distL="0" distR="0" wp14:anchorId="32D32075" wp14:editId="6890F53A">
            <wp:extent cx="5438775" cy="4800600"/>
            <wp:effectExtent l="0" t="0" r="9525" b="0"/>
            <wp:docPr id="121" name="obrázek 121" descr="Model IS-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odel IS-LM"/>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38775" cy="4800600"/>
                    </a:xfrm>
                    <a:prstGeom prst="rect">
                      <a:avLst/>
                    </a:prstGeom>
                    <a:noFill/>
                    <a:ln>
                      <a:noFill/>
                    </a:ln>
                  </pic:spPr>
                </pic:pic>
              </a:graphicData>
            </a:graphic>
          </wp:inline>
        </w:drawing>
      </w:r>
    </w:p>
    <w:p w:rsidR="00783598" w:rsidRPr="00340E4C" w:rsidRDefault="00783598">
      <w:pPr>
        <w:jc w:val="both"/>
      </w:pPr>
    </w:p>
    <w:p w:rsidR="00783598" w:rsidRDefault="00783598">
      <w:pPr>
        <w:jc w:val="both"/>
      </w:pPr>
      <w:r w:rsidRPr="00340E4C">
        <w:t>V průsečíku E jsou v rovnováze všechny tři trhy: zboží, peněz a úspor-investic.</w:t>
      </w:r>
    </w:p>
    <w:p w:rsidR="004B4A1D" w:rsidRPr="00340E4C" w:rsidRDefault="004B4A1D">
      <w:pPr>
        <w:jc w:val="both"/>
      </w:pPr>
      <w:r>
        <w:t xml:space="preserve">Blíže realitě je Mundell-Flemingův model. Zavádí totiž do modelu IS-LM eště třetí funkci a sice závislost platební bilance na úrokové míře a směnném kurzu. </w:t>
      </w:r>
    </w:p>
    <w:p w:rsidR="00783598" w:rsidRPr="00340E4C" w:rsidRDefault="00783598"/>
    <w:p w:rsidR="00556EF9" w:rsidRPr="00340E4C" w:rsidRDefault="00556EF9" w:rsidP="00556EF9">
      <w:pPr>
        <w:jc w:val="both"/>
      </w:pPr>
      <w:r w:rsidRPr="004B4A1D">
        <w:rPr>
          <w:b/>
        </w:rPr>
        <w:t>Past na likviditu</w:t>
      </w:r>
      <w:r w:rsidRPr="00340E4C">
        <w:t xml:space="preserve"> – citlivost poptávky po penězích vzhledem k úrokové míře se blíží nekonečnu. Taková situace nastává při velmi nízké úrokové míře. Veškerá nabízená likvidita je pohlcena, protože je levná. Nemá smysl investovat peníze, všichni preferují hotovost a likvidita neustále klesá. „je lepší vyhazovat peníze rovnou z vrtulníku“, (monetaristé)</w:t>
      </w:r>
    </w:p>
    <w:p w:rsidR="00556EF9" w:rsidRPr="00340E4C" w:rsidRDefault="00556EF9" w:rsidP="00556EF9">
      <w:pPr>
        <w:jc w:val="both"/>
      </w:pPr>
    </w:p>
    <w:p w:rsidR="00556EF9" w:rsidRPr="004B4A1D" w:rsidRDefault="00556EF9" w:rsidP="00636A7A">
      <w:pPr>
        <w:pStyle w:val="StandardWeb"/>
        <w:spacing w:after="0"/>
        <w:jc w:val="both"/>
        <w:rPr>
          <w:b/>
          <w:bCs/>
        </w:rPr>
      </w:pPr>
      <w:r w:rsidRPr="004B4A1D">
        <w:rPr>
          <w:b/>
          <w:bCs/>
        </w:rPr>
        <w:t>Jiný popis pasti na likviditu:</w:t>
      </w:r>
    </w:p>
    <w:p w:rsidR="00556EF9" w:rsidRPr="00340E4C" w:rsidRDefault="00556EF9" w:rsidP="00636A7A">
      <w:pPr>
        <w:pStyle w:val="StandardWeb"/>
        <w:spacing w:after="0"/>
        <w:jc w:val="both"/>
      </w:pPr>
      <w:r w:rsidRPr="004B4A1D">
        <w:rPr>
          <w:b/>
          <w:bCs/>
        </w:rPr>
        <w:t>Pastí na likviditu</w:t>
      </w:r>
      <w:r w:rsidRPr="004B4A1D">
        <w:t xml:space="preserve"> je situace, kdy monetární zásahy centrální banky do ekonomiky nestačí na zvrat celé</w:t>
      </w:r>
      <w:r w:rsidR="00BA7B16" w:rsidRPr="004B4A1D">
        <w:t xml:space="preserve"> ekonomiky</w:t>
      </w:r>
      <w:r w:rsidRPr="004B4A1D">
        <w:t>. Centrální banka ve snaze ekonomiku rozhýbat už postupně zlevnila peníze na minimum (snížila úrokové sazby na 0 %), ale ani to stále nestačí na zvrat a opětovný růst zaměstnanosti. Naopak jsou tak nízké úrokové míry, že spekulativní poptávka absorbuje všechny přírůstky peněžní zásoby, místo aby se tyto investovaly. Protože je úroková míra hlavní/jediný způsob pro zvýšení peněz v oběhu, centrální banka tak přichází i o poslední nástroj, jak zatlačit na růst inflace a tím i jak zvrátit očekávání trhu: S ukončením intervencí naopak hrozí pád do deflace, což by vedlo k odkládání spotřeby a prohlubování krize.</w:t>
      </w:r>
    </w:p>
    <w:p w:rsidR="00783598" w:rsidRPr="00340E4C" w:rsidRDefault="00783598">
      <w:pPr>
        <w:sectPr w:rsidR="00783598" w:rsidRPr="00340E4C">
          <w:pgSz w:w="11906" w:h="16838"/>
          <w:pgMar w:top="1417" w:right="1417" w:bottom="1417" w:left="1417" w:header="708" w:footer="708" w:gutter="0"/>
          <w:cols w:space="708"/>
          <w:docGrid w:linePitch="360"/>
        </w:sectPr>
      </w:pPr>
    </w:p>
    <w:p w:rsidR="00783598" w:rsidRPr="00340E4C" w:rsidRDefault="00783598"/>
    <w:p w:rsidR="00783598" w:rsidRPr="00340E4C" w:rsidRDefault="00783598" w:rsidP="00636A7A">
      <w:pPr>
        <w:pStyle w:val="berschrift1"/>
      </w:pPr>
      <w:bookmarkStart w:id="69" w:name="_Toc240444147"/>
      <w:bookmarkStart w:id="70" w:name="_Toc240775347"/>
      <w:bookmarkStart w:id="71" w:name="_Toc281979946"/>
      <w:bookmarkStart w:id="72" w:name="_Toc281979988"/>
      <w:bookmarkStart w:id="73" w:name="_Toc296073442"/>
      <w:bookmarkStart w:id="74" w:name="_Toc297533150"/>
      <w:bookmarkStart w:id="75" w:name="_Toc303675510"/>
      <w:bookmarkStart w:id="76" w:name="_Toc303963011"/>
      <w:bookmarkStart w:id="77" w:name="_Toc306176400"/>
      <w:bookmarkStart w:id="78" w:name="_Toc315341169"/>
      <w:bookmarkStart w:id="79" w:name="_Toc316459964"/>
      <w:bookmarkStart w:id="80" w:name="_Toc316460439"/>
      <w:bookmarkStart w:id="81" w:name="_Toc318291416"/>
      <w:bookmarkStart w:id="82" w:name="_Toc328466822"/>
      <w:bookmarkStart w:id="83" w:name="_Toc335724879"/>
      <w:bookmarkStart w:id="84" w:name="_Toc411926284"/>
      <w:bookmarkStart w:id="85" w:name="_Toc1629137"/>
      <w:r w:rsidRPr="00340E4C">
        <w:t>Ekonomický růst a hospodářský cyklus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83598" w:rsidRPr="00340E4C" w:rsidRDefault="00783598" w:rsidP="00636A7A">
      <w:pPr>
        <w:pStyle w:val="berschrift2"/>
      </w:pPr>
      <w:r w:rsidRPr="00340E4C">
        <w:t>Ekonomický růst</w:t>
      </w:r>
    </w:p>
    <w:p w:rsidR="00783598" w:rsidRPr="00340E4C" w:rsidRDefault="00783598"/>
    <w:p w:rsidR="00783598" w:rsidRPr="00340E4C" w:rsidRDefault="00783598">
      <w:r w:rsidRPr="00340E4C">
        <w:t>Co to je ekonomický růst?</w:t>
      </w:r>
    </w:p>
    <w:p w:rsidR="00783598" w:rsidRPr="00340E4C" w:rsidRDefault="00783598">
      <w:pPr>
        <w:jc w:val="both"/>
      </w:pPr>
      <w:r w:rsidRPr="00340E4C">
        <w:rPr>
          <w:b/>
          <w:bCs/>
        </w:rPr>
        <w:t>Ekonomický růst</w:t>
      </w:r>
      <w:r w:rsidRPr="00340E4C">
        <w:t xml:space="preserve"> představuje zvýšení potenciálního GNP. Použije-li se pojem hranice produkčních možností (PPF), může se znázornit ekonomický růst jako posun této hranice severovýchodním směrem. Ekonomický růst se většinou měří jako roční tempo růstu reálného GNP (nebo reálného potenciálního produktu) určité země. </w:t>
      </w:r>
    </w:p>
    <w:p w:rsidR="00783598" w:rsidRPr="00340E4C" w:rsidRDefault="00783598">
      <w:pPr>
        <w:jc w:val="both"/>
      </w:pPr>
      <w:r w:rsidRPr="00340E4C">
        <w:t xml:space="preserve">Metodicky čistší je měřit </w:t>
      </w:r>
      <w:r w:rsidRPr="00340E4C">
        <w:rPr>
          <w:b/>
          <w:bCs/>
        </w:rPr>
        <w:t>růst produktu na jednoto obyvatele</w:t>
      </w:r>
      <w:r w:rsidRPr="00340E4C">
        <w:t>. V tom případě se dělí růst produktu počtem obyvatel.</w:t>
      </w:r>
    </w:p>
    <w:p w:rsidR="00783598" w:rsidRPr="00340E4C" w:rsidRDefault="00783598">
      <w:pPr>
        <w:pStyle w:val="StandardWeb"/>
        <w:jc w:val="both"/>
        <w:rPr>
          <w:szCs w:val="18"/>
        </w:rPr>
      </w:pPr>
      <w:r w:rsidRPr="00340E4C">
        <w:rPr>
          <w:b/>
          <w:bCs/>
          <w:szCs w:val="18"/>
        </w:rPr>
        <w:t xml:space="preserve">Hranice produkčních možností </w:t>
      </w:r>
      <w:r w:rsidRPr="00340E4C">
        <w:rPr>
          <w:szCs w:val="18"/>
        </w:rPr>
        <w:t>je graf kombinující statky, které může daná země s danými zdroji a prostředky produkovat. Bodů ležících vně PPF (severovýchodně od ní) nelze krátkodobě dosáhnout. Oproti tomu body, které leží uvnitř představují neefektivnost produkce dané země (nejsou využity všechny zdroje a prostředky).</w:t>
      </w:r>
    </w:p>
    <w:p w:rsidR="00783598" w:rsidRPr="00340E4C" w:rsidRDefault="00783598">
      <w:pPr>
        <w:pStyle w:val="Verzeichnis1"/>
      </w:pPr>
      <w:r w:rsidRPr="00340E4C">
        <w:t xml:space="preserve">Zpravidla je důležité rozlišovat krátkodobé zvýšení produktu, střídané jeho poklesem a dlouhodobý trend. </w:t>
      </w:r>
      <w:r w:rsidR="00877E5F">
        <w:t xml:space="preserve"> Dlouhodobý trend je jasný růst.</w:t>
      </w:r>
    </w:p>
    <w:p w:rsidR="00783598" w:rsidRPr="00340E4C" w:rsidRDefault="00783598">
      <w:r w:rsidRPr="00340E4C">
        <w:t>Ekonom se ptá, proč některé země rostou rychle a jiné pomalu?</w:t>
      </w:r>
    </w:p>
    <w:p w:rsidR="00783598" w:rsidRDefault="00783598"/>
    <w:p w:rsidR="00EB34B6" w:rsidRPr="00340E4C" w:rsidRDefault="00783598">
      <w:r w:rsidRPr="00340E4C">
        <w:t>HDP České republiky</w:t>
      </w:r>
      <w:r w:rsidR="00EB34B6" w:rsidRPr="00340E4C">
        <w:t>:</w:t>
      </w:r>
    </w:p>
    <w:p w:rsidR="00EB34B6" w:rsidRPr="00340E4C" w:rsidRDefault="00EB34B6"/>
    <w:tbl>
      <w:tblPr>
        <w:tblW w:w="18198" w:type="dxa"/>
        <w:tblInd w:w="70" w:type="dxa"/>
        <w:tblCellMar>
          <w:left w:w="70" w:type="dxa"/>
          <w:right w:w="70" w:type="dxa"/>
        </w:tblCellMar>
        <w:tblLook w:val="04A0" w:firstRow="1" w:lastRow="0" w:firstColumn="1" w:lastColumn="0" w:noHBand="0" w:noVBand="1"/>
      </w:tblPr>
      <w:tblGrid>
        <w:gridCol w:w="8258"/>
        <w:gridCol w:w="1156"/>
        <w:gridCol w:w="976"/>
        <w:gridCol w:w="976"/>
        <w:gridCol w:w="976"/>
        <w:gridCol w:w="976"/>
        <w:gridCol w:w="976"/>
        <w:gridCol w:w="976"/>
        <w:gridCol w:w="976"/>
        <w:gridCol w:w="976"/>
        <w:gridCol w:w="976"/>
      </w:tblGrid>
      <w:tr w:rsidR="00A407ED" w:rsidRPr="00340E4C" w:rsidTr="00A407ED">
        <w:trPr>
          <w:trHeight w:val="300"/>
        </w:trPr>
        <w:tc>
          <w:tcPr>
            <w:tcW w:w="8258" w:type="dxa"/>
            <w:tcBorders>
              <w:top w:val="nil"/>
              <w:left w:val="nil"/>
              <w:bottom w:val="nil"/>
              <w:right w:val="nil"/>
            </w:tcBorders>
            <w:shd w:val="clear" w:color="auto" w:fill="auto"/>
            <w:noWrap/>
            <w:vAlign w:val="bottom"/>
            <w:hideMark/>
          </w:tcPr>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46"/>
              <w:gridCol w:w="1184"/>
              <w:gridCol w:w="811"/>
              <w:gridCol w:w="1488"/>
              <w:gridCol w:w="1161"/>
            </w:tblGrid>
            <w:tr w:rsidR="00216649" w:rsidTr="00216649">
              <w:trPr>
                <w:gridAfter w:val="4"/>
              </w:trPr>
              <w:tc>
                <w:tcPr>
                  <w:tcW w:w="0" w:type="auto"/>
                  <w:shd w:val="clear" w:color="auto" w:fill="F8F9FA"/>
                  <w:vAlign w:val="center"/>
                  <w:hideMark/>
                </w:tcPr>
                <w:p w:rsidR="00216649" w:rsidRDefault="00216649" w:rsidP="00216649">
                  <w:pPr>
                    <w:rPr>
                      <w:sz w:val="20"/>
                      <w:szCs w:val="20"/>
                    </w:rPr>
                  </w:pPr>
                </w:p>
              </w:tc>
            </w:tr>
            <w:tr w:rsidR="00216649" w:rsidTr="00216649">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spacing w:before="240" w:after="240"/>
                    <w:jc w:val="center"/>
                    <w:rPr>
                      <w:rFonts w:ascii="Arial" w:hAnsi="Arial" w:cs="Arial"/>
                      <w:b/>
                      <w:bCs/>
                      <w:color w:val="222222"/>
                      <w:sz w:val="21"/>
                      <w:szCs w:val="21"/>
                    </w:rPr>
                  </w:pPr>
                  <w:r>
                    <w:rPr>
                      <w:rFonts w:ascii="Arial" w:hAnsi="Arial" w:cs="Arial"/>
                      <w:b/>
                      <w:bCs/>
                      <w:color w:val="222222"/>
                      <w:sz w:val="21"/>
                      <w:szCs w:val="21"/>
                    </w:rPr>
                    <w:t>rok</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6647E4" w:rsidP="00216649">
                  <w:pPr>
                    <w:spacing w:before="240" w:after="240"/>
                    <w:jc w:val="center"/>
                    <w:rPr>
                      <w:rFonts w:ascii="Arial" w:hAnsi="Arial" w:cs="Arial"/>
                      <w:b/>
                      <w:bCs/>
                      <w:color w:val="222222"/>
                      <w:sz w:val="21"/>
                      <w:szCs w:val="21"/>
                    </w:rPr>
                  </w:pPr>
                  <w:hyperlink r:id="rId57" w:tooltip="Hrubý domácí produkt" w:history="1">
                    <w:r w:rsidR="00216649">
                      <w:rPr>
                        <w:rStyle w:val="Hyperlink"/>
                        <w:rFonts w:ascii="Arial" w:hAnsi="Arial" w:cs="Arial"/>
                        <w:b/>
                        <w:bCs/>
                        <w:color w:val="0B0080"/>
                        <w:sz w:val="21"/>
                        <w:szCs w:val="21"/>
                      </w:rPr>
                      <w:t>HDP</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spacing w:before="240" w:after="240"/>
                    <w:jc w:val="center"/>
                    <w:rPr>
                      <w:rFonts w:ascii="Arial" w:hAnsi="Arial" w:cs="Arial"/>
                      <w:b/>
                      <w:bCs/>
                      <w:color w:val="222222"/>
                      <w:sz w:val="21"/>
                      <w:szCs w:val="21"/>
                    </w:rPr>
                  </w:pPr>
                  <w:r>
                    <w:rPr>
                      <w:rFonts w:ascii="Arial" w:hAnsi="Arial" w:cs="Arial"/>
                      <w:b/>
                      <w:bCs/>
                      <w:color w:val="222222"/>
                      <w:sz w:val="21"/>
                      <w:szCs w:val="21"/>
                    </w:rPr>
                    <w:t>Míra</w:t>
                  </w:r>
                </w:p>
                <w:p w:rsidR="00216649" w:rsidRDefault="00216649" w:rsidP="00216649">
                  <w:pPr>
                    <w:pStyle w:val="StandardWeb"/>
                    <w:spacing w:before="120" w:after="120"/>
                    <w:jc w:val="center"/>
                    <w:rPr>
                      <w:rFonts w:ascii="Arial" w:hAnsi="Arial" w:cs="Arial"/>
                      <w:b/>
                      <w:bCs/>
                      <w:color w:val="222222"/>
                      <w:sz w:val="21"/>
                      <w:szCs w:val="21"/>
                    </w:rPr>
                  </w:pPr>
                  <w:r>
                    <w:rPr>
                      <w:rFonts w:ascii="Arial" w:hAnsi="Arial" w:cs="Arial"/>
                      <w:b/>
                      <w:bCs/>
                      <w:color w:val="222222"/>
                      <w:sz w:val="21"/>
                      <w:szCs w:val="21"/>
                    </w:rPr>
                    <w:t>konvergence</w:t>
                  </w:r>
                </w:p>
                <w:p w:rsidR="00216649" w:rsidRDefault="00216649" w:rsidP="00216649">
                  <w:pPr>
                    <w:pStyle w:val="StandardWeb"/>
                    <w:spacing w:before="120" w:after="120"/>
                    <w:jc w:val="center"/>
                    <w:rPr>
                      <w:rFonts w:ascii="Arial" w:hAnsi="Arial" w:cs="Arial"/>
                      <w:b/>
                      <w:bCs/>
                      <w:color w:val="222222"/>
                      <w:sz w:val="21"/>
                      <w:szCs w:val="21"/>
                    </w:rPr>
                  </w:pPr>
                  <w:r>
                    <w:rPr>
                      <w:rFonts w:ascii="Arial" w:hAnsi="Arial" w:cs="Arial"/>
                      <w:b/>
                      <w:bCs/>
                      <w:color w:val="222222"/>
                      <w:sz w:val="21"/>
                      <w:szCs w:val="21"/>
                    </w:rPr>
                    <w:t>k EU</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průměrná</w:t>
                  </w:r>
                </w:p>
                <w:p w:rsidR="00216649" w:rsidRDefault="00216649" w:rsidP="00216649">
                  <w:pPr>
                    <w:pStyle w:val="StandardWeb"/>
                    <w:spacing w:before="120" w:after="120"/>
                    <w:jc w:val="center"/>
                    <w:rPr>
                      <w:rFonts w:ascii="Arial" w:hAnsi="Arial" w:cs="Arial"/>
                      <w:b/>
                      <w:bCs/>
                      <w:color w:val="222222"/>
                      <w:sz w:val="21"/>
                      <w:szCs w:val="21"/>
                    </w:rPr>
                  </w:pPr>
                  <w:r>
                    <w:rPr>
                      <w:rFonts w:ascii="Arial" w:hAnsi="Arial" w:cs="Arial"/>
                      <w:b/>
                      <w:bCs/>
                      <w:color w:val="222222"/>
                      <w:sz w:val="21"/>
                      <w:szCs w:val="21"/>
                    </w:rPr>
                    <w:t>míra</w:t>
                  </w:r>
                </w:p>
                <w:p w:rsidR="00216649" w:rsidRDefault="006647E4" w:rsidP="00216649">
                  <w:pPr>
                    <w:pStyle w:val="StandardWeb"/>
                    <w:spacing w:before="120" w:after="120"/>
                    <w:jc w:val="center"/>
                    <w:rPr>
                      <w:rFonts w:ascii="Arial" w:hAnsi="Arial" w:cs="Arial"/>
                      <w:b/>
                      <w:bCs/>
                      <w:color w:val="222222"/>
                      <w:sz w:val="21"/>
                      <w:szCs w:val="21"/>
                    </w:rPr>
                  </w:pPr>
                  <w:hyperlink r:id="rId58" w:tooltip="Inflace" w:history="1">
                    <w:r w:rsidR="00216649">
                      <w:rPr>
                        <w:rStyle w:val="Hyperlink"/>
                        <w:rFonts w:ascii="Arial" w:hAnsi="Arial" w:cs="Arial"/>
                        <w:b/>
                        <w:bCs/>
                        <w:color w:val="0B0080"/>
                        <w:sz w:val="21"/>
                        <w:szCs w:val="21"/>
                      </w:rPr>
                      <w:t>inflace</w:t>
                    </w:r>
                  </w:hyperlink>
                </w:p>
              </w:tc>
            </w:tr>
            <w:tr w:rsidR="00216649" w:rsidTr="00216649">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16649" w:rsidRDefault="00216649" w:rsidP="00216649">
                  <w:pPr>
                    <w:rPr>
                      <w:rFonts w:ascii="Arial" w:hAnsi="Arial" w:cs="Arial"/>
                      <w:b/>
                      <w:bCs/>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nominální</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reálný</w:t>
                  </w:r>
                </w:p>
                <w:p w:rsidR="00216649" w:rsidRDefault="00216649" w:rsidP="00216649">
                  <w:pPr>
                    <w:pStyle w:val="StandardWeb"/>
                    <w:spacing w:before="120" w:after="120"/>
                    <w:jc w:val="center"/>
                    <w:rPr>
                      <w:rFonts w:ascii="Arial" w:hAnsi="Arial" w:cs="Arial"/>
                      <w:b/>
                      <w:bCs/>
                      <w:color w:val="222222"/>
                      <w:sz w:val="21"/>
                      <w:szCs w:val="21"/>
                    </w:rPr>
                  </w:pPr>
                  <w:r>
                    <w:rPr>
                      <w:rFonts w:ascii="Arial" w:hAnsi="Arial" w:cs="Arial"/>
                      <w:b/>
                      <w:bCs/>
                      <w:color w:val="222222"/>
                      <w:sz w:val="21"/>
                      <w:szCs w:val="21"/>
                    </w:rPr>
                    <w:t>růst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16649" w:rsidRDefault="00216649" w:rsidP="00216649">
                  <w:pPr>
                    <w:rPr>
                      <w:rFonts w:ascii="Arial" w:hAnsi="Arial" w:cs="Arial"/>
                      <w:b/>
                      <w:bCs/>
                      <w:color w:val="2222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216649" w:rsidRDefault="00216649" w:rsidP="00216649">
                  <w:pPr>
                    <w:rPr>
                      <w:rFonts w:ascii="Arial" w:hAnsi="Arial" w:cs="Arial"/>
                      <w:b/>
                      <w:bCs/>
                      <w:color w:val="222222"/>
                      <w:sz w:val="21"/>
                      <w:szCs w:val="21"/>
                    </w:rPr>
                  </w:pP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1993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1196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20,8 %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1994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1365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10,0 %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1995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1580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5,9 %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77 %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9,1 %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1813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8,8 %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1997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1953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-0,7 %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76 %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8,5 %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1998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2143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10,7 %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1999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2237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2,1 %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2373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4,6 %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3,9 %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2563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74 %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4,7 %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2675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1,6 %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74 %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1,8 %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2801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3,6 %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77 %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0,1 %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3058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4,8 %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2,8 %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3258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6,5 %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80 %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1,9 %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3507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7,1 %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2,5 %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3832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5,5 %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84 %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2,8 %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2,5 %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6,3 %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lastRenderedPageBreak/>
                    <w:t>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3922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-4,7 %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1,0 %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3954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81 %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1,5 %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4034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1,9 %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4060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-0,8 %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3,3 %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4098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-0,9 %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1,4 %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4314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85 %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0,4 %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4555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88 %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0,3 %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4715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2,3 %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i/>
                      <w:iCs/>
                      <w:color w:val="222222"/>
                      <w:sz w:val="21"/>
                      <w:szCs w:val="21"/>
                    </w:rPr>
                    <w:t>0,5 %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color w:val="222222"/>
                      <w:sz w:val="21"/>
                      <w:szCs w:val="21"/>
                    </w:rPr>
                    <w:t>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5050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color w:val="222222"/>
                      <w:sz w:val="21"/>
                      <w:szCs w:val="21"/>
                    </w:rPr>
                    <w:t>4,6 %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i/>
                      <w:iCs/>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i/>
                      <w:iCs/>
                      <w:color w:val="222222"/>
                      <w:sz w:val="21"/>
                      <w:szCs w:val="21"/>
                    </w:rPr>
                    <w:t>1,6 %</w:t>
                  </w:r>
                </w:p>
              </w:tc>
            </w:tr>
            <w:tr w:rsidR="00216649" w:rsidTr="0021664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16649" w:rsidRDefault="00216649" w:rsidP="00216649">
                  <w:pPr>
                    <w:jc w:val="center"/>
                    <w:rPr>
                      <w:rFonts w:ascii="Arial" w:hAnsi="Arial" w:cs="Arial"/>
                      <w:b/>
                      <w:bCs/>
                      <w:color w:val="222222"/>
                      <w:sz w:val="21"/>
                      <w:szCs w:val="21"/>
                    </w:rPr>
                  </w:pPr>
                  <w:r>
                    <w:rPr>
                      <w:rFonts w:ascii="Arial" w:hAnsi="Arial" w:cs="Arial"/>
                      <w:b/>
                      <w:bCs/>
                      <w:i/>
                      <w:iCs/>
                      <w:color w:val="222222"/>
                      <w:sz w:val="21"/>
                      <w:szCs w:val="21"/>
                    </w:rPr>
                    <w:t>p 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i/>
                      <w:iCs/>
                      <w:color w:val="222222"/>
                      <w:sz w:val="21"/>
                      <w:szCs w:val="21"/>
                    </w:rPr>
                    <w:t>5033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i/>
                      <w:iCs/>
                      <w:color w:val="222222"/>
                      <w:sz w:val="21"/>
                      <w:szCs w:val="21"/>
                    </w:rPr>
                    <w:t>2,8 %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i/>
                      <w:iCs/>
                      <w:color w:val="2222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649" w:rsidRDefault="00216649" w:rsidP="00216649">
                  <w:pPr>
                    <w:jc w:val="right"/>
                    <w:rPr>
                      <w:rFonts w:ascii="Arial" w:hAnsi="Arial" w:cs="Arial"/>
                      <w:color w:val="222222"/>
                      <w:sz w:val="21"/>
                      <w:szCs w:val="21"/>
                    </w:rPr>
                  </w:pPr>
                  <w:r>
                    <w:rPr>
                      <w:rFonts w:ascii="Arial" w:hAnsi="Arial" w:cs="Arial"/>
                      <w:i/>
                      <w:iCs/>
                      <w:color w:val="222222"/>
                      <w:sz w:val="21"/>
                      <w:szCs w:val="21"/>
                    </w:rPr>
                    <w:t>1,8 %</w:t>
                  </w:r>
                </w:p>
              </w:tc>
            </w:tr>
          </w:tbl>
          <w:p w:rsidR="00A407ED" w:rsidRPr="00340E4C" w:rsidRDefault="00A407ED" w:rsidP="00A407ED">
            <w:pPr>
              <w:rPr>
                <w:rFonts w:ascii="Calibri" w:eastAsia="Times New Roman" w:hAnsi="Calibri"/>
                <w:color w:val="000000"/>
                <w:sz w:val="22"/>
                <w:szCs w:val="22"/>
                <w:lang w:eastAsia="cs-CZ"/>
              </w:rPr>
            </w:pPr>
          </w:p>
        </w:tc>
        <w:tc>
          <w:tcPr>
            <w:tcW w:w="115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A407ED" w:rsidRPr="00340E4C" w:rsidRDefault="00A407ED" w:rsidP="00A407ED">
            <w:pPr>
              <w:rPr>
                <w:rFonts w:ascii="Calibri" w:eastAsia="Times New Roman" w:hAnsi="Calibri"/>
                <w:color w:val="000000"/>
                <w:sz w:val="22"/>
                <w:szCs w:val="22"/>
                <w:lang w:eastAsia="cs-CZ"/>
              </w:rPr>
            </w:pPr>
          </w:p>
        </w:tc>
      </w:tr>
      <w:tr w:rsidR="000F1CCE" w:rsidRPr="00340E4C" w:rsidTr="00DC7147">
        <w:trPr>
          <w:trHeight w:val="300"/>
        </w:trPr>
        <w:tc>
          <w:tcPr>
            <w:tcW w:w="8258" w:type="dxa"/>
            <w:tcBorders>
              <w:top w:val="nil"/>
              <w:left w:val="nil"/>
              <w:bottom w:val="nil"/>
              <w:right w:val="nil"/>
            </w:tcBorders>
            <w:shd w:val="clear" w:color="auto" w:fill="auto"/>
            <w:noWrap/>
            <w:vAlign w:val="bottom"/>
            <w:hideMark/>
          </w:tcPr>
          <w:p w:rsidR="000F1CCE" w:rsidRDefault="000F1CCE" w:rsidP="00A407ED">
            <w:pPr>
              <w:rPr>
                <w:rFonts w:ascii="Calibri" w:eastAsia="Times New Roman" w:hAnsi="Calibri"/>
                <w:color w:val="000000"/>
                <w:sz w:val="22"/>
                <w:szCs w:val="22"/>
                <w:lang w:eastAsia="cs-CZ"/>
              </w:rPr>
            </w:pPr>
          </w:p>
          <w:p w:rsidR="000F1CCE" w:rsidRPr="00340E4C" w:rsidRDefault="000F1CCE" w:rsidP="00A407ED">
            <w:pPr>
              <w:rPr>
                <w:rFonts w:ascii="Calibri" w:eastAsia="Times New Roman" w:hAnsi="Calibri"/>
                <w:color w:val="000000"/>
                <w:sz w:val="22"/>
                <w:szCs w:val="22"/>
                <w:lang w:eastAsia="cs-CZ"/>
              </w:rPr>
            </w:pPr>
            <w:r>
              <w:rPr>
                <w:rFonts w:ascii="Calibri" w:eastAsia="Times New Roman" w:hAnsi="Calibri"/>
                <w:color w:val="000000"/>
                <w:sz w:val="22"/>
                <w:szCs w:val="22"/>
                <w:lang w:eastAsia="cs-CZ"/>
              </w:rPr>
              <w:t>Meziroční změna HDP ČR v reálných cenách</w:t>
            </w:r>
          </w:p>
        </w:tc>
        <w:tc>
          <w:tcPr>
            <w:tcW w:w="115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c>
          <w:tcPr>
            <w:tcW w:w="976" w:type="dxa"/>
            <w:tcBorders>
              <w:top w:val="nil"/>
              <w:left w:val="nil"/>
              <w:bottom w:val="nil"/>
              <w:right w:val="nil"/>
            </w:tcBorders>
            <w:shd w:val="clear" w:color="auto" w:fill="auto"/>
            <w:noWrap/>
            <w:vAlign w:val="bottom"/>
            <w:hideMark/>
          </w:tcPr>
          <w:p w:rsidR="000F1CCE" w:rsidRPr="00340E4C" w:rsidRDefault="000F1CCE" w:rsidP="00A407ED">
            <w:pPr>
              <w:rPr>
                <w:rFonts w:ascii="Calibri" w:eastAsia="Times New Roman" w:hAnsi="Calibri"/>
                <w:color w:val="000000"/>
                <w:sz w:val="22"/>
                <w:szCs w:val="22"/>
                <w:lang w:eastAsia="cs-CZ"/>
              </w:rPr>
            </w:pPr>
          </w:p>
        </w:tc>
      </w:tr>
    </w:tbl>
    <w:p w:rsidR="000F1CCE" w:rsidRDefault="000F1CCE">
      <w:r>
        <w:rPr>
          <w:noProof/>
          <w:lang w:val="de-DE" w:eastAsia="de-DE"/>
        </w:rPr>
        <w:drawing>
          <wp:inline distT="0" distB="0" distL="0" distR="0">
            <wp:extent cx="5759450" cy="35674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P-CR.JPG"/>
                    <pic:cNvPicPr/>
                  </pic:nvPicPr>
                  <pic:blipFill>
                    <a:blip r:embed="rId59">
                      <a:extLst>
                        <a:ext uri="{28A0092B-C50C-407E-A947-70E740481C1C}">
                          <a14:useLocalDpi xmlns:a14="http://schemas.microsoft.com/office/drawing/2010/main" val="0"/>
                        </a:ext>
                      </a:extLst>
                    </a:blip>
                    <a:stretch>
                      <a:fillRect/>
                    </a:stretch>
                  </pic:blipFill>
                  <pic:spPr>
                    <a:xfrm>
                      <a:off x="0" y="0"/>
                      <a:ext cx="5759450" cy="3567430"/>
                    </a:xfrm>
                    <a:prstGeom prst="rect">
                      <a:avLst/>
                    </a:prstGeom>
                  </pic:spPr>
                </pic:pic>
              </a:graphicData>
            </a:graphic>
          </wp:inline>
        </w:drawing>
      </w:r>
    </w:p>
    <w:p w:rsidR="000F1CCE" w:rsidRDefault="000F1CCE"/>
    <w:p w:rsidR="00783598" w:rsidRPr="00340E4C" w:rsidRDefault="00783598">
      <w:r w:rsidRPr="00340E4C">
        <w:t>Co je příčinou růstu?</w:t>
      </w:r>
    </w:p>
    <w:p w:rsidR="00783598" w:rsidRPr="00340E4C" w:rsidRDefault="00783598" w:rsidP="001741A7">
      <w:pPr>
        <w:numPr>
          <w:ilvl w:val="0"/>
          <w:numId w:val="1"/>
        </w:numPr>
      </w:pPr>
      <w:r w:rsidRPr="00340E4C">
        <w:t>kvantitativní zdroje – do ekonomických činností se zapojí více výrobních faktorů</w:t>
      </w:r>
    </w:p>
    <w:p w:rsidR="00783598" w:rsidRPr="00340E4C" w:rsidRDefault="00783598" w:rsidP="001741A7">
      <w:pPr>
        <w:numPr>
          <w:ilvl w:val="0"/>
          <w:numId w:val="1"/>
        </w:numPr>
      </w:pPr>
      <w:r w:rsidRPr="00340E4C">
        <w:t xml:space="preserve">kvalitativní zdroje – do ekonomických činností se zapojí lepší výrobní faktor </w:t>
      </w:r>
      <w:r w:rsidRPr="00340E4C">
        <w:rPr>
          <w:b/>
          <w:bCs/>
        </w:rPr>
        <w:t xml:space="preserve">nebo se zapojí lépe /lepší kombinace, </w:t>
      </w:r>
      <w:r w:rsidR="00AF2582" w:rsidRPr="00340E4C">
        <w:rPr>
          <w:b/>
          <w:bCs/>
        </w:rPr>
        <w:t xml:space="preserve">makroekonomická </w:t>
      </w:r>
      <w:r w:rsidRPr="00340E4C">
        <w:rPr>
          <w:b/>
          <w:bCs/>
        </w:rPr>
        <w:t xml:space="preserve">organizace, </w:t>
      </w:r>
      <w:r w:rsidR="00AF2582" w:rsidRPr="00340E4C">
        <w:rPr>
          <w:b/>
          <w:bCs/>
        </w:rPr>
        <w:t xml:space="preserve">daňová </w:t>
      </w:r>
      <w:r w:rsidRPr="00340E4C">
        <w:rPr>
          <w:b/>
          <w:bCs/>
        </w:rPr>
        <w:t>motivace</w:t>
      </w:r>
      <w:r w:rsidR="00AF2582" w:rsidRPr="00340E4C">
        <w:rPr>
          <w:b/>
          <w:bCs/>
        </w:rPr>
        <w:t xml:space="preserve">, zlepšení podnikatelského prostředí, </w:t>
      </w:r>
      <w:r w:rsidRPr="00340E4C">
        <w:rPr>
          <w:b/>
          <w:bCs/>
        </w:rPr>
        <w:t>apod.)!</w:t>
      </w:r>
      <w:r w:rsidRPr="00340E4C">
        <w:t xml:space="preserve"> </w:t>
      </w:r>
    </w:p>
    <w:p w:rsidR="00783598" w:rsidRPr="00340E4C" w:rsidRDefault="00783598"/>
    <w:p w:rsidR="00783598" w:rsidRPr="00340E4C" w:rsidRDefault="00020BBE">
      <w:pPr>
        <w:pStyle w:val="StandardWeb"/>
        <w:jc w:val="both"/>
        <w:rPr>
          <w:szCs w:val="18"/>
        </w:rPr>
      </w:pPr>
      <w:r>
        <w:rPr>
          <w:szCs w:val="18"/>
        </w:rPr>
        <w:t>H</w:t>
      </w:r>
      <w:r w:rsidR="00783598" w:rsidRPr="00340E4C">
        <w:rPr>
          <w:szCs w:val="18"/>
        </w:rPr>
        <w:t xml:space="preserve">lavními zdroji ekonomického růstu </w:t>
      </w:r>
      <w:r>
        <w:rPr>
          <w:szCs w:val="18"/>
        </w:rPr>
        <w:t xml:space="preserve">tedy </w:t>
      </w:r>
      <w:r w:rsidR="00783598" w:rsidRPr="00340E4C">
        <w:rPr>
          <w:szCs w:val="18"/>
        </w:rPr>
        <w:t xml:space="preserve">jsou: růst výrobních faktorů (zejména práce a kapitál), růst celkové produktivity výrobních faktorů, kterou zapříčiňují faktory jako vzdělání, </w:t>
      </w:r>
      <w:r w:rsidR="00EB34B6" w:rsidRPr="00340E4C">
        <w:rPr>
          <w:szCs w:val="18"/>
        </w:rPr>
        <w:t>i</w:t>
      </w:r>
      <w:r w:rsidR="00783598" w:rsidRPr="00340E4C">
        <w:rPr>
          <w:szCs w:val="18"/>
        </w:rPr>
        <w:t>novace, technologie, úspory z rozsahu, vědecký pokrok apod.</w:t>
      </w:r>
      <w:r w:rsidR="00AF2582" w:rsidRPr="00340E4C">
        <w:rPr>
          <w:szCs w:val="18"/>
        </w:rPr>
        <w:t>)</w:t>
      </w:r>
    </w:p>
    <w:p w:rsidR="00783598" w:rsidRPr="00340E4C" w:rsidRDefault="00783598">
      <w:r w:rsidRPr="00340E4C">
        <w:t>Další pojmy:</w:t>
      </w:r>
    </w:p>
    <w:p w:rsidR="00783598" w:rsidRPr="00340E4C" w:rsidRDefault="00783598" w:rsidP="001741A7">
      <w:pPr>
        <w:numPr>
          <w:ilvl w:val="0"/>
          <w:numId w:val="1"/>
        </w:numPr>
      </w:pPr>
      <w:r w:rsidRPr="00340E4C">
        <w:t>Ekonomická úroveň – GDP/obyv.</w:t>
      </w:r>
    </w:p>
    <w:p w:rsidR="00783598" w:rsidRDefault="00783598" w:rsidP="001741A7">
      <w:pPr>
        <w:numPr>
          <w:ilvl w:val="0"/>
          <w:numId w:val="1"/>
        </w:numPr>
      </w:pPr>
      <w:r w:rsidRPr="00340E4C">
        <w:t>Ekonomická síla – absolutní objem GDP dané země</w:t>
      </w:r>
    </w:p>
    <w:p w:rsidR="00C32C7A" w:rsidRPr="00340E4C" w:rsidRDefault="00C32C7A" w:rsidP="00C32C7A"/>
    <w:p w:rsidR="00783598" w:rsidRPr="00340E4C" w:rsidRDefault="00783598" w:rsidP="00636A7A">
      <w:pPr>
        <w:pStyle w:val="berschrift2"/>
      </w:pPr>
      <w:r w:rsidRPr="00340E4C">
        <w:lastRenderedPageBreak/>
        <w:t>Teorie ekonomického růstu</w:t>
      </w:r>
    </w:p>
    <w:p w:rsidR="00783598" w:rsidRPr="00340E4C" w:rsidRDefault="00783598">
      <w:pPr>
        <w:rPr>
          <w:color w:val="FF0000"/>
        </w:rPr>
      </w:pPr>
    </w:p>
    <w:p w:rsidR="00783598" w:rsidRPr="00340E4C" w:rsidRDefault="00783598">
      <w:r w:rsidRPr="00340E4C">
        <w:t>Předpokládáme, že ekonomický růst je funkcí výrobních zdrojů:</w:t>
      </w:r>
    </w:p>
    <w:p w:rsidR="00783598" w:rsidRPr="00340E4C" w:rsidRDefault="00783598">
      <w:r w:rsidRPr="00340E4C">
        <w:rPr>
          <w:position w:val="-10"/>
        </w:rPr>
        <w:object w:dxaOrig="1240" w:dyaOrig="320">
          <v:shape id="_x0000_i1043" type="#_x0000_t75" style="width:60.75pt;height:15.75pt" o:ole="">
            <v:imagedata r:id="rId60" o:title=""/>
          </v:shape>
          <o:OLEObject Type="Embed" ProgID="Equation.3" ShapeID="_x0000_i1043" DrawAspect="Content" ObjectID="_1674728789" r:id="rId61"/>
        </w:object>
      </w:r>
    </w:p>
    <w:p w:rsidR="00783598" w:rsidRPr="00340E4C" w:rsidRDefault="00783598">
      <w:r w:rsidRPr="00340E4C">
        <w:t xml:space="preserve">Jednotlivé teorie se liší v pojetí, jak výrobní faktory růst způsobují.  </w:t>
      </w:r>
    </w:p>
    <w:p w:rsidR="00783598" w:rsidRPr="00340E4C" w:rsidRDefault="00783598" w:rsidP="00636A7A">
      <w:pPr>
        <w:pStyle w:val="berschrift3"/>
      </w:pPr>
      <w:r w:rsidRPr="00340E4C">
        <w:t>Smithovy</w:t>
      </w:r>
      <w:r w:rsidRPr="00340E4C">
        <w:rPr>
          <w:rStyle w:val="Funotenzeichen"/>
          <w:b/>
          <w:bCs w:val="0"/>
          <w:color w:val="39321F"/>
          <w:szCs w:val="18"/>
        </w:rPr>
        <w:footnoteReference w:id="9"/>
      </w:r>
      <w:r w:rsidRPr="00340E4C">
        <w:t xml:space="preserve"> a Malthusovy</w:t>
      </w:r>
      <w:r w:rsidRPr="00340E4C">
        <w:rPr>
          <w:rStyle w:val="Funotenzeichen"/>
          <w:b/>
          <w:bCs w:val="0"/>
          <w:color w:val="39321F"/>
          <w:szCs w:val="18"/>
        </w:rPr>
        <w:footnoteReference w:id="10"/>
      </w:r>
      <w:r w:rsidRPr="00340E4C">
        <w:t xml:space="preserve"> klasické modely</w:t>
      </w:r>
    </w:p>
    <w:p w:rsidR="00783598" w:rsidRPr="00340E4C" w:rsidRDefault="00783598">
      <w:pPr>
        <w:pStyle w:val="StandardWeb"/>
        <w:tabs>
          <w:tab w:val="num" w:pos="0"/>
        </w:tabs>
        <w:jc w:val="both"/>
        <w:rPr>
          <w:szCs w:val="18"/>
        </w:rPr>
      </w:pPr>
      <w:r w:rsidRPr="00340E4C">
        <w:rPr>
          <w:szCs w:val="18"/>
        </w:rPr>
        <w:t>Popisují ekonomický vývoj za podmínek neměnného rozsahu půdy a rostoucího počtu obyvatel. To má za následek, nedochází-li k technologickým změnám, to, že rostoucí počet obyvatel nakonec vyčerpá zásobu nevyužité půdy. Malthusiánská rovnováha nastává, když mzdy poklesnou na existenční úroveň a obyvatelstvo se nebude reprodukovat a tím se sníží nabídka práce. Technologický pokrok je chápán jako exogenní veličina.</w:t>
      </w:r>
    </w:p>
    <w:p w:rsidR="00783598" w:rsidRPr="00340E4C" w:rsidRDefault="00783598" w:rsidP="00636A7A">
      <w:pPr>
        <w:pStyle w:val="berschrift3"/>
      </w:pPr>
      <w:r w:rsidRPr="00340E4C">
        <w:t>Neoklasický růstový model (uplatnění te</w:t>
      </w:r>
      <w:r w:rsidR="00CC6404">
        <w:t>o</w:t>
      </w:r>
      <w:r w:rsidRPr="00340E4C">
        <w:t>rie mezního užitku)</w:t>
      </w:r>
    </w:p>
    <w:p w:rsidR="00783598" w:rsidRPr="00340E4C" w:rsidRDefault="00783598">
      <w:pPr>
        <w:pStyle w:val="StandardWeb"/>
        <w:tabs>
          <w:tab w:val="num" w:pos="0"/>
        </w:tabs>
        <w:spacing w:after="0"/>
        <w:jc w:val="both"/>
        <w:rPr>
          <w:szCs w:val="18"/>
        </w:rPr>
      </w:pPr>
      <w:r w:rsidRPr="00340E4C">
        <w:rPr>
          <w:szCs w:val="18"/>
        </w:rPr>
        <w:t>Tento model zdůrazňuje úlohu prohlubování kapitálu (tj. růst kapitálového vybavení práce) a technologických změn při vysvětlování růstu potenciálního reálného GNP. K prohlubování kapitálu dochází, jestliže zásoba kapitálu roste rychleji než ekonomicky aktivní obyvatelstvo. Při neexistenci technologické změny povede prohlubování kapitálu k růstu výstupu na jednoho pracovníka, k růstu mezního produktu práce a k růstu mezd, to povede k poklesu výnosů z kapitálu (zákon klesajících výnosů) a k následnému poklesu reálné úrokové sazby. Při dosažení dlouhodobé rovnováhy ovšem toto prohlubování kapitálu ustává a reálné úrokové sazby přestávají klesat. Technologický pokrok zvyšuje produktivitu práce, výši kapitálu na pracovníka, a tím pádem i celkový produkt. V historickém pohledu bylo tempo technologických změn dostatečně rychlé, aby vykompenzovalo klesající výnosy z</w:t>
      </w:r>
      <w:r w:rsidR="0025749A">
        <w:rPr>
          <w:szCs w:val="18"/>
        </w:rPr>
        <w:t> </w:t>
      </w:r>
      <w:r w:rsidRPr="00340E4C">
        <w:rPr>
          <w:szCs w:val="18"/>
        </w:rPr>
        <w:t>kapitálu</w:t>
      </w:r>
      <w:r w:rsidR="0025749A">
        <w:rPr>
          <w:szCs w:val="18"/>
        </w:rPr>
        <w:t xml:space="preserve">, </w:t>
      </w:r>
      <w:r w:rsidRPr="00340E4C">
        <w:rPr>
          <w:szCs w:val="18"/>
        </w:rPr>
        <w:t>přičemž udržovalo úrokovou sazbu a míru zisku téměř neměnné, zatímco reálné mzdy nepřetržitě rostly.</w:t>
      </w:r>
    </w:p>
    <w:p w:rsidR="0025749A" w:rsidRDefault="00783598">
      <w:pPr>
        <w:pStyle w:val="StandardWeb"/>
        <w:tabs>
          <w:tab w:val="num" w:pos="0"/>
        </w:tabs>
        <w:spacing w:after="0"/>
        <w:jc w:val="both"/>
        <w:rPr>
          <w:szCs w:val="18"/>
        </w:rPr>
      </w:pPr>
      <w:r w:rsidRPr="00340E4C">
        <w:rPr>
          <w:szCs w:val="18"/>
        </w:rPr>
        <w:t>Akumulace kapitálu zvyšuje produkt a mzdy, ale snižuje výnos z kapitálu:</w:t>
      </w:r>
    </w:p>
    <w:p w:rsidR="00783598" w:rsidRPr="00340E4C" w:rsidRDefault="00783598">
      <w:pPr>
        <w:pStyle w:val="StandardWeb"/>
        <w:tabs>
          <w:tab w:val="num" w:pos="0"/>
        </w:tabs>
        <w:spacing w:after="0"/>
        <w:jc w:val="both"/>
        <w:rPr>
          <w:szCs w:val="18"/>
        </w:rPr>
      </w:pPr>
      <w:r w:rsidRPr="00340E4C">
        <w:rPr>
          <w:color w:val="39321F"/>
          <w:szCs w:val="18"/>
        </w:rPr>
        <w:t xml:space="preserve"> </w:t>
      </w:r>
      <w:r w:rsidR="0033114D" w:rsidRPr="00340E4C">
        <w:rPr>
          <w:noProof/>
          <w:color w:val="39321F"/>
          <w:szCs w:val="18"/>
          <w:lang w:val="de-DE" w:eastAsia="de-DE"/>
        </w:rPr>
        <w:drawing>
          <wp:inline distT="0" distB="0" distL="0" distR="0" wp14:anchorId="783433D5" wp14:editId="05B566F9">
            <wp:extent cx="4810125" cy="2200275"/>
            <wp:effectExtent l="0" t="0" r="9525" b="9525"/>
            <wp:docPr id="123" name="obrázek 123" descr="makroekonomie03-ob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akroekonomie03-obr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10125" cy="2200275"/>
                    </a:xfrm>
                    <a:prstGeom prst="rect">
                      <a:avLst/>
                    </a:prstGeom>
                    <a:noFill/>
                    <a:ln>
                      <a:noFill/>
                    </a:ln>
                  </pic:spPr>
                </pic:pic>
              </a:graphicData>
            </a:graphic>
          </wp:inline>
        </w:drawing>
      </w:r>
    </w:p>
    <w:p w:rsidR="00783598" w:rsidRPr="0025749A" w:rsidRDefault="00783598">
      <w:pPr>
        <w:pStyle w:val="StandardWeb"/>
        <w:jc w:val="both"/>
        <w:rPr>
          <w:szCs w:val="18"/>
        </w:rPr>
      </w:pPr>
      <w:r w:rsidRPr="00340E4C">
        <w:rPr>
          <w:color w:val="39321F"/>
          <w:szCs w:val="18"/>
        </w:rPr>
        <w:br/>
      </w:r>
      <w:r w:rsidRPr="0025749A">
        <w:rPr>
          <w:iCs/>
          <w:szCs w:val="18"/>
        </w:rPr>
        <w:t>Šipky značí posun jak křivky výnosu z kapitálu, tak hranice cen </w:t>
      </w:r>
      <w:r w:rsidRPr="0025749A">
        <w:rPr>
          <w:iCs/>
          <w:szCs w:val="18"/>
        </w:rPr>
        <w:br/>
        <w:t>výrobních faktorů v důsledku technologického pokroku.</w:t>
      </w:r>
    </w:p>
    <w:p w:rsidR="00783598" w:rsidRPr="00C32C7A" w:rsidRDefault="00783598">
      <w:pPr>
        <w:rPr>
          <w:b/>
        </w:rPr>
      </w:pPr>
      <w:r w:rsidRPr="00C32C7A">
        <w:rPr>
          <w:b/>
        </w:rPr>
        <w:t>Produkční funkce v obecné podobě</w:t>
      </w:r>
      <w:r w:rsidR="00C32C7A">
        <w:rPr>
          <w:b/>
        </w:rPr>
        <w:t xml:space="preserve"> zahrnující technologický pokrok</w:t>
      </w:r>
      <w:r w:rsidRPr="00C32C7A">
        <w:rPr>
          <w:b/>
        </w:rPr>
        <w:t>:</w:t>
      </w:r>
    </w:p>
    <w:p w:rsidR="00C32C7A" w:rsidRPr="00340E4C" w:rsidRDefault="006647E4">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=k×f(K,L)</m:t>
        </m:r>
      </m:oMath>
      <w:r w:rsidR="00C32C7A">
        <w:t>, kde k = koeficient technologického pokroku</w:t>
      </w:r>
    </w:p>
    <w:p w:rsidR="00783598" w:rsidRDefault="00C32C7A">
      <w:r>
        <w:rPr>
          <w:position w:val="-10"/>
        </w:rPr>
        <w:t>Absolutní změna potenciálního produktu má tvar:</w:t>
      </w:r>
    </w:p>
    <w:p w:rsidR="00C32C7A" w:rsidRDefault="006647E4">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=∆k×f</m:t>
          </m:r>
          <m:d>
            <m:dPr>
              <m:ctrlPr>
                <w:rPr>
                  <w:rFonts w:ascii="Cambria Math" w:hAnsi="Cambria Math"/>
                  <w:i/>
                </w:rPr>
              </m:ctrlPr>
            </m:dPr>
            <m:e>
              <m:r>
                <w:rPr>
                  <w:rFonts w:ascii="Cambria Math" w:hAnsi="Cambria Math"/>
                </w:rPr>
                <m:t>k,L</m:t>
              </m:r>
            </m:e>
          </m:d>
          <m:r>
            <w:rPr>
              <w:rFonts w:ascii="Cambria Math" w:hAnsi="Cambria Math"/>
            </w:rPr>
            <m:t>+</m:t>
          </m:r>
          <m:sSub>
            <m:sSubPr>
              <m:ctrlPr>
                <w:rPr>
                  <w:rFonts w:ascii="Cambria Math" w:hAnsi="Cambria Math"/>
                  <w:i/>
                </w:rPr>
              </m:ctrlPr>
            </m:sSubPr>
            <m:e>
              <m:r>
                <w:rPr>
                  <w:rFonts w:ascii="Cambria Math" w:hAnsi="Cambria Math"/>
                </w:rPr>
                <m:t>MP</m:t>
              </m:r>
            </m:e>
            <m:sub>
              <m:r>
                <w:rPr>
                  <w:rFonts w:ascii="Cambria Math" w:hAnsi="Cambria Math"/>
                </w:rPr>
                <m:t>K</m:t>
              </m:r>
            </m:sub>
          </m:sSub>
          <m:r>
            <w:rPr>
              <w:rFonts w:ascii="Cambria Math" w:hAnsi="Cambria Math"/>
            </w:rPr>
            <m:t>×∆K+</m:t>
          </m:r>
          <m:sSub>
            <m:sSubPr>
              <m:ctrlPr>
                <w:rPr>
                  <w:rFonts w:ascii="Cambria Math" w:hAnsi="Cambria Math"/>
                  <w:i/>
                </w:rPr>
              </m:ctrlPr>
            </m:sSubPr>
            <m:e>
              <m:r>
                <w:rPr>
                  <w:rFonts w:ascii="Cambria Math" w:hAnsi="Cambria Math"/>
                </w:rPr>
                <m:t>MP</m:t>
              </m:r>
            </m:e>
            <m:sub>
              <m:r>
                <w:rPr>
                  <w:rFonts w:ascii="Cambria Math" w:hAnsi="Cambria Math"/>
                </w:rPr>
                <m:t>L</m:t>
              </m:r>
            </m:sub>
          </m:sSub>
          <m:r>
            <w:rPr>
              <w:rFonts w:ascii="Cambria Math" w:hAnsi="Cambria Math"/>
            </w:rPr>
            <m:t>×∆L</m:t>
          </m:r>
        </m:oMath>
      </m:oMathPara>
    </w:p>
    <w:p w:rsidR="00C32C7A" w:rsidRPr="00340E4C" w:rsidRDefault="007F3354">
      <w:r>
        <w:lastRenderedPageBreak/>
        <w:t>Y s hvězdičkou = potenciální HDP.</w:t>
      </w:r>
    </w:p>
    <w:p w:rsidR="00783598" w:rsidRPr="00340E4C" w:rsidRDefault="00783598">
      <w:pPr>
        <w:rPr>
          <w:b/>
        </w:rPr>
      </w:pPr>
      <w:r w:rsidRPr="00340E4C">
        <w:rPr>
          <w:b/>
        </w:rPr>
        <w:t>Cobb</w:t>
      </w:r>
      <w:r w:rsidR="0025749A">
        <w:rPr>
          <w:rStyle w:val="Funotenzeichen"/>
          <w:b/>
        </w:rPr>
        <w:footnoteReference w:id="11"/>
      </w:r>
      <w:r w:rsidRPr="00340E4C">
        <w:rPr>
          <w:b/>
        </w:rPr>
        <w:t>-Douglasova</w:t>
      </w:r>
      <w:r w:rsidR="0025749A">
        <w:rPr>
          <w:rStyle w:val="Funotenzeichen"/>
          <w:b/>
        </w:rPr>
        <w:footnoteReference w:id="12"/>
      </w:r>
      <w:r w:rsidRPr="00340E4C">
        <w:rPr>
          <w:b/>
        </w:rPr>
        <w:t xml:space="preserve"> produkční funkce:</w:t>
      </w:r>
    </w:p>
    <w:p w:rsidR="00783598" w:rsidRPr="00340E4C" w:rsidRDefault="00783598">
      <w:r w:rsidRPr="00340E4C">
        <w:rPr>
          <w:position w:val="-4"/>
        </w:rPr>
        <w:object w:dxaOrig="1540" w:dyaOrig="300">
          <v:shape id="_x0000_i1044" type="#_x0000_t75" style="width:76.5pt;height:15pt" o:ole="">
            <v:imagedata r:id="rId63" o:title=""/>
          </v:shape>
          <o:OLEObject Type="Embed" ProgID="Equation.3" ShapeID="_x0000_i1044" DrawAspect="Content" ObjectID="_1674728790" r:id="rId64"/>
        </w:object>
      </w:r>
    </w:p>
    <w:p w:rsidR="00783598" w:rsidRPr="00340E4C" w:rsidRDefault="00783598"/>
    <w:p w:rsidR="00783598" w:rsidRPr="00340E4C" w:rsidRDefault="00783598">
      <w:r w:rsidRPr="00340E4C">
        <w:t>A = produktivita práce i kapitálu</w:t>
      </w:r>
    </w:p>
    <w:p w:rsidR="00783598" w:rsidRPr="00340E4C" w:rsidRDefault="00783598">
      <w:r w:rsidRPr="00340E4C">
        <w:t>a, b = elasticita reálného produktu na změnu práce a kapitálu</w:t>
      </w:r>
    </w:p>
    <w:p w:rsidR="00783598" w:rsidRPr="00340E4C" w:rsidRDefault="00783598">
      <w:r w:rsidRPr="00340E4C">
        <w:t>protože součet elasticit je 1, platí, že a + b = 1, funkci pak lze zapsat:</w:t>
      </w:r>
    </w:p>
    <w:p w:rsidR="00783598" w:rsidRPr="00340E4C" w:rsidRDefault="00783598">
      <w:r w:rsidRPr="00340E4C">
        <w:rPr>
          <w:position w:val="-4"/>
        </w:rPr>
        <w:object w:dxaOrig="1660" w:dyaOrig="300">
          <v:shape id="_x0000_i1045" type="#_x0000_t75" style="width:83.25pt;height:15pt" o:ole="">
            <v:imagedata r:id="rId65" o:title=""/>
          </v:shape>
          <o:OLEObject Type="Embed" ProgID="Equation.3" ShapeID="_x0000_i1045" DrawAspect="Content" ObjectID="_1674728791" r:id="rId66"/>
        </w:object>
      </w:r>
      <w:r w:rsidRPr="00340E4C">
        <w:t xml:space="preserve"> </w:t>
      </w:r>
    </w:p>
    <w:p w:rsidR="00783598" w:rsidRPr="00340E4C" w:rsidRDefault="00783598"/>
    <w:p w:rsidR="00783598" w:rsidRPr="00340E4C" w:rsidRDefault="00783598">
      <w:pPr>
        <w:rPr>
          <w:b/>
        </w:rPr>
      </w:pPr>
      <w:r w:rsidRPr="00340E4C">
        <w:rPr>
          <w:b/>
        </w:rPr>
        <w:t>Solowův</w:t>
      </w:r>
      <w:r w:rsidR="0025749A">
        <w:rPr>
          <w:rStyle w:val="Funotenzeichen"/>
          <w:b/>
        </w:rPr>
        <w:footnoteReference w:id="13"/>
      </w:r>
      <w:r w:rsidRPr="00340E4C">
        <w:rPr>
          <w:b/>
        </w:rPr>
        <w:t xml:space="preserve"> model:</w:t>
      </w:r>
    </w:p>
    <w:p w:rsidR="00783598" w:rsidRPr="00340E4C" w:rsidRDefault="00783598">
      <w:pPr>
        <w:jc w:val="both"/>
      </w:pPr>
      <w:r w:rsidRPr="00340E4C">
        <w:t>Zaměřuje se na růstovou úlohu úspor, akumulace kapitálu a technologické změny. Předpokládá, že reálný produkt je rostoucí funkcí kapitálové intenzity:</w:t>
      </w:r>
    </w:p>
    <w:p w:rsidR="00783598" w:rsidRPr="00340E4C" w:rsidRDefault="00783598"/>
    <w:p w:rsidR="00783598" w:rsidRPr="00340E4C" w:rsidRDefault="00783598">
      <w:r w:rsidRPr="00340E4C">
        <w:rPr>
          <w:position w:val="-24"/>
        </w:rPr>
        <w:object w:dxaOrig="3320" w:dyaOrig="620">
          <v:shape id="_x0000_i1046" type="#_x0000_t75" style="width:165.75pt;height:31.5pt" o:ole="">
            <v:imagedata r:id="rId67" o:title=""/>
          </v:shape>
          <o:OLEObject Type="Embed" ProgID="Equation.3" ShapeID="_x0000_i1046" DrawAspect="Content" ObjectID="_1674728792" r:id="rId68"/>
        </w:object>
      </w:r>
    </w:p>
    <w:p w:rsidR="00783598" w:rsidRPr="00340E4C" w:rsidRDefault="00783598"/>
    <w:p w:rsidR="00783598" w:rsidRPr="00340E4C" w:rsidRDefault="00783598">
      <w:r w:rsidRPr="00340E4C">
        <w:rPr>
          <w:position w:val="-6"/>
        </w:rPr>
        <w:object w:dxaOrig="440" w:dyaOrig="220">
          <v:shape id="_x0000_i1047" type="#_x0000_t75" style="width:21.75pt;height:11.25pt" o:ole="">
            <v:imagedata r:id="rId69" o:title=""/>
          </v:shape>
          <o:OLEObject Type="Embed" ProgID="Equation.3" ShapeID="_x0000_i1047" DrawAspect="Content" ObjectID="_1674728793" r:id="rId70"/>
        </w:object>
      </w:r>
      <w:r w:rsidRPr="00340E4C">
        <w:t>jenom jiné vyjádření koeficientu „b“ z Cobb-Douglasovy funkce</w:t>
      </w:r>
    </w:p>
    <w:p w:rsidR="00783598" w:rsidRPr="00340E4C" w:rsidRDefault="00783598">
      <w:r w:rsidRPr="00340E4C">
        <w:t>A = konstanta vyjadřující úroveň používaných technologií a znalostí</w:t>
      </w:r>
    </w:p>
    <w:p w:rsidR="00783598" w:rsidRPr="00340E4C" w:rsidRDefault="00783598">
      <w:r w:rsidRPr="00340E4C">
        <w:t xml:space="preserve">Závěry ze Solowova modelu: </w:t>
      </w:r>
    </w:p>
    <w:p w:rsidR="00783598" w:rsidRPr="00340E4C" w:rsidRDefault="00783598" w:rsidP="001741A7">
      <w:pPr>
        <w:numPr>
          <w:ilvl w:val="0"/>
          <w:numId w:val="1"/>
        </w:numPr>
      </w:pPr>
      <w:r w:rsidRPr="00340E4C">
        <w:t>má-li být udržena průměrná produktivita práce, musí tempo růstu kapitálu odpovídat tempu růstu práce ceteris paribus</w:t>
      </w:r>
    </w:p>
    <w:p w:rsidR="00783598" w:rsidRPr="00340E4C" w:rsidRDefault="00783598">
      <w:r w:rsidRPr="00340E4C">
        <w:rPr>
          <w:position w:val="-24"/>
        </w:rPr>
        <w:object w:dxaOrig="1440" w:dyaOrig="620">
          <v:shape id="_x0000_i1048" type="#_x0000_t75" style="width:1in;height:31.5pt" o:ole="">
            <v:imagedata r:id="rId71" o:title=""/>
          </v:shape>
          <o:OLEObject Type="Embed" ProgID="Equation.3" ShapeID="_x0000_i1048" DrawAspect="Content" ObjectID="_1674728794" r:id="rId72"/>
        </w:object>
      </w:r>
    </w:p>
    <w:p w:rsidR="00783598" w:rsidRPr="00340E4C" w:rsidRDefault="00783598"/>
    <w:p w:rsidR="00783598" w:rsidRPr="00340E4C" w:rsidRDefault="00783598" w:rsidP="001741A7">
      <w:pPr>
        <w:numPr>
          <w:ilvl w:val="0"/>
          <w:numId w:val="1"/>
        </w:numPr>
      </w:pPr>
      <w:r w:rsidRPr="00340E4C">
        <w:t>udržení tempa růstu kapitálu závisí na objemu úspor</w:t>
      </w:r>
    </w:p>
    <w:p w:rsidR="00783598" w:rsidRPr="00340E4C" w:rsidRDefault="00783598" w:rsidP="001741A7">
      <w:pPr>
        <w:numPr>
          <w:ilvl w:val="0"/>
          <w:numId w:val="1"/>
        </w:numPr>
      </w:pPr>
      <w:r w:rsidRPr="00340E4C">
        <w:t>pro stanovení přírůstku kapitálu je třeba stanovit výši úspor na osobu:</w:t>
      </w:r>
    </w:p>
    <w:p w:rsidR="00783598" w:rsidRPr="00340E4C" w:rsidRDefault="00783598">
      <w:r w:rsidRPr="00340E4C">
        <w:rPr>
          <w:position w:val="-24"/>
        </w:rPr>
        <w:object w:dxaOrig="2060" w:dyaOrig="620">
          <v:shape id="_x0000_i1049" type="#_x0000_t75" style="width:102.75pt;height:31.5pt" o:ole="">
            <v:imagedata r:id="rId73" o:title=""/>
          </v:shape>
          <o:OLEObject Type="Embed" ProgID="Equation.3" ShapeID="_x0000_i1049" DrawAspect="Content" ObjectID="_1674728795" r:id="rId74"/>
        </w:object>
      </w:r>
    </w:p>
    <w:p w:rsidR="00783598" w:rsidRPr="00340E4C" w:rsidRDefault="00783598"/>
    <w:p w:rsidR="00783598" w:rsidRPr="00340E4C" w:rsidRDefault="00783598" w:rsidP="00636A7A">
      <w:pPr>
        <w:pStyle w:val="berschrift3"/>
      </w:pPr>
      <w:r w:rsidRPr="00340E4C">
        <w:t>Keynesiánský model růstu</w:t>
      </w:r>
    </w:p>
    <w:p w:rsidR="00783598" w:rsidRPr="00340E4C" w:rsidRDefault="00783598">
      <w:r w:rsidRPr="00340E4C">
        <w:t>Tento model zdůrazňuje agregátní poptávku a podmínku „úspory = investice“.</w:t>
      </w:r>
    </w:p>
    <w:p w:rsidR="00783598" w:rsidRPr="00340E4C" w:rsidRDefault="00783598"/>
    <w:p w:rsidR="00783598" w:rsidRPr="00340E4C" w:rsidRDefault="00783598">
      <w:pPr>
        <w:rPr>
          <w:b/>
        </w:rPr>
      </w:pPr>
      <w:r w:rsidRPr="00340E4C">
        <w:rPr>
          <w:b/>
        </w:rPr>
        <w:t>Domarův</w:t>
      </w:r>
      <w:r w:rsidR="0025749A">
        <w:rPr>
          <w:rStyle w:val="Funotenzeichen"/>
          <w:b/>
        </w:rPr>
        <w:footnoteReference w:id="14"/>
      </w:r>
      <w:r w:rsidRPr="00340E4C">
        <w:rPr>
          <w:b/>
        </w:rPr>
        <w:t xml:space="preserve"> model:</w:t>
      </w:r>
    </w:p>
    <w:p w:rsidR="00783598" w:rsidRPr="00340E4C" w:rsidRDefault="00783598">
      <w:r w:rsidRPr="00340E4C">
        <w:t>Řeší rovnovážnou míru investic. Investice se projevují tvorbou důchodu i nových kapacit:</w:t>
      </w:r>
    </w:p>
    <w:p w:rsidR="00783598" w:rsidRPr="00340E4C" w:rsidRDefault="00783598">
      <w:r w:rsidRPr="00340E4C">
        <w:t>X = výrobní kapacity</w:t>
      </w:r>
    </w:p>
    <w:p w:rsidR="00783598" w:rsidRPr="00340E4C" w:rsidRDefault="00783598">
      <w:r w:rsidRPr="00340E4C">
        <w:t>X = AS (Aggregate Supply)</w:t>
      </w:r>
    </w:p>
    <w:p w:rsidR="00783598" w:rsidRPr="00340E4C" w:rsidRDefault="00783598">
      <w:r w:rsidRPr="00340E4C">
        <w:t>Y = AD</w:t>
      </w:r>
    </w:p>
    <w:p w:rsidR="00783598" w:rsidRPr="00340E4C" w:rsidRDefault="00783598">
      <w:r w:rsidRPr="00340E4C">
        <w:t>Pro dynamickou rovnováhu musí platit:</w:t>
      </w:r>
    </w:p>
    <w:p w:rsidR="00783598" w:rsidRPr="00340E4C" w:rsidRDefault="00783598">
      <w:r w:rsidRPr="00340E4C">
        <w:rPr>
          <w:position w:val="-6"/>
        </w:rPr>
        <w:object w:dxaOrig="1240" w:dyaOrig="279">
          <v:shape id="_x0000_i1050" type="#_x0000_t75" style="width:60.75pt;height:14.25pt" o:ole="">
            <v:imagedata r:id="rId75" o:title=""/>
          </v:shape>
          <o:OLEObject Type="Embed" ProgID="Equation.3" ShapeID="_x0000_i1050" DrawAspect="Content" ObjectID="_1674728796" r:id="rId76"/>
        </w:object>
      </w:r>
    </w:p>
    <w:p w:rsidR="00783598" w:rsidRPr="00340E4C" w:rsidRDefault="00783598">
      <w:r w:rsidRPr="00340E4C">
        <w:rPr>
          <w:position w:val="-4"/>
        </w:rPr>
        <w:object w:dxaOrig="980" w:dyaOrig="260">
          <v:shape id="_x0000_i1051" type="#_x0000_t75" style="width:48pt;height:12pt" o:ole="">
            <v:imagedata r:id="rId77" o:title=""/>
          </v:shape>
          <o:OLEObject Type="Embed" ProgID="Equation.3" ShapeID="_x0000_i1051" DrawAspect="Content" ObjectID="_1674728797" r:id="rId78"/>
        </w:object>
      </w:r>
      <w:r w:rsidRPr="00340E4C">
        <w:t>, to lze zapsat jako</w:t>
      </w:r>
    </w:p>
    <w:p w:rsidR="00783598" w:rsidRPr="00340E4C" w:rsidRDefault="004031C8">
      <m:oMathPara>
        <m:oMath>
          <m:r>
            <w:rPr>
              <w:rFonts w:ascii="Cambria Math" w:hAnsi="Cambria Math"/>
            </w:rPr>
            <m:t>Y×s=k×</m:t>
          </m:r>
          <m:r>
            <m:rPr>
              <m:sty m:val="p"/>
            </m:rPr>
            <w:rPr>
              <w:rFonts w:ascii="Cambria Math" w:hAnsi="Cambria Math"/>
            </w:rPr>
            <m:t>Δ</m:t>
          </m:r>
          <m:r>
            <w:rPr>
              <w:rFonts w:ascii="Cambria Math" w:hAnsi="Cambria Math"/>
            </w:rPr>
            <m:t>I</m:t>
          </m:r>
        </m:oMath>
      </m:oMathPara>
    </w:p>
    <w:p w:rsidR="00783598" w:rsidRPr="00340E4C" w:rsidRDefault="0025749A">
      <w:r>
        <w:t>kde „k“ je koeficient pokroku</w:t>
      </w:r>
    </w:p>
    <w:p w:rsidR="00783598" w:rsidRPr="00340E4C" w:rsidRDefault="00783598"/>
    <w:p w:rsidR="00783598" w:rsidRPr="00340E4C" w:rsidRDefault="00783598">
      <w:pPr>
        <w:rPr>
          <w:b/>
        </w:rPr>
      </w:pPr>
      <w:r w:rsidRPr="00340E4C">
        <w:rPr>
          <w:b/>
        </w:rPr>
        <w:t>Harrodův</w:t>
      </w:r>
      <w:r w:rsidR="0025749A">
        <w:rPr>
          <w:rStyle w:val="Funotenzeichen"/>
          <w:b/>
        </w:rPr>
        <w:footnoteReference w:id="15"/>
      </w:r>
      <w:r w:rsidRPr="00340E4C">
        <w:rPr>
          <w:b/>
        </w:rPr>
        <w:t xml:space="preserve"> model:</w:t>
      </w:r>
    </w:p>
    <w:p w:rsidR="00783598" w:rsidRPr="00340E4C" w:rsidRDefault="00783598">
      <w:r w:rsidRPr="00340E4C">
        <w:lastRenderedPageBreak/>
        <w:t>Vychází z předpokladu, že investice mají akcelerační účinek. Řeší rovnovážnou míru produktu.</w:t>
      </w:r>
    </w:p>
    <w:p w:rsidR="00783598" w:rsidRPr="00340E4C" w:rsidRDefault="00783598">
      <w:r w:rsidRPr="00340E4C">
        <w:t xml:space="preserve">Akcelerátor je </w:t>
      </w:r>
      <w:r w:rsidRPr="00340E4C">
        <w:rPr>
          <w:position w:val="-24"/>
        </w:rPr>
        <w:object w:dxaOrig="1480" w:dyaOrig="620">
          <v:shape id="_x0000_i1052" type="#_x0000_t75" style="width:75pt;height:31.5pt" o:ole="">
            <v:imagedata r:id="rId79" o:title=""/>
          </v:shape>
          <o:OLEObject Type="Embed" ProgID="Equation.3" ShapeID="_x0000_i1052" DrawAspect="Content" ObjectID="_1674728798" r:id="rId80"/>
        </w:object>
      </w:r>
    </w:p>
    <w:p w:rsidR="00783598" w:rsidRPr="00340E4C" w:rsidRDefault="00783598">
      <w:r w:rsidRPr="00340E4C">
        <w:t>Efekt akcelerace lze zapsat:</w:t>
      </w:r>
    </w:p>
    <w:p w:rsidR="00783598" w:rsidRPr="00340E4C" w:rsidRDefault="00783598">
      <w:pPr>
        <w:rPr>
          <w:b/>
        </w:rPr>
      </w:pPr>
      <w:r w:rsidRPr="00340E4C">
        <w:rPr>
          <w:position w:val="-12"/>
        </w:rPr>
        <w:object w:dxaOrig="2780" w:dyaOrig="360">
          <v:shape id="_x0000_i1053" type="#_x0000_t75" style="width:139.5pt;height:18.75pt" o:ole="">
            <v:imagedata r:id="rId81" o:title=""/>
          </v:shape>
          <o:OLEObject Type="Embed" ProgID="Equation.3" ShapeID="_x0000_i1053" DrawAspect="Content" ObjectID="_1674728799" r:id="rId82"/>
        </w:object>
      </w:r>
      <w:r w:rsidRPr="00340E4C">
        <w:rPr>
          <w:position w:val="-10"/>
        </w:rPr>
        <w:object w:dxaOrig="180" w:dyaOrig="340">
          <v:shape id="_x0000_i1054" type="#_x0000_t75" style="width:9.75pt;height:18.75pt" o:ole="">
            <v:imagedata r:id="rId83" o:title=""/>
          </v:shape>
          <o:OLEObject Type="Embed" ProgID="Equation.3" ShapeID="_x0000_i1054" DrawAspect="Content" ObjectID="_1674728800" r:id="rId84"/>
        </w:object>
      </w:r>
    </w:p>
    <w:p w:rsidR="00783598" w:rsidRPr="00340E4C" w:rsidRDefault="00783598">
      <w:r w:rsidRPr="00340E4C">
        <w:t>Vyjádříme-li přírůstek produktu:</w:t>
      </w:r>
    </w:p>
    <w:p w:rsidR="00783598" w:rsidRPr="00340E4C" w:rsidRDefault="00783598">
      <w:r w:rsidRPr="00340E4C">
        <w:rPr>
          <w:position w:val="-30"/>
        </w:rPr>
        <w:object w:dxaOrig="999" w:dyaOrig="680">
          <v:shape id="_x0000_i1055" type="#_x0000_t75" style="width:50.25pt;height:33pt" o:ole="">
            <v:imagedata r:id="rId85" o:title=""/>
          </v:shape>
          <o:OLEObject Type="Embed" ProgID="Equation.3" ShapeID="_x0000_i1055" DrawAspect="Content" ObjectID="_1674728801" r:id="rId86"/>
        </w:object>
      </w:r>
    </w:p>
    <w:p w:rsidR="00783598" w:rsidRDefault="0025749A">
      <w:r w:rsidRPr="0025749A">
        <w:t>C</w:t>
      </w:r>
      <w:r>
        <w:rPr>
          <w:vertAlign w:val="subscript"/>
        </w:rPr>
        <w:t xml:space="preserve">K </w:t>
      </w:r>
      <w:r>
        <w:t>= akcelerátor</w:t>
      </w:r>
    </w:p>
    <w:p w:rsidR="00783598" w:rsidRPr="00340E4C" w:rsidRDefault="00783598">
      <w:pPr>
        <w:jc w:val="both"/>
      </w:pPr>
      <w:r w:rsidRPr="00340E4C">
        <w:t>Protože úspory se rovnají investicím S = I</w:t>
      </w:r>
    </w:p>
    <w:p w:rsidR="00783598" w:rsidRPr="00340E4C" w:rsidRDefault="00783598">
      <w:pPr>
        <w:jc w:val="both"/>
      </w:pPr>
      <w:r w:rsidRPr="00340E4C">
        <w:t xml:space="preserve">A protože </w:t>
      </w:r>
      <w:r w:rsidRPr="00340E4C">
        <w:rPr>
          <w:position w:val="-12"/>
        </w:rPr>
        <w:object w:dxaOrig="960" w:dyaOrig="360">
          <v:shape id="_x0000_i1056" type="#_x0000_t75" style="width:47.25pt;height:18.75pt" o:ole="">
            <v:imagedata r:id="rId87" o:title=""/>
          </v:shape>
          <o:OLEObject Type="Embed" ProgID="Equation.3" ShapeID="_x0000_i1056" DrawAspect="Content" ObjectID="_1674728802" r:id="rId88"/>
        </w:object>
      </w:r>
      <w:r w:rsidRPr="00340E4C">
        <w:t xml:space="preserve"> </w:t>
      </w:r>
    </w:p>
    <w:p w:rsidR="00783598" w:rsidRPr="00340E4C" w:rsidRDefault="00783598">
      <w:pPr>
        <w:jc w:val="both"/>
      </w:pPr>
      <w:r w:rsidRPr="00340E4C">
        <w:t xml:space="preserve">Můžeme zapsat </w:t>
      </w:r>
      <w:r w:rsidRPr="00340E4C">
        <w:rPr>
          <w:position w:val="-14"/>
        </w:rPr>
        <w:object w:dxaOrig="1960" w:dyaOrig="400">
          <v:shape id="_x0000_i1057" type="#_x0000_t75" style="width:96.75pt;height:19.5pt" o:ole="">
            <v:imagedata r:id="rId89" o:title=""/>
          </v:shape>
          <o:OLEObject Type="Embed" ProgID="Equation.3" ShapeID="_x0000_i1057" DrawAspect="Content" ObjectID="_1674728803" r:id="rId90"/>
        </w:object>
      </w:r>
      <w:r w:rsidRPr="00340E4C">
        <w:t xml:space="preserve">     </w:t>
      </w:r>
    </w:p>
    <w:p w:rsidR="00783598" w:rsidRPr="00340E4C" w:rsidRDefault="00783598">
      <w:pPr>
        <w:jc w:val="both"/>
      </w:pPr>
      <w:r w:rsidRPr="00340E4C">
        <w:t>s = sklon k investicím</w:t>
      </w:r>
    </w:p>
    <w:p w:rsidR="00783598" w:rsidRPr="00340E4C" w:rsidRDefault="00783598">
      <w:pPr>
        <w:jc w:val="both"/>
      </w:pPr>
    </w:p>
    <w:p w:rsidR="00783598" w:rsidRPr="00340E4C" w:rsidRDefault="00783598">
      <w:pPr>
        <w:jc w:val="both"/>
      </w:pPr>
      <w:r w:rsidRPr="00340E4C">
        <w:t>Po úpravě:</w:t>
      </w:r>
    </w:p>
    <w:p w:rsidR="00783598" w:rsidRPr="00340E4C" w:rsidRDefault="008F0E68">
      <w:pPr>
        <w:jc w:val="both"/>
      </w:pPr>
      <w:r w:rsidRPr="008F0E68">
        <w:rPr>
          <w:position w:val="-30"/>
        </w:rPr>
        <w:object w:dxaOrig="2860" w:dyaOrig="700">
          <v:shape id="_x0000_i1058" type="#_x0000_t75" style="width:141pt;height:36pt" o:ole="">
            <v:imagedata r:id="rId91" o:title=""/>
          </v:shape>
          <o:OLEObject Type="Embed" ProgID="Equation.3" ShapeID="_x0000_i1058" DrawAspect="Content" ObjectID="_1674728804" r:id="rId92"/>
        </w:object>
      </w:r>
      <w:r>
        <w:t xml:space="preserve">, ze sklonu k úsporám plyne závislost akcelerátoru na investicích a přírůstku důchodu: </w:t>
      </w: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∆Y</m:t>
            </m:r>
          </m:den>
        </m:f>
      </m:oMath>
    </w:p>
    <w:p w:rsidR="00783598" w:rsidRPr="00340E4C" w:rsidRDefault="00783598">
      <w:pPr>
        <w:jc w:val="both"/>
      </w:pPr>
    </w:p>
    <w:p w:rsidR="00783598" w:rsidRPr="00340E4C" w:rsidRDefault="0025749A">
      <w:pPr>
        <w:jc w:val="both"/>
      </w:pPr>
      <w:r>
        <w:t>p</w:t>
      </w:r>
      <w:r w:rsidR="00783598" w:rsidRPr="00340E4C">
        <w:t>ak lze zapsat:</w:t>
      </w:r>
    </w:p>
    <w:p w:rsidR="00783598" w:rsidRPr="00340E4C" w:rsidRDefault="00783598">
      <w:pPr>
        <w:jc w:val="both"/>
      </w:pPr>
      <w:r w:rsidRPr="00340E4C">
        <w:rPr>
          <w:position w:val="-30"/>
        </w:rPr>
        <w:object w:dxaOrig="1960" w:dyaOrig="680">
          <v:shape id="_x0000_i1059" type="#_x0000_t75" style="width:96.75pt;height:33pt" o:ole="">
            <v:imagedata r:id="rId93" o:title=""/>
          </v:shape>
          <o:OLEObject Type="Embed" ProgID="Equation.3" ShapeID="_x0000_i1059" DrawAspect="Content" ObjectID="_1674728805" r:id="rId94"/>
        </w:object>
      </w:r>
      <w:r w:rsidRPr="00340E4C">
        <w:t xml:space="preserve"> </w:t>
      </w:r>
    </w:p>
    <w:p w:rsidR="00783598" w:rsidRPr="00340E4C" w:rsidRDefault="00783598">
      <w:pPr>
        <w:jc w:val="both"/>
      </w:pPr>
    </w:p>
    <w:p w:rsidR="00783598" w:rsidRPr="00340E4C" w:rsidRDefault="00783598">
      <w:pPr>
        <w:rPr>
          <w:b/>
        </w:rPr>
      </w:pPr>
      <w:r w:rsidRPr="00340E4C">
        <w:rPr>
          <w:b/>
        </w:rPr>
        <w:t>Harrod-Domarův model:</w:t>
      </w:r>
    </w:p>
    <w:p w:rsidR="00783598" w:rsidRPr="00340E4C" w:rsidRDefault="00783598">
      <w:r w:rsidRPr="00340E4C">
        <w:t xml:space="preserve">Předpokládáme, že </w:t>
      </w:r>
      <w:r w:rsidRPr="00340E4C">
        <w:rPr>
          <w:position w:val="-24"/>
        </w:rPr>
        <w:object w:dxaOrig="980" w:dyaOrig="620">
          <v:shape id="_x0000_i1060" type="#_x0000_t75" style="width:48pt;height:31.5pt" o:ole="">
            <v:imagedata r:id="rId95" o:title=""/>
          </v:shape>
          <o:OLEObject Type="Embed" ProgID="Equation.3" ShapeID="_x0000_i1060" DrawAspect="Content" ObjectID="_1674728806" r:id="rId96"/>
        </w:object>
      </w:r>
    </w:p>
    <w:p w:rsidR="00783598" w:rsidRPr="00340E4C" w:rsidRDefault="00783598"/>
    <w:p w:rsidR="00783598" w:rsidRPr="00340E4C" w:rsidRDefault="00783598">
      <w:pPr>
        <w:pStyle w:val="StandardWeb"/>
        <w:jc w:val="both"/>
        <w:rPr>
          <w:szCs w:val="18"/>
        </w:rPr>
      </w:pPr>
      <w:r w:rsidRPr="00340E4C">
        <w:rPr>
          <w:szCs w:val="18"/>
        </w:rPr>
        <w:t>Potom můžeme oba modely spojit:</w:t>
      </w:r>
    </w:p>
    <w:p w:rsidR="00783598" w:rsidRPr="00340E4C" w:rsidRDefault="00783598">
      <w:pPr>
        <w:pStyle w:val="StandardWeb"/>
        <w:jc w:val="both"/>
        <w:rPr>
          <w:szCs w:val="18"/>
        </w:rPr>
      </w:pPr>
      <w:r w:rsidRPr="00340E4C">
        <w:rPr>
          <w:position w:val="-30"/>
          <w:szCs w:val="18"/>
        </w:rPr>
        <w:object w:dxaOrig="980" w:dyaOrig="680">
          <v:shape id="_x0000_i1061" type="#_x0000_t75" style="width:48pt;height:33pt" o:ole="">
            <v:imagedata r:id="rId97" o:title=""/>
          </v:shape>
          <o:OLEObject Type="Embed" ProgID="Equation.3" ShapeID="_x0000_i1061" DrawAspect="Content" ObjectID="_1674728807" r:id="rId98"/>
        </w:object>
      </w:r>
    </w:p>
    <w:p w:rsidR="00783598" w:rsidRPr="00340E4C" w:rsidRDefault="00783598">
      <w:pPr>
        <w:pStyle w:val="berschrift4"/>
      </w:pPr>
      <w:r w:rsidRPr="00340E4C">
        <w:t>Matematicky obtížně vyjádřitelné souvislosti hospodářského růstu</w:t>
      </w:r>
    </w:p>
    <w:p w:rsidR="00783598" w:rsidRPr="00340E4C" w:rsidRDefault="00783598"/>
    <w:p w:rsidR="00783598" w:rsidRPr="00340E4C" w:rsidRDefault="00783598">
      <w:pPr>
        <w:pStyle w:val="Textkrper"/>
      </w:pPr>
      <w:r w:rsidRPr="00340E4C">
        <w:t>Neoklasická teorie předpokládá, že technologický pokrok prostě „probíhá“ a společnost se vyvíjí. Proč potom některé země rostou dynamicky nebo mají vysoký produkt na jednoho obyvatele a jiné ne? Rozdíl v GDP/obyv. mezi nejvyspělejšími a nejzaostalejšími zeměmi je třicetinásobný (i když uvažujeme, že měření GDP je nepřesné)?</w:t>
      </w:r>
    </w:p>
    <w:p w:rsidR="00783598" w:rsidRPr="00340E4C" w:rsidRDefault="00783598">
      <w:pPr>
        <w:jc w:val="both"/>
        <w:rPr>
          <w:color w:val="FF0000"/>
        </w:rPr>
      </w:pPr>
    </w:p>
    <w:p w:rsidR="00783598" w:rsidRPr="00340E4C" w:rsidRDefault="00783598">
      <w:pPr>
        <w:pStyle w:val="Textkrper"/>
      </w:pPr>
      <w:r w:rsidRPr="00340E4C">
        <w:t>Předpokladem hospodářského růstu je podnikání a investování.</w:t>
      </w:r>
    </w:p>
    <w:p w:rsidR="0025749A" w:rsidRDefault="0025749A"/>
    <w:p w:rsidR="0025749A" w:rsidRDefault="0025749A">
      <w:r>
        <w:t>Otázka k zamyšlení:</w:t>
      </w:r>
    </w:p>
    <w:p w:rsidR="00783598" w:rsidRPr="00340E4C" w:rsidRDefault="00783598">
      <w:r w:rsidRPr="00340E4C">
        <w:t xml:space="preserve">Proč kapitalismus </w:t>
      </w:r>
      <w:r w:rsidR="0025749A">
        <w:t xml:space="preserve">(tržní ekonomika) </w:t>
      </w:r>
      <w:r w:rsidRPr="00340E4C">
        <w:t xml:space="preserve">v některých zemích vítězí a jinde selhává? </w:t>
      </w:r>
    </w:p>
    <w:p w:rsidR="00783598" w:rsidRPr="00340E4C" w:rsidRDefault="00783598"/>
    <w:p w:rsidR="00783598" w:rsidRPr="00340E4C" w:rsidRDefault="00783598">
      <w:r w:rsidRPr="00340E4C">
        <w:t>Jasná a vymahatelná vlastnická práva, respektování soukromého vlastnictví</w:t>
      </w:r>
    </w:p>
    <w:p w:rsidR="00783598" w:rsidRPr="00340E4C" w:rsidRDefault="00783598">
      <w:r w:rsidRPr="00340E4C">
        <w:t>Volný prodej a nákup statků i výrobních faktorů</w:t>
      </w:r>
    </w:p>
    <w:p w:rsidR="00783598" w:rsidRPr="00340E4C" w:rsidRDefault="00783598">
      <w:r w:rsidRPr="00340E4C">
        <w:lastRenderedPageBreak/>
        <w:t xml:space="preserve">Případová studie </w:t>
      </w:r>
    </w:p>
    <w:p w:rsidR="00783598" w:rsidRPr="00340E4C" w:rsidRDefault="00783598" w:rsidP="001741A7">
      <w:pPr>
        <w:numPr>
          <w:ilvl w:val="3"/>
          <w:numId w:val="1"/>
        </w:numPr>
      </w:pPr>
      <w:r w:rsidRPr="00340E4C">
        <w:t xml:space="preserve">Egypt, </w:t>
      </w:r>
    </w:p>
    <w:p w:rsidR="00783598" w:rsidRPr="00340E4C" w:rsidRDefault="00783598" w:rsidP="001741A7">
      <w:pPr>
        <w:numPr>
          <w:ilvl w:val="3"/>
          <w:numId w:val="1"/>
        </w:numPr>
      </w:pPr>
      <w:r w:rsidRPr="00340E4C">
        <w:t>Latinská Amerika, řada farmářů nesmí půdu prodat, ani jinak s ní disponovat</w:t>
      </w:r>
    </w:p>
    <w:p w:rsidR="00783598" w:rsidRPr="00340E4C" w:rsidRDefault="00783598" w:rsidP="001741A7">
      <w:pPr>
        <w:numPr>
          <w:ilvl w:val="3"/>
          <w:numId w:val="1"/>
        </w:numPr>
      </w:pPr>
      <w:r w:rsidRPr="00340E4C">
        <w:t>Intervencionismus v Japonsku ochromil fungování tržních institutů</w:t>
      </w:r>
    </w:p>
    <w:p w:rsidR="00783598" w:rsidRPr="00340E4C" w:rsidRDefault="00783598" w:rsidP="001741A7">
      <w:pPr>
        <w:numPr>
          <w:ilvl w:val="3"/>
          <w:numId w:val="1"/>
        </w:numPr>
      </w:pPr>
      <w:r w:rsidRPr="00340E4C">
        <w:t>Finanční a hospodářská krize USA od 2008</w:t>
      </w:r>
    </w:p>
    <w:p w:rsidR="00783598" w:rsidRPr="00340E4C" w:rsidRDefault="00783598"/>
    <w:p w:rsidR="00783598" w:rsidRPr="00340E4C" w:rsidRDefault="00783598" w:rsidP="00636A7A">
      <w:pPr>
        <w:pStyle w:val="berschrift2"/>
      </w:pPr>
      <w:r w:rsidRPr="00340E4C">
        <w:t>Hospodářský cyklus</w:t>
      </w:r>
    </w:p>
    <w:p w:rsidR="00783598" w:rsidRPr="00340E4C" w:rsidRDefault="00783598" w:rsidP="00636A7A">
      <w:pPr>
        <w:pStyle w:val="berschrift3"/>
      </w:pPr>
      <w:r w:rsidRPr="00340E4C">
        <w:t>Charakteristika hospodářského cyklu</w:t>
      </w:r>
    </w:p>
    <w:p w:rsidR="00783598" w:rsidRPr="00340E4C" w:rsidRDefault="00783598">
      <w:pPr>
        <w:rPr>
          <w:b/>
          <w:bCs/>
        </w:rPr>
      </w:pPr>
    </w:p>
    <w:p w:rsidR="00783598" w:rsidRPr="00340E4C" w:rsidRDefault="00783598">
      <w:pPr>
        <w:pStyle w:val="StandardWeb"/>
        <w:jc w:val="both"/>
        <w:rPr>
          <w:szCs w:val="18"/>
        </w:rPr>
      </w:pPr>
      <w:r w:rsidRPr="00340E4C">
        <w:rPr>
          <w:b/>
          <w:bCs/>
          <w:szCs w:val="18"/>
        </w:rPr>
        <w:t>Hospodářské cykly</w:t>
      </w:r>
      <w:r w:rsidRPr="00340E4C">
        <w:rPr>
          <w:szCs w:val="18"/>
        </w:rPr>
        <w:t xml:space="preserve"> jsou výkyvy celkové ekonomické aktivity vyznačující se současnou expanzí nebo kontrakcí produktu ve většině sektorů ekonomiky. K hospodářskému cyklu dochází, jestliže skutečný GNP vzhledem k potenciálnímu produktu roste (expanze) nebo klesá (kontrakce nebo recese). Dnes se hospodářský cyklus rozděluje na fáze a to na vrchol, recesi, sedlo a expanzi. Expanze následuje po recesi a body obratu leží mezi nimi. Průběh cyklů je nepravidelný a je rozdílná i délka cyklů. Hospodářské cykly jsou si ale často velmi podobné. Zdrojem cyklického vývoje jsou posuny agregátní nabídky vůči agregátní poptávce.</w:t>
      </w:r>
    </w:p>
    <w:p w:rsidR="00783598" w:rsidRPr="00340E4C" w:rsidRDefault="0033114D">
      <w:pPr>
        <w:pStyle w:val="StandardWeb"/>
        <w:jc w:val="both"/>
        <w:rPr>
          <w:rFonts w:ascii="Verdana" w:hAnsi="Verdana"/>
          <w:color w:val="39321F"/>
          <w:sz w:val="18"/>
          <w:szCs w:val="18"/>
        </w:rPr>
      </w:pPr>
      <w:r w:rsidRPr="00340E4C">
        <w:rPr>
          <w:rFonts w:ascii="Verdana" w:hAnsi="Verdana"/>
          <w:noProof/>
          <w:color w:val="39321F"/>
          <w:sz w:val="18"/>
          <w:szCs w:val="18"/>
          <w:lang w:val="de-DE" w:eastAsia="de-DE"/>
        </w:rPr>
        <w:drawing>
          <wp:inline distT="0" distB="0" distL="0" distR="0" wp14:anchorId="1B3C03D9" wp14:editId="686C67CF">
            <wp:extent cx="5010150" cy="1438275"/>
            <wp:effectExtent l="0" t="0" r="0" b="9525"/>
            <wp:docPr id="145" name="obrázek 145" descr="makroekonomie03-o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akroekonomie03-obr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010150" cy="1438275"/>
                    </a:xfrm>
                    <a:prstGeom prst="rect">
                      <a:avLst/>
                    </a:prstGeom>
                    <a:noFill/>
                    <a:ln>
                      <a:noFill/>
                    </a:ln>
                  </pic:spPr>
                </pic:pic>
              </a:graphicData>
            </a:graphic>
          </wp:inline>
        </w:drawing>
      </w:r>
    </w:p>
    <w:p w:rsidR="00783598" w:rsidRPr="00340E4C" w:rsidRDefault="00783598">
      <w:pPr>
        <w:pStyle w:val="Beschriftung"/>
      </w:pPr>
    </w:p>
    <w:p w:rsidR="00783598" w:rsidRPr="00340E4C" w:rsidRDefault="00783598">
      <w:pPr>
        <w:jc w:val="both"/>
      </w:pPr>
      <w:r w:rsidRPr="00340E4C">
        <w:t>Jednotlivé fáze mají svůj charakteristický projev v:</w:t>
      </w:r>
    </w:p>
    <w:p w:rsidR="00783598" w:rsidRPr="00340E4C" w:rsidRDefault="00783598" w:rsidP="001741A7">
      <w:pPr>
        <w:numPr>
          <w:ilvl w:val="0"/>
          <w:numId w:val="18"/>
        </w:numPr>
        <w:jc w:val="both"/>
      </w:pPr>
      <w:r w:rsidRPr="00340E4C">
        <w:t>Pohybu GDP (expanze – roste)</w:t>
      </w:r>
    </w:p>
    <w:p w:rsidR="00783598" w:rsidRPr="00340E4C" w:rsidRDefault="00783598" w:rsidP="001741A7">
      <w:pPr>
        <w:numPr>
          <w:ilvl w:val="0"/>
          <w:numId w:val="18"/>
        </w:numPr>
        <w:jc w:val="both"/>
      </w:pPr>
      <w:r w:rsidRPr="00340E4C">
        <w:t>Pohybu cen (expanze – rostou až do neadekvátní úrovně)</w:t>
      </w:r>
    </w:p>
    <w:p w:rsidR="00783598" w:rsidRPr="00340E4C" w:rsidRDefault="00783598" w:rsidP="001741A7">
      <w:pPr>
        <w:numPr>
          <w:ilvl w:val="0"/>
          <w:numId w:val="18"/>
        </w:numPr>
        <w:jc w:val="both"/>
      </w:pPr>
      <w:r w:rsidRPr="00340E4C">
        <w:t xml:space="preserve">Pohybu zaměstnanosti (expanze – roste) a </w:t>
      </w:r>
    </w:p>
    <w:p w:rsidR="00783598" w:rsidRPr="00340E4C" w:rsidRDefault="00783598" w:rsidP="001741A7">
      <w:pPr>
        <w:numPr>
          <w:ilvl w:val="0"/>
          <w:numId w:val="18"/>
        </w:numPr>
        <w:jc w:val="both"/>
      </w:pPr>
      <w:r w:rsidRPr="00340E4C">
        <w:t>Pohybu investic (expanze –</w:t>
      </w:r>
      <w:r w:rsidR="008257AE">
        <w:t xml:space="preserve"> </w:t>
      </w:r>
      <w:r w:rsidRPr="00340E4C">
        <w:t>rostou)</w:t>
      </w:r>
    </w:p>
    <w:p w:rsidR="00783598" w:rsidRPr="00340E4C" w:rsidRDefault="00783598">
      <w:pPr>
        <w:jc w:val="both"/>
      </w:pPr>
      <w:r w:rsidRPr="00340E4C">
        <w:t>Historie hospodářských cyklů začíná v průmyslové revoluci počátkem 19.</w:t>
      </w:r>
      <w:r w:rsidR="008257AE">
        <w:t xml:space="preserve"> </w:t>
      </w:r>
      <w:r w:rsidRPr="00340E4C">
        <w:t>století. Cenové bubliny existovaly již dříve (tulipánová mánie v Nizozemí 17.</w:t>
      </w:r>
      <w:r w:rsidR="008257AE">
        <w:t xml:space="preserve"> </w:t>
      </w:r>
      <w:r w:rsidRPr="00340E4C">
        <w:t xml:space="preserve">století, </w:t>
      </w:r>
      <w:r w:rsidR="008257AE">
        <w:t>„</w:t>
      </w:r>
      <w:r w:rsidRPr="00340E4C">
        <w:t>South Sea Bubble</w:t>
      </w:r>
      <w:r w:rsidR="008257AE">
        <w:t>“</w:t>
      </w:r>
      <w:r w:rsidRPr="00340E4C">
        <w:t xml:space="preserve"> v Anglii), nebyly to však krize z</w:t>
      </w:r>
      <w:r w:rsidR="008257AE">
        <w:t> </w:t>
      </w:r>
      <w:r w:rsidRPr="00340E4C">
        <w:t>nadprodukce</w:t>
      </w:r>
      <w:r w:rsidR="008257AE">
        <w:t xml:space="preserve"> celého hospodářství, jen v jeho malé části</w:t>
      </w:r>
      <w:r w:rsidRPr="00340E4C">
        <w:t>.</w:t>
      </w:r>
      <w:r w:rsidR="008257AE">
        <w:t xml:space="preserve"> Naprostá většina HDP vznikala v zemědělství a byla odváděna feudálními dávkami nebo omezeným místním trhem.</w:t>
      </w:r>
    </w:p>
    <w:p w:rsidR="00783598" w:rsidRPr="00340E4C" w:rsidRDefault="00783598">
      <w:pPr>
        <w:jc w:val="both"/>
      </w:pPr>
      <w:r w:rsidRPr="00340E4C">
        <w:t xml:space="preserve">V našich zemích byla první významná krize v roce 1873. Začala pádem na Vídeňské burze. </w:t>
      </w:r>
    </w:p>
    <w:p w:rsidR="00783598" w:rsidRPr="00340E4C" w:rsidRDefault="00783598">
      <w:pPr>
        <w:jc w:val="both"/>
      </w:pPr>
      <w:r w:rsidRPr="00340E4C">
        <w:t>Dokud se krize odehrávaly v různých zemích v různé době a dokud řada zemí v důsledku malého podílu tržní ekonomiky krizi příliš nepociťovala, nebyl celosvětový dopad tolik znatelný. Jakmile se ekonomika začala globalizovat a stále významnější roli začínal hrát zahraniční obchod, začaly se synchronizovat i příčiny a průběh krizí. První skutečně celosvětovou krizí byla Velká hospodářská deprese 1929-1933. Během ní</w:t>
      </w:r>
    </w:p>
    <w:p w:rsidR="00783598" w:rsidRPr="00340E4C" w:rsidRDefault="00783598" w:rsidP="001741A7">
      <w:pPr>
        <w:numPr>
          <w:ilvl w:val="0"/>
          <w:numId w:val="17"/>
        </w:numPr>
        <w:jc w:val="both"/>
      </w:pPr>
      <w:r w:rsidRPr="00340E4C">
        <w:t>průmyslová výroba klesla na polovinu a GDP o třetinu,</w:t>
      </w:r>
    </w:p>
    <w:p w:rsidR="00783598" w:rsidRPr="00340E4C" w:rsidRDefault="00783598" w:rsidP="001741A7">
      <w:pPr>
        <w:numPr>
          <w:ilvl w:val="0"/>
          <w:numId w:val="17"/>
        </w:numPr>
        <w:jc w:val="both"/>
      </w:pPr>
      <w:r w:rsidRPr="00340E4C">
        <w:t>nezaměstnanost vzrostla na 25%,</w:t>
      </w:r>
    </w:p>
    <w:p w:rsidR="00783598" w:rsidRPr="00340E4C" w:rsidRDefault="00783598" w:rsidP="001741A7">
      <w:pPr>
        <w:numPr>
          <w:ilvl w:val="0"/>
          <w:numId w:val="17"/>
        </w:numPr>
        <w:jc w:val="both"/>
      </w:pPr>
      <w:r w:rsidRPr="00340E4C">
        <w:t>ceny klesly o 40%, mzdy o 21% a</w:t>
      </w:r>
    </w:p>
    <w:p w:rsidR="00783598" w:rsidRPr="00340E4C" w:rsidRDefault="00783598" w:rsidP="001741A7">
      <w:pPr>
        <w:numPr>
          <w:ilvl w:val="0"/>
          <w:numId w:val="17"/>
        </w:numPr>
        <w:jc w:val="both"/>
      </w:pPr>
      <w:r w:rsidRPr="00340E4C">
        <w:lastRenderedPageBreak/>
        <w:t xml:space="preserve">investice o 90% </w:t>
      </w:r>
    </w:p>
    <w:p w:rsidR="00783598" w:rsidRPr="00340E4C" w:rsidRDefault="00783598">
      <w:pPr>
        <w:jc w:val="both"/>
      </w:pPr>
      <w:r w:rsidRPr="00340E4C">
        <w:t>Nezaměstnanost v tehdejším Československu se odhaduje na 1,2 mil. nezaměstnaných, tj. při počtu obyvatel 14 miliónů, sice jenom méně než 20%. Avšak téměř třetina lidí pracovala v zemědělství a ti fakticky režimem nezaměstnanosti neprocházeli, takže lze nezaměstnanost odhadnout na více než 25%. Z takového sociálního napětí vyplývá i rostoucí radikalizace a posilování jak fašismu, tak komunismu. V 30.letech měla komunistická strana pravidelně kolem 800.000 hlasů!</w:t>
      </w:r>
    </w:p>
    <w:p w:rsidR="00783598" w:rsidRPr="00340E4C" w:rsidRDefault="00783598">
      <w:pPr>
        <w:jc w:val="both"/>
      </w:pPr>
      <w:r w:rsidRPr="00340E4C">
        <w:t>Ale i ve středních vrstvách vzbudila velká deprese hluboké pochybnosti o tržní ekonomice a oslabila jejich odpor vůči státním zásahům.</w:t>
      </w:r>
    </w:p>
    <w:p w:rsidR="00783598" w:rsidRPr="00340E4C" w:rsidRDefault="00783598">
      <w:pPr>
        <w:jc w:val="both"/>
      </w:pPr>
      <w:r w:rsidRPr="00340E4C">
        <w:t>O příčinách se dodnes vedou spory:</w:t>
      </w:r>
    </w:p>
    <w:p w:rsidR="00783598" w:rsidRPr="00340E4C" w:rsidRDefault="00783598">
      <w:pPr>
        <w:jc w:val="both"/>
      </w:pPr>
      <w:r w:rsidRPr="00340E4C">
        <w:t>Keynes: rostoucí neschopnost velkých ekonomik proinvestovat stále větší úspory</w:t>
      </w:r>
    </w:p>
    <w:p w:rsidR="00783598" w:rsidRPr="00340E4C" w:rsidRDefault="00783598">
      <w:pPr>
        <w:jc w:val="both"/>
      </w:pPr>
      <w:r w:rsidRPr="00340E4C">
        <w:t>Friedman: americká centrální banka nepřistoupila včas k měnové expanzi</w:t>
      </w:r>
    </w:p>
    <w:p w:rsidR="00783598" w:rsidRPr="00340E4C" w:rsidRDefault="00783598">
      <w:pPr>
        <w:jc w:val="both"/>
      </w:pPr>
      <w:r w:rsidRPr="00340E4C">
        <w:t xml:space="preserve">Jiní: neochota opustit zlatý standard, odkládání bankrotů    </w:t>
      </w:r>
    </w:p>
    <w:p w:rsidR="00783598" w:rsidRPr="00340E4C" w:rsidRDefault="00783598">
      <w:pPr>
        <w:jc w:val="both"/>
      </w:pPr>
      <w:r w:rsidRPr="00340E4C">
        <w:t xml:space="preserve">  </w:t>
      </w:r>
    </w:p>
    <w:p w:rsidR="00783598" w:rsidRPr="00340E4C" w:rsidRDefault="00783598">
      <w:pPr>
        <w:jc w:val="both"/>
      </w:pPr>
      <w:r w:rsidRPr="00340E4C">
        <w:t xml:space="preserve">Další větší krize: ropné šoky 70.léta, dot.com počátek 21.století, sub-prime dnes </w:t>
      </w:r>
    </w:p>
    <w:p w:rsidR="00783598" w:rsidRPr="00340E4C" w:rsidRDefault="00783598" w:rsidP="00636A7A">
      <w:pPr>
        <w:pStyle w:val="berschrift3"/>
      </w:pPr>
      <w:r w:rsidRPr="00340E4C">
        <w:t>Teorie cyklu</w:t>
      </w:r>
    </w:p>
    <w:p w:rsidR="00783598" w:rsidRPr="00340E4C" w:rsidRDefault="00783598">
      <w:pPr>
        <w:pStyle w:val="StandardWeb"/>
        <w:spacing w:before="100" w:beforeAutospacing="1" w:after="100" w:afterAutospacing="1"/>
        <w:jc w:val="both"/>
        <w:rPr>
          <w:szCs w:val="18"/>
        </w:rPr>
      </w:pPr>
      <w:r w:rsidRPr="00340E4C">
        <w:rPr>
          <w:szCs w:val="18"/>
        </w:rPr>
        <w:t>Existuje mnoho teorií cyklu a ty se dají v zásadě rozdělit do dvou hlavních kategorií a to na primárně vnější a primárně vnitřní teorie cyklu. Vnější teorie nacházejí příčiny hospodářského cyklu ve výkyvech něčeho vně ekonomického systému jako např. klima, války apod. Oproti tomu vnitřní teorie hledají příčiny hospodářských cyklů uvnitř ekonomického systému samotného a to takové, které vyvolávají sebegenerující hospodářské cykly.</w:t>
      </w:r>
    </w:p>
    <w:p w:rsidR="00783598" w:rsidRPr="00340E4C" w:rsidRDefault="00783598">
      <w:pPr>
        <w:pStyle w:val="StandardWeb"/>
        <w:spacing w:before="100" w:beforeAutospacing="1" w:after="100" w:afterAutospacing="1"/>
        <w:jc w:val="both"/>
        <w:rPr>
          <w:szCs w:val="18"/>
        </w:rPr>
      </w:pPr>
      <w:r w:rsidRPr="00340E4C">
        <w:rPr>
          <w:b/>
          <w:szCs w:val="18"/>
        </w:rPr>
        <w:t xml:space="preserve">Poznámka: </w:t>
      </w:r>
      <w:r w:rsidRPr="00340E4C">
        <w:rPr>
          <w:szCs w:val="18"/>
        </w:rPr>
        <w:t xml:space="preserve">změnu agregátní rovnováhy může vyvolat i změna peněžní zásoby a související poptávkový šok – </w:t>
      </w:r>
      <w:r w:rsidRPr="00340E4C">
        <w:rPr>
          <w:b/>
          <w:szCs w:val="18"/>
        </w:rPr>
        <w:t>monetární cyklus</w:t>
      </w:r>
      <w:r w:rsidRPr="00340E4C">
        <w:rPr>
          <w:szCs w:val="18"/>
        </w:rPr>
        <w:t xml:space="preserve">. Proč způsobuje centrální banka neadekvátní změny peněžní zásoby? Protože nedokáže sladit nabídku peněz s poptávkou. </w:t>
      </w:r>
    </w:p>
    <w:p w:rsidR="00783598" w:rsidRPr="00340E4C" w:rsidRDefault="00783598">
      <w:r w:rsidRPr="00340E4C">
        <w:t>a) Teorie politického hospodářského cyklu</w:t>
      </w:r>
    </w:p>
    <w:p w:rsidR="00783598" w:rsidRPr="00340E4C" w:rsidRDefault="00783598">
      <w:pPr>
        <w:pStyle w:val="StandardWeb"/>
        <w:jc w:val="both"/>
        <w:rPr>
          <w:szCs w:val="18"/>
        </w:rPr>
      </w:pPr>
      <w:r w:rsidRPr="00340E4C">
        <w:rPr>
          <w:szCs w:val="18"/>
        </w:rPr>
        <w:t>Patří mezi vnější teorie hospodářského cyklu. Vychází z toho, že volení zástupci obyvatel mohou díky fiskální a monetární politice manipulovat s ekonomikou tak, aby podpořili své volební výsledky. Obvykle to znamená, že po volbách se zavede tuhý úsporný hospodářský režim a zhruba rok před volbami se naopak začne prosazovat expanzivní hospodářská politika.</w:t>
      </w:r>
    </w:p>
    <w:p w:rsidR="00783598" w:rsidRPr="00340E4C" w:rsidRDefault="00783598">
      <w:r w:rsidRPr="00340E4C">
        <w:t>b) Teorie kombinování vnitřních a vnějších faktorů</w:t>
      </w:r>
    </w:p>
    <w:p w:rsidR="00783598" w:rsidRPr="00340E4C" w:rsidRDefault="00783598">
      <w:pPr>
        <w:pStyle w:val="StandardWeb"/>
        <w:jc w:val="both"/>
        <w:rPr>
          <w:szCs w:val="18"/>
        </w:rPr>
      </w:pPr>
      <w:r w:rsidRPr="00340E4C">
        <w:rPr>
          <w:szCs w:val="18"/>
        </w:rPr>
        <w:t>Kombinuje teorie vnitřní a vnější. Mezi nejvýznamnější faktor patří investice. Investice jsou ovlivněny růstem prodeje a produktu. Tyto teorie využívá princip akcelerátoru (jako skoro všechny teorie hospodářského cyklu).</w:t>
      </w:r>
    </w:p>
    <w:p w:rsidR="00783598" w:rsidRPr="00340E4C" w:rsidRDefault="00783598">
      <w:r w:rsidRPr="00340E4C">
        <w:t>c) Teorie kombinující princip akcelerátoru s modelem multiplikátoru</w:t>
      </w:r>
    </w:p>
    <w:p w:rsidR="00783598" w:rsidRPr="00340E4C" w:rsidRDefault="00783598">
      <w:r w:rsidRPr="00340E4C">
        <w:t>Princip akcelerátoru</w:t>
      </w:r>
    </w:p>
    <w:p w:rsidR="00783598" w:rsidRPr="00340E4C" w:rsidRDefault="00783598">
      <w:pPr>
        <w:pStyle w:val="StandardWeb"/>
        <w:jc w:val="both"/>
        <w:rPr>
          <w:szCs w:val="18"/>
        </w:rPr>
      </w:pPr>
      <w:r w:rsidRPr="00340E4C">
        <w:rPr>
          <w:szCs w:val="18"/>
        </w:rPr>
        <w:t>Princip akcelerátoru je teorií o faktorech, které určují investice. Je to teorie investičních výdajů, podle níž je úroveň investic určována tempem růstu reálného GNP. To znamená, že čisté investice jsou kladné (vysoké), jestliže GNP roste, a nulové (nízké), jestliže se GNP nemění (dokonce i když je GNP velmi vysoký).</w:t>
      </w:r>
    </w:p>
    <w:p w:rsidR="00783598" w:rsidRPr="00340E4C" w:rsidRDefault="00783598">
      <w:pPr>
        <w:pStyle w:val="StandardWeb"/>
        <w:jc w:val="both"/>
        <w:rPr>
          <w:szCs w:val="18"/>
        </w:rPr>
      </w:pPr>
      <w:r w:rsidRPr="00340E4C">
        <w:rPr>
          <w:szCs w:val="18"/>
        </w:rPr>
        <w:t>Akcelerační princip vyjadřuje skutečnost, že čisté indukované (In) investice (vyvolané investice - určené velikostí GNP) jsou funkcí míry změny reálného produktu (Y).</w:t>
      </w:r>
    </w:p>
    <w:p w:rsidR="00783598" w:rsidRPr="00340E4C" w:rsidRDefault="00783598">
      <w:pPr>
        <w:pStyle w:val="StandardWeb"/>
        <w:jc w:val="both"/>
        <w:rPr>
          <w:szCs w:val="18"/>
        </w:rPr>
      </w:pPr>
      <w:r w:rsidRPr="00340E4C">
        <w:rPr>
          <w:szCs w:val="18"/>
        </w:rPr>
        <w:t>In = a * Y</w:t>
      </w:r>
    </w:p>
    <w:p w:rsidR="00783598" w:rsidRPr="00340E4C" w:rsidRDefault="00783598">
      <w:r w:rsidRPr="00340E4C">
        <w:lastRenderedPageBreak/>
        <w:t>Interakce multiplikátoru a akcelerátoru</w:t>
      </w:r>
    </w:p>
    <w:p w:rsidR="00783598" w:rsidRPr="00340E4C" w:rsidRDefault="00783598">
      <w:pPr>
        <w:pStyle w:val="StandardWeb"/>
        <w:jc w:val="both"/>
      </w:pPr>
      <w:r w:rsidRPr="00340E4C">
        <w:t>Uvažujeme-li, že začal růst HDP. To vyvolá na základě akceleračního principu nové indukované investice. Tyto nové investice v souladu s multiplikačním efektem podnítí další růst GNP. GNP roste až do okamžiku, kdy dosáhne potenciálního produktu a poté začne tempo růstu GNP klesat, až se zastaví. Při poklesu tempa začne působit akcelerátor a multiplikátor opačně - GNP proto v důsledku jejich působení klesá až do okamžiku, kdy dosáhnou sedlového bodu. Protože se ale celkové investice skládají nejen z indukovaných investic, ale i z obnovovacích investic, slouží tyto restituční investice jako dolní hranice poklesu investic. Jakmile tyto investice dosáhnou této spodní hranice, pokles se zastavil a zastavil se i pokles GNP. V této situace poslouží obnovovací investice v souladu s principem akcelerátoru a multiplikátoru k novému růstu investic a tím i GNP. Celý hospodářský cyklus se tak opakuje.</w:t>
      </w:r>
    </w:p>
    <w:p w:rsidR="00783598" w:rsidRPr="00340E4C" w:rsidRDefault="00783598">
      <w:pPr>
        <w:pStyle w:val="StandardWeb"/>
        <w:jc w:val="both"/>
      </w:pPr>
      <w:r w:rsidRPr="00340E4C">
        <w:t xml:space="preserve">Poznámka: co má dělat veřejný sektor například v dnešní krizi? Neexistuje univerzální vždy platný recept. Ekonomové se shodnou především na tom, že peněžní toky (nové úvěry) a stavy (úspory, závazky, ceny) by si měly zachovat svou vypovídací a stimulační schopnost. </w:t>
      </w:r>
    </w:p>
    <w:p w:rsidR="004B4A1D" w:rsidRDefault="00783598" w:rsidP="00636A7A">
      <w:pPr>
        <w:pStyle w:val="berschrift3"/>
      </w:pPr>
      <w:r w:rsidRPr="00340E4C">
        <w:t xml:space="preserve">Poznámka: </w:t>
      </w:r>
      <w:r w:rsidR="004B4A1D">
        <w:t>Další cykly</w:t>
      </w:r>
    </w:p>
    <w:p w:rsidR="004B4A1D" w:rsidRDefault="004B4A1D" w:rsidP="004B4A1D"/>
    <w:p w:rsidR="004B4A1D" w:rsidRDefault="004B4A1D" w:rsidP="004B4A1D">
      <w:pPr>
        <w:jc w:val="both"/>
      </w:pPr>
      <w:r>
        <w:t xml:space="preserve">Makroekonomie zkoumá především střednědobé </w:t>
      </w:r>
      <w:r w:rsidR="0064380F">
        <w:t xml:space="preserve">(6-10 let) </w:t>
      </w:r>
      <w:r>
        <w:t xml:space="preserve">hospodářské cykly, někdy se nazývají Juglarovy. </w:t>
      </w:r>
      <w:r w:rsidR="0064380F">
        <w:t>Existují však i cykly kratší nebo delší:</w:t>
      </w:r>
    </w:p>
    <w:p w:rsidR="0064380F" w:rsidRDefault="0064380F" w:rsidP="0064380F">
      <w:pPr>
        <w:pStyle w:val="Listenabsatz"/>
        <w:numPr>
          <w:ilvl w:val="0"/>
          <w:numId w:val="1"/>
        </w:numPr>
        <w:jc w:val="both"/>
        <w:rPr>
          <w:rFonts w:ascii="Times New Roman" w:hAnsi="Times New Roman"/>
          <w:lang w:val="cs-CZ"/>
        </w:rPr>
      </w:pPr>
      <w:r w:rsidRPr="0064380F">
        <w:rPr>
          <w:rFonts w:ascii="Times New Roman" w:hAnsi="Times New Roman"/>
          <w:lang w:val="cs-CZ"/>
        </w:rPr>
        <w:t xml:space="preserve">Krátkodobé cykly – </w:t>
      </w:r>
      <w:r>
        <w:rPr>
          <w:rFonts w:ascii="Times New Roman" w:hAnsi="Times New Roman"/>
          <w:lang w:val="cs-CZ"/>
        </w:rPr>
        <w:t xml:space="preserve">Kitchinovy - </w:t>
      </w:r>
      <w:r w:rsidRPr="0064380F">
        <w:rPr>
          <w:rFonts w:ascii="Times New Roman" w:hAnsi="Times New Roman"/>
          <w:lang w:val="cs-CZ"/>
        </w:rPr>
        <w:t>trvají několik měsíců</w:t>
      </w:r>
      <w:r>
        <w:rPr>
          <w:rFonts w:ascii="Times New Roman" w:hAnsi="Times New Roman"/>
          <w:lang w:val="cs-CZ"/>
        </w:rPr>
        <w:t>. Souvisejí s poklesem zásob.</w:t>
      </w:r>
      <w:r w:rsidRPr="0064380F">
        <w:rPr>
          <w:rFonts w:ascii="Times New Roman" w:hAnsi="Times New Roman"/>
          <w:lang w:val="cs-CZ"/>
        </w:rPr>
        <w:t xml:space="preserve"> </w:t>
      </w:r>
    </w:p>
    <w:p w:rsidR="0064380F" w:rsidRDefault="0064380F" w:rsidP="0064380F">
      <w:pPr>
        <w:pStyle w:val="Listenabsatz"/>
        <w:numPr>
          <w:ilvl w:val="0"/>
          <w:numId w:val="1"/>
        </w:numPr>
        <w:jc w:val="both"/>
        <w:rPr>
          <w:rFonts w:ascii="Times New Roman" w:hAnsi="Times New Roman"/>
          <w:lang w:val="cs-CZ"/>
        </w:rPr>
      </w:pPr>
      <w:r>
        <w:rPr>
          <w:rFonts w:ascii="Times New Roman" w:hAnsi="Times New Roman"/>
          <w:lang w:val="cs-CZ"/>
        </w:rPr>
        <w:t xml:space="preserve">Dlouhodobé cykly: </w:t>
      </w:r>
    </w:p>
    <w:p w:rsidR="0064380F" w:rsidRDefault="0064380F" w:rsidP="0064380F">
      <w:pPr>
        <w:pStyle w:val="Listenabsatz"/>
        <w:numPr>
          <w:ilvl w:val="1"/>
          <w:numId w:val="1"/>
        </w:numPr>
        <w:jc w:val="both"/>
        <w:rPr>
          <w:rFonts w:ascii="Times New Roman" w:hAnsi="Times New Roman"/>
          <w:lang w:val="cs-CZ"/>
        </w:rPr>
      </w:pPr>
      <w:r>
        <w:rPr>
          <w:rFonts w:ascii="Times New Roman" w:hAnsi="Times New Roman"/>
          <w:lang w:val="cs-CZ"/>
        </w:rPr>
        <w:t>Kuznetsovy – spojované s investiční výstavbou v trvání 15-25 let</w:t>
      </w:r>
    </w:p>
    <w:p w:rsidR="00783598" w:rsidRPr="0064380F" w:rsidRDefault="00783598" w:rsidP="0064380F">
      <w:pPr>
        <w:pStyle w:val="Listenabsatz"/>
        <w:numPr>
          <w:ilvl w:val="0"/>
          <w:numId w:val="44"/>
        </w:numPr>
        <w:rPr>
          <w:rFonts w:ascii="Times New Roman" w:hAnsi="Times New Roman"/>
          <w:lang w:val="cs-CZ"/>
        </w:rPr>
      </w:pPr>
      <w:r w:rsidRPr="0064380F">
        <w:rPr>
          <w:rFonts w:ascii="Times New Roman" w:hAnsi="Times New Roman"/>
          <w:lang w:val="cs-CZ"/>
        </w:rPr>
        <w:t>Kondratěvův</w:t>
      </w:r>
      <w:r w:rsidRPr="0064380F">
        <w:rPr>
          <w:rStyle w:val="Funotenzeichen"/>
          <w:rFonts w:ascii="Times New Roman" w:hAnsi="Times New Roman"/>
        </w:rPr>
        <w:footnoteReference w:id="16"/>
      </w:r>
      <w:r w:rsidRPr="0064380F">
        <w:rPr>
          <w:rFonts w:ascii="Times New Roman" w:hAnsi="Times New Roman"/>
          <w:lang w:val="cs-CZ"/>
        </w:rPr>
        <w:t xml:space="preserve"> dlouhý hospodářský cyklus</w:t>
      </w:r>
      <w:r w:rsidR="0064380F" w:rsidRPr="0064380F">
        <w:rPr>
          <w:rFonts w:ascii="Times New Roman" w:hAnsi="Times New Roman"/>
          <w:lang w:val="cs-CZ"/>
        </w:rPr>
        <w:t xml:space="preserve"> v trvání 40-60 let  </w:t>
      </w:r>
    </w:p>
    <w:p w:rsidR="00783598" w:rsidRPr="0064380F" w:rsidRDefault="00783598">
      <w:pPr>
        <w:jc w:val="both"/>
      </w:pPr>
      <w:r w:rsidRPr="0064380F">
        <w:t>Již Joseph Alois Schumpeter</w:t>
      </w:r>
      <w:r w:rsidRPr="0064380F">
        <w:rPr>
          <w:rStyle w:val="Funotenzeichen"/>
        </w:rPr>
        <w:footnoteReference w:id="17"/>
      </w:r>
      <w:r w:rsidRPr="0064380F">
        <w:t xml:space="preserve"> vypracoval ucelenou teorii hospodářských cyklů a vysvětloval je inovačními vlnami.</w:t>
      </w:r>
    </w:p>
    <w:p w:rsidR="00783598" w:rsidRPr="0064380F" w:rsidRDefault="00783598">
      <w:pPr>
        <w:jc w:val="both"/>
      </w:pPr>
      <w:r w:rsidRPr="0064380F">
        <w:t>Kondratěv vyslovil domněnku o existenci dlouhých vln ve vývoji tržní ekonomiky. Tyto vlny trvají 45-60 let:</w:t>
      </w:r>
    </w:p>
    <w:p w:rsidR="00783598" w:rsidRPr="00340E4C" w:rsidRDefault="0033114D">
      <w:pPr>
        <w:jc w:val="both"/>
      </w:pPr>
      <w:r w:rsidRPr="00340E4C">
        <w:rPr>
          <w:noProof/>
          <w:lang w:val="de-DE" w:eastAsia="de-DE"/>
        </w:rPr>
        <w:drawing>
          <wp:inline distT="0" distB="0" distL="0" distR="0" wp14:anchorId="21D75115" wp14:editId="5C4E6726">
            <wp:extent cx="4476750" cy="2133600"/>
            <wp:effectExtent l="0" t="0" r="0" b="0"/>
            <wp:docPr id="146" name="obrázek 146" descr="Kondratieff_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Kondratieff_Wave"/>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476750" cy="2133600"/>
                    </a:xfrm>
                    <a:prstGeom prst="rect">
                      <a:avLst/>
                    </a:prstGeom>
                    <a:noFill/>
                    <a:ln>
                      <a:noFill/>
                    </a:ln>
                  </pic:spPr>
                </pic:pic>
              </a:graphicData>
            </a:graphic>
          </wp:inline>
        </w:drawing>
      </w:r>
    </w:p>
    <w:p w:rsidR="00783598" w:rsidRPr="00340E4C" w:rsidRDefault="00783598">
      <w:pPr>
        <w:jc w:val="both"/>
      </w:pPr>
    </w:p>
    <w:p w:rsidR="00783598" w:rsidRPr="00340E4C" w:rsidRDefault="00783598">
      <w:pPr>
        <w:sectPr w:rsidR="00783598" w:rsidRPr="00340E4C">
          <w:pgSz w:w="11906" w:h="16838"/>
          <w:pgMar w:top="1418" w:right="1418" w:bottom="1134" w:left="1418" w:header="709" w:footer="709" w:gutter="0"/>
          <w:cols w:space="708"/>
          <w:docGrid w:linePitch="360"/>
        </w:sectPr>
      </w:pPr>
    </w:p>
    <w:p w:rsidR="00783598" w:rsidRPr="00340E4C" w:rsidRDefault="00783598"/>
    <w:p w:rsidR="00783598" w:rsidRPr="00340E4C" w:rsidRDefault="00783598" w:rsidP="00636A7A">
      <w:pPr>
        <w:pStyle w:val="berschrift1"/>
      </w:pPr>
      <w:bookmarkStart w:id="86" w:name="_Toc240444148"/>
      <w:bookmarkStart w:id="87" w:name="_Toc240775348"/>
      <w:bookmarkStart w:id="88" w:name="_Toc281979947"/>
      <w:bookmarkStart w:id="89" w:name="_Toc281979989"/>
      <w:bookmarkStart w:id="90" w:name="_Toc296073443"/>
      <w:bookmarkStart w:id="91" w:name="_Toc297533151"/>
      <w:bookmarkStart w:id="92" w:name="_Toc303675511"/>
      <w:bookmarkStart w:id="93" w:name="_Toc303963012"/>
      <w:bookmarkStart w:id="94" w:name="_Toc306176401"/>
      <w:bookmarkStart w:id="95" w:name="_Toc315341170"/>
      <w:bookmarkStart w:id="96" w:name="_Toc316459965"/>
      <w:bookmarkStart w:id="97" w:name="_Toc316460440"/>
      <w:bookmarkStart w:id="98" w:name="_Toc318291417"/>
      <w:bookmarkStart w:id="99" w:name="_Toc328466823"/>
      <w:bookmarkStart w:id="100" w:name="_Toc335724880"/>
      <w:bookmarkStart w:id="101" w:name="_Toc411926285"/>
      <w:bookmarkStart w:id="102" w:name="_Toc1629138"/>
      <w:r w:rsidRPr="00340E4C">
        <w:t>Peníze a trh peněz</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783598" w:rsidRPr="00340E4C" w:rsidRDefault="00783598" w:rsidP="00636A7A">
      <w:pPr>
        <w:pStyle w:val="berschrift2"/>
      </w:pPr>
      <w:r w:rsidRPr="00340E4C">
        <w:t>Peníze</w:t>
      </w:r>
    </w:p>
    <w:p w:rsidR="00783598" w:rsidRPr="00340E4C" w:rsidRDefault="00783598">
      <w:r w:rsidRPr="00340E4C">
        <w:t>Podstata peněz: všeobecně přijímaný prostředek směny, platby a uchování hodnoty.</w:t>
      </w:r>
    </w:p>
    <w:p w:rsidR="00783598" w:rsidRPr="00340E4C" w:rsidRDefault="00783598"/>
    <w:p w:rsidR="00783598" w:rsidRPr="00340E4C" w:rsidRDefault="00783598">
      <w:r w:rsidRPr="00340E4C">
        <w:t>Funkce peněz:</w:t>
      </w:r>
    </w:p>
    <w:p w:rsidR="00783598" w:rsidRPr="00340E4C" w:rsidRDefault="00783598" w:rsidP="001741A7">
      <w:pPr>
        <w:numPr>
          <w:ilvl w:val="0"/>
          <w:numId w:val="1"/>
        </w:numPr>
      </w:pPr>
      <w:r w:rsidRPr="00340E4C">
        <w:t>prostředek směny</w:t>
      </w:r>
    </w:p>
    <w:p w:rsidR="00783598" w:rsidRPr="00340E4C" w:rsidRDefault="00783598" w:rsidP="001741A7">
      <w:pPr>
        <w:numPr>
          <w:ilvl w:val="0"/>
          <w:numId w:val="1"/>
        </w:numPr>
      </w:pPr>
      <w:r w:rsidRPr="00340E4C">
        <w:t>zúčtovací jednotka – vyjádření ceny</w:t>
      </w:r>
    </w:p>
    <w:p w:rsidR="00783598" w:rsidRPr="00340E4C" w:rsidRDefault="00783598" w:rsidP="001741A7">
      <w:pPr>
        <w:numPr>
          <w:ilvl w:val="0"/>
          <w:numId w:val="1"/>
        </w:numPr>
      </w:pPr>
      <w:r w:rsidRPr="00340E4C">
        <w:t xml:space="preserve">uchovatel hodnoty – jedna z forem bohatství, dlouhodobě bohužel málo výhodná </w:t>
      </w:r>
    </w:p>
    <w:p w:rsidR="00783598" w:rsidRPr="00340E4C" w:rsidRDefault="00783598"/>
    <w:p w:rsidR="00783598" w:rsidRPr="00340E4C" w:rsidRDefault="00783598">
      <w:r w:rsidRPr="00340E4C">
        <w:t>Formy:</w:t>
      </w:r>
    </w:p>
    <w:p w:rsidR="00783598" w:rsidRPr="00340E4C" w:rsidRDefault="00783598" w:rsidP="001741A7">
      <w:pPr>
        <w:numPr>
          <w:ilvl w:val="0"/>
          <w:numId w:val="1"/>
        </w:numPr>
      </w:pPr>
      <w:r w:rsidRPr="00340E4C">
        <w:t>komoditní peníze</w:t>
      </w:r>
    </w:p>
    <w:p w:rsidR="00783598" w:rsidRPr="00340E4C" w:rsidRDefault="00783598" w:rsidP="001741A7">
      <w:pPr>
        <w:numPr>
          <w:ilvl w:val="0"/>
          <w:numId w:val="1"/>
        </w:numPr>
      </w:pPr>
      <w:r w:rsidRPr="00340E4C">
        <w:t>zúžení komoditních peněz na nejvhodnější zboží – drahé kovy</w:t>
      </w:r>
    </w:p>
    <w:p w:rsidR="00783598" w:rsidRPr="00340E4C" w:rsidRDefault="00783598" w:rsidP="001741A7">
      <w:pPr>
        <w:numPr>
          <w:ilvl w:val="0"/>
          <w:numId w:val="1"/>
        </w:numPr>
      </w:pPr>
      <w:r w:rsidRPr="00340E4C">
        <w:t>neplnohodnotné peníze (kovové, papírové)</w:t>
      </w:r>
    </w:p>
    <w:p w:rsidR="00783598" w:rsidRPr="00340E4C" w:rsidRDefault="00783598" w:rsidP="001741A7">
      <w:pPr>
        <w:numPr>
          <w:ilvl w:val="0"/>
          <w:numId w:val="1"/>
        </w:numPr>
      </w:pPr>
      <w:r w:rsidRPr="00340E4C">
        <w:t>bezhotovostní peníze (až po elektronické)</w:t>
      </w:r>
    </w:p>
    <w:p w:rsidR="00783598" w:rsidRPr="00340E4C" w:rsidRDefault="00783598"/>
    <w:p w:rsidR="00783598" w:rsidRPr="00340E4C" w:rsidRDefault="00783598">
      <w:r w:rsidRPr="00340E4C">
        <w:t>Peněžní agregáty (liší se podle likvidity):</w:t>
      </w:r>
    </w:p>
    <w:p w:rsidR="00783598" w:rsidRPr="00340E4C" w:rsidRDefault="00783598">
      <w:r w:rsidRPr="00340E4C">
        <w:t>M0 = oběživo včetně prostředků v pokladnách bank</w:t>
      </w:r>
    </w:p>
    <w:p w:rsidR="00783598" w:rsidRPr="00340E4C" w:rsidRDefault="00783598">
      <w:r w:rsidRPr="00340E4C">
        <w:t>M1 = M0 + depozita na viděnou</w:t>
      </w:r>
    </w:p>
    <w:p w:rsidR="00783598" w:rsidRPr="00340E4C" w:rsidRDefault="00783598">
      <w:r w:rsidRPr="00340E4C">
        <w:t>M2 = M1 + termínované vklady do určité výše a vklady v cizích měnách</w:t>
      </w:r>
    </w:p>
    <w:p w:rsidR="00783598" w:rsidRPr="00340E4C" w:rsidRDefault="00783598">
      <w:r w:rsidRPr="00340E4C">
        <w:t>M3 = M2 + termínované vklady od určité výše</w:t>
      </w:r>
    </w:p>
    <w:p w:rsidR="00783598" w:rsidRPr="00340E4C" w:rsidRDefault="00783598"/>
    <w:p w:rsidR="00783598" w:rsidRPr="00340E4C" w:rsidRDefault="00783598">
      <w:r w:rsidRPr="00340E4C">
        <w:t>L – M3 = vysoce likvidní aktiva (státní cenné papíry)</w:t>
      </w:r>
    </w:p>
    <w:p w:rsidR="00783598" w:rsidRPr="00340E4C" w:rsidRDefault="00783598">
      <w:r w:rsidRPr="00340E4C">
        <w:t>D = všechny dluhy domácích nefinančních sektorů</w:t>
      </w:r>
    </w:p>
    <w:p w:rsidR="00783598" w:rsidRPr="00340E4C" w:rsidRDefault="00783598"/>
    <w:p w:rsidR="00783598" w:rsidRPr="00340E4C" w:rsidRDefault="00783598" w:rsidP="005721DE">
      <w:pPr>
        <w:jc w:val="both"/>
      </w:pPr>
      <w:r w:rsidRPr="00340E4C">
        <w:t>Likvidita aktiva je dána transakčními náklady na jeho přeměnu v</w:t>
      </w:r>
      <w:r w:rsidR="005721DE">
        <w:t> </w:t>
      </w:r>
      <w:r w:rsidRPr="00340E4C">
        <w:t>peníze</w:t>
      </w:r>
      <w:r w:rsidR="005721DE">
        <w:t xml:space="preserve"> a rychlostí této přeměny</w:t>
      </w:r>
      <w:r w:rsidRPr="00340E4C">
        <w:t>.</w:t>
      </w:r>
      <w:r w:rsidR="005721DE">
        <w:t xml:space="preserve"> Peníze z běžného účtu vyberu okamžitě, akcie prodám během 1-2 dnů, ale dům budu prodávat několik týdnů. </w:t>
      </w:r>
    </w:p>
    <w:p w:rsidR="00783598" w:rsidRPr="00340E4C" w:rsidRDefault="00783598" w:rsidP="005721DE">
      <w:pPr>
        <w:jc w:val="both"/>
      </w:pPr>
      <w:r w:rsidRPr="00340E4C">
        <w:t xml:space="preserve">Výše zůstatků jednotlivých aktiv je funkcí výnosové úrokové míry. </w:t>
      </w:r>
      <w:r w:rsidR="005721DE">
        <w:t>Čím vyšší výnos, tím vyšší sklon investovat do daného aktiva při stejné míře rizika.</w:t>
      </w:r>
    </w:p>
    <w:p w:rsidR="00783598" w:rsidRPr="00340E4C" w:rsidRDefault="00783598"/>
    <w:p w:rsidR="00783598" w:rsidRPr="00340E4C" w:rsidRDefault="00783598">
      <w:pPr>
        <w:jc w:val="both"/>
      </w:pPr>
      <w:r w:rsidRPr="00340E4C">
        <w:rPr>
          <w:b/>
        </w:rPr>
        <w:t>Kvantitativní teorie peněz:</w:t>
      </w:r>
      <w:r w:rsidRPr="00340E4C">
        <w:t xml:space="preserve"> změny cenové hladiny jsou přímo úměrné změnám v peněžní zásobě (za předpokladu stabilní rychlosti obratu peněz).  </w:t>
      </w:r>
    </w:p>
    <w:p w:rsidR="00783598" w:rsidRDefault="00783598">
      <w:pPr>
        <w:jc w:val="both"/>
      </w:pPr>
      <w:r w:rsidRPr="00340E4C">
        <w:t>Pokud vzroste rychlost obratu peněz, může vzrůst cenová hladina i při nezměněné peněžní zásobě. Keynes namítal, že změna peněžní zásoby má vliv na úrokovou míru a následně na rychlost obratu peněz.</w:t>
      </w:r>
      <w:r w:rsidR="005721DE">
        <w:t xml:space="preserve"> Doplnil vzorec, který již známe z modelu IS-LM o inflaci:</w:t>
      </w:r>
    </w:p>
    <w:p w:rsidR="005721DE" w:rsidRDefault="005721DE">
      <w:pPr>
        <w:jc w:val="both"/>
      </w:pPr>
    </w:p>
    <w:p w:rsidR="005721DE" w:rsidRPr="005721DE" w:rsidRDefault="006647E4">
      <w:pPr>
        <w:jc w:val="both"/>
      </w:pPr>
      <m:oMathPara>
        <m:oMath>
          <m:f>
            <m:fPr>
              <m:ctrlPr>
                <w:rPr>
                  <w:rFonts w:ascii="Cambria Math" w:hAnsi="Cambria Math"/>
                  <w:i/>
                </w:rPr>
              </m:ctrlPr>
            </m:fPr>
            <m:num>
              <m:r>
                <w:rPr>
                  <w:rFonts w:ascii="Cambria Math" w:hAnsi="Cambria Math"/>
                </w:rPr>
                <m:t>M</m:t>
              </m:r>
            </m:num>
            <m:den>
              <m:r>
                <w:rPr>
                  <w:rFonts w:ascii="Cambria Math" w:hAnsi="Cambria Math"/>
                </w:rPr>
                <m:t>P</m:t>
              </m:r>
            </m:den>
          </m:f>
          <m:r>
            <w:rPr>
              <w:rFonts w:ascii="Cambria Math" w:hAnsi="Cambria Math"/>
            </w:rPr>
            <m:t>=k×Y-h×i</m:t>
          </m:r>
        </m:oMath>
      </m:oMathPara>
    </w:p>
    <w:p w:rsidR="005721DE" w:rsidRDefault="005721DE">
      <w:pPr>
        <w:jc w:val="both"/>
      </w:pPr>
      <w:r>
        <w:t>Kde:</w:t>
      </w:r>
      <w:r>
        <w:tab/>
      </w:r>
      <w:r>
        <w:tab/>
        <w:t>M = peněžní zásoba</w:t>
      </w:r>
    </w:p>
    <w:p w:rsidR="005721DE" w:rsidRDefault="005721DE">
      <w:pPr>
        <w:jc w:val="both"/>
      </w:pPr>
      <w:r>
        <w:tab/>
      </w:r>
      <w:r>
        <w:tab/>
        <w:t>P = cenová hladina</w:t>
      </w:r>
    </w:p>
    <w:p w:rsidR="005721DE" w:rsidRDefault="005721DE">
      <w:pPr>
        <w:jc w:val="both"/>
      </w:pPr>
      <w:r>
        <w:tab/>
      </w:r>
      <w:r>
        <w:tab/>
        <w:t>k = citlivost poptávky po penězích na důchodu</w:t>
      </w:r>
    </w:p>
    <w:p w:rsidR="005721DE" w:rsidRPr="00340E4C" w:rsidRDefault="005721DE">
      <w:pPr>
        <w:jc w:val="both"/>
      </w:pPr>
      <w:r>
        <w:tab/>
      </w:r>
      <w:r>
        <w:tab/>
        <w:t>h = citlivost poptávky po penězích na úrokové míře</w:t>
      </w:r>
    </w:p>
    <w:p w:rsidR="00783598" w:rsidRPr="00340E4C" w:rsidRDefault="00783598">
      <w:pPr>
        <w:jc w:val="both"/>
      </w:pPr>
    </w:p>
    <w:p w:rsidR="00783598" w:rsidRPr="00340E4C" w:rsidRDefault="00783598">
      <w:r w:rsidRPr="00340E4C">
        <w:t xml:space="preserve">Milton Friedman posléze vytvořil novou kvantitativní teorii jako základ </w:t>
      </w:r>
      <w:r w:rsidRPr="00340E4C">
        <w:rPr>
          <w:b/>
        </w:rPr>
        <w:t>monetarismu</w:t>
      </w:r>
      <w:r w:rsidRPr="00340E4C">
        <w:t>:</w:t>
      </w:r>
    </w:p>
    <w:p w:rsidR="00783598" w:rsidRPr="00340E4C" w:rsidRDefault="00783598">
      <w:pPr>
        <w:jc w:val="both"/>
      </w:pPr>
      <w:r w:rsidRPr="00340E4C">
        <w:t>- poptávka po penězích závisí na důchodu a úrokové míře, ale lidé drží velmi rozmanitá aktiva (i nepeněžní) a optimalizují výnosy z nich přeléváním mezi nimi,</w:t>
      </w:r>
    </w:p>
    <w:p w:rsidR="00783598" w:rsidRPr="00340E4C" w:rsidRDefault="00783598">
      <w:pPr>
        <w:jc w:val="both"/>
      </w:pPr>
      <w:r w:rsidRPr="00340E4C">
        <w:lastRenderedPageBreak/>
        <w:t xml:space="preserve">- peníze nejsou neutrální v krátkém období. V krátkém období má změna peněžní zásoby </w:t>
      </w:r>
      <w:r w:rsidR="0064380F">
        <w:t xml:space="preserve">vliv </w:t>
      </w:r>
      <w:r w:rsidRPr="00340E4C">
        <w:t>na změny reálných veličin,</w:t>
      </w:r>
    </w:p>
    <w:p w:rsidR="00783598" w:rsidRPr="00340E4C" w:rsidRDefault="00783598">
      <w:pPr>
        <w:jc w:val="both"/>
      </w:pPr>
      <w:r w:rsidRPr="00340E4C">
        <w:t>- v dlouhém období změna peněžní zásoby ovlivňuje pouze cenovou hladinu,</w:t>
      </w:r>
    </w:p>
    <w:p w:rsidR="00783598" w:rsidRDefault="00783598">
      <w:pPr>
        <w:jc w:val="both"/>
      </w:pPr>
      <w:r w:rsidRPr="00340E4C">
        <w:t>- inflace je výlučně peněžní jev. Jedinou konečnou příčinou inflace je nadměrný růst peněžní zásoby.</w:t>
      </w:r>
    </w:p>
    <w:p w:rsidR="00783598" w:rsidRPr="00340E4C" w:rsidRDefault="00783598" w:rsidP="00636A7A">
      <w:pPr>
        <w:pStyle w:val="berschrift2"/>
      </w:pPr>
      <w:r w:rsidRPr="00340E4C">
        <w:t>Bankovní soustava</w:t>
      </w:r>
    </w:p>
    <w:p w:rsidR="00783598" w:rsidRPr="00340E4C" w:rsidRDefault="00783598">
      <w:pPr>
        <w:jc w:val="both"/>
      </w:pPr>
      <w:r w:rsidRPr="00340E4C">
        <w:t>Banka je instituce, která přijímá vklady a poskytuje z těchto vkladů půjčky. Existují méně obvyklé formy bank, jako jsou úvěrová družstva („kampeličky“, „Raiffeisenky“), investiční banky nebo banky prezentující veřejný zájem (Českomoravská záruční a rozvojová banka a.s., exportní banka apod.).</w:t>
      </w:r>
    </w:p>
    <w:p w:rsidR="00783598" w:rsidRPr="00340E4C" w:rsidRDefault="00783598">
      <w:pPr>
        <w:jc w:val="both"/>
      </w:pPr>
    </w:p>
    <w:p w:rsidR="00A407ED" w:rsidRPr="00340E4C" w:rsidRDefault="00A407ED">
      <w:pPr>
        <w:jc w:val="both"/>
      </w:pPr>
      <w:r w:rsidRPr="00340E4C">
        <w:t xml:space="preserve">Ukázka rozvahy komerční banky, přijímající vklady: </w:t>
      </w:r>
    </w:p>
    <w:p w:rsidR="000458A2" w:rsidRPr="00340E4C" w:rsidRDefault="000458A2">
      <w:pPr>
        <w:jc w:val="both"/>
      </w:pPr>
    </w:p>
    <w:p w:rsidR="000458A2" w:rsidRPr="00766DA9" w:rsidRDefault="000458A2" w:rsidP="000458A2">
      <w:pPr>
        <w:spacing w:after="240"/>
        <w:jc w:val="center"/>
        <w:rPr>
          <w:rFonts w:eastAsia="Times New Roman"/>
          <w:color w:val="00517C"/>
          <w:szCs w:val="20"/>
          <w:lang w:eastAsia="cs-CZ"/>
        </w:rPr>
      </w:pPr>
      <w:r w:rsidRPr="00766DA9">
        <w:rPr>
          <w:rFonts w:eastAsia="Times New Roman"/>
          <w:color w:val="00517C"/>
          <w:szCs w:val="20"/>
          <w:lang w:eastAsia="cs-CZ"/>
        </w:rPr>
        <w:t>Česká spořitelna, a.s.</w:t>
      </w:r>
    </w:p>
    <w:tbl>
      <w:tblPr>
        <w:tblW w:w="5000" w:type="pct"/>
        <w:jc w:val="center"/>
        <w:tblBorders>
          <w:top w:val="single" w:sz="6" w:space="0" w:color="004A78"/>
          <w:left w:val="single" w:sz="6" w:space="0" w:color="004A78"/>
          <w:right w:val="single" w:sz="6" w:space="0" w:color="004A78"/>
        </w:tblBorders>
        <w:tblCellMar>
          <w:top w:w="30" w:type="dxa"/>
          <w:left w:w="30" w:type="dxa"/>
          <w:bottom w:w="30" w:type="dxa"/>
          <w:right w:w="30" w:type="dxa"/>
        </w:tblCellMar>
        <w:tblLook w:val="04A0" w:firstRow="1" w:lastRow="0" w:firstColumn="1" w:lastColumn="0" w:noHBand="0" w:noVBand="1"/>
      </w:tblPr>
      <w:tblGrid>
        <w:gridCol w:w="6656"/>
        <w:gridCol w:w="1238"/>
        <w:gridCol w:w="1238"/>
      </w:tblGrid>
      <w:tr w:rsidR="000F1CCE" w:rsidRPr="00340E4C" w:rsidTr="000F1CCE">
        <w:trPr>
          <w:jc w:val="center"/>
        </w:trPr>
        <w:tc>
          <w:tcPr>
            <w:tcW w:w="3644" w:type="pct"/>
            <w:tcBorders>
              <w:bottom w:val="single" w:sz="6" w:space="0" w:color="004A78"/>
              <w:right w:val="single" w:sz="6" w:space="0" w:color="004A78"/>
            </w:tcBorders>
            <w:shd w:val="clear" w:color="auto" w:fill="D8E9F3"/>
            <w:vAlign w:val="center"/>
            <w:hideMark/>
          </w:tcPr>
          <w:p w:rsidR="000F1CCE" w:rsidRPr="00340E4C" w:rsidRDefault="000F1CCE" w:rsidP="00B57749">
            <w:pPr>
              <w:rPr>
                <w:rFonts w:eastAsia="Times New Roman"/>
                <w:b/>
                <w:bCs/>
                <w:color w:val="CE070C"/>
                <w:sz w:val="20"/>
                <w:szCs w:val="20"/>
                <w:lang w:eastAsia="cs-CZ"/>
              </w:rPr>
            </w:pPr>
            <w:r w:rsidRPr="00340E4C">
              <w:rPr>
                <w:rFonts w:eastAsia="Times New Roman"/>
                <w:b/>
                <w:bCs/>
                <w:color w:val="CE070C"/>
                <w:sz w:val="20"/>
                <w:szCs w:val="20"/>
                <w:lang w:eastAsia="cs-CZ"/>
              </w:rPr>
              <w:t>IFRS (International Finance Reeporting Standards), konsol., mil. Kč</w:t>
            </w:r>
          </w:p>
        </w:tc>
        <w:tc>
          <w:tcPr>
            <w:tcW w:w="678" w:type="pct"/>
            <w:tcBorders>
              <w:bottom w:val="single" w:sz="6" w:space="0" w:color="004A78"/>
              <w:right w:val="single" w:sz="6" w:space="0" w:color="004A78"/>
            </w:tcBorders>
            <w:shd w:val="clear" w:color="auto" w:fill="D8E9F3"/>
            <w:vAlign w:val="center"/>
            <w:hideMark/>
          </w:tcPr>
          <w:p w:rsidR="000F1CCE" w:rsidRPr="00340E4C" w:rsidRDefault="000F1CCE" w:rsidP="000F1CCE">
            <w:pPr>
              <w:jc w:val="center"/>
              <w:rPr>
                <w:rFonts w:eastAsia="Times New Roman"/>
                <w:b/>
                <w:bCs/>
                <w:color w:val="CE070C"/>
                <w:sz w:val="20"/>
                <w:szCs w:val="20"/>
                <w:lang w:eastAsia="cs-CZ"/>
              </w:rPr>
            </w:pPr>
            <w:r w:rsidRPr="00340E4C">
              <w:rPr>
                <w:rFonts w:eastAsia="Times New Roman"/>
                <w:b/>
                <w:bCs/>
                <w:color w:val="CE070C"/>
                <w:sz w:val="20"/>
                <w:szCs w:val="20"/>
                <w:lang w:eastAsia="cs-CZ"/>
              </w:rPr>
              <w:t>31.</w:t>
            </w:r>
            <w:r w:rsidR="00A37723">
              <w:rPr>
                <w:rFonts w:eastAsia="Times New Roman"/>
                <w:b/>
                <w:bCs/>
                <w:color w:val="CE070C"/>
                <w:sz w:val="20"/>
                <w:szCs w:val="20"/>
                <w:lang w:eastAsia="cs-CZ"/>
              </w:rPr>
              <w:t xml:space="preserve"> </w:t>
            </w:r>
            <w:r w:rsidRPr="00340E4C">
              <w:rPr>
                <w:rFonts w:eastAsia="Times New Roman"/>
                <w:b/>
                <w:bCs/>
                <w:color w:val="CE070C"/>
                <w:sz w:val="20"/>
                <w:szCs w:val="20"/>
                <w:lang w:eastAsia="cs-CZ"/>
              </w:rPr>
              <w:t>12.</w:t>
            </w:r>
            <w:r w:rsidR="00A37723">
              <w:rPr>
                <w:rFonts w:eastAsia="Times New Roman"/>
                <w:b/>
                <w:bCs/>
                <w:color w:val="CE070C"/>
                <w:sz w:val="20"/>
                <w:szCs w:val="20"/>
                <w:lang w:eastAsia="cs-CZ"/>
              </w:rPr>
              <w:t xml:space="preserve"> </w:t>
            </w:r>
            <w:r w:rsidRPr="00340E4C">
              <w:rPr>
                <w:rFonts w:eastAsia="Times New Roman"/>
                <w:b/>
                <w:bCs/>
                <w:color w:val="CE070C"/>
                <w:sz w:val="20"/>
                <w:szCs w:val="20"/>
                <w:lang w:eastAsia="cs-CZ"/>
              </w:rPr>
              <w:t>2008</w:t>
            </w:r>
          </w:p>
        </w:tc>
        <w:tc>
          <w:tcPr>
            <w:tcW w:w="678" w:type="pct"/>
            <w:tcBorders>
              <w:bottom w:val="single" w:sz="6" w:space="0" w:color="004A78"/>
              <w:right w:val="single" w:sz="6" w:space="0" w:color="004A78"/>
            </w:tcBorders>
            <w:shd w:val="clear" w:color="auto" w:fill="D8E9F3"/>
          </w:tcPr>
          <w:p w:rsidR="000F1CCE" w:rsidRPr="00340E4C" w:rsidRDefault="000F1CCE" w:rsidP="000F1CCE">
            <w:pPr>
              <w:jc w:val="center"/>
              <w:rPr>
                <w:rFonts w:eastAsia="Times New Roman"/>
                <w:b/>
                <w:bCs/>
                <w:color w:val="CE070C"/>
                <w:sz w:val="20"/>
                <w:szCs w:val="20"/>
                <w:lang w:eastAsia="cs-CZ"/>
              </w:rPr>
            </w:pPr>
            <w:r>
              <w:rPr>
                <w:rFonts w:eastAsia="Times New Roman"/>
                <w:b/>
                <w:bCs/>
                <w:color w:val="CE070C"/>
                <w:sz w:val="20"/>
                <w:szCs w:val="20"/>
                <w:lang w:eastAsia="cs-CZ"/>
              </w:rPr>
              <w:t>31.</w:t>
            </w:r>
            <w:r w:rsidR="00A37723">
              <w:rPr>
                <w:rFonts w:eastAsia="Times New Roman"/>
                <w:b/>
                <w:bCs/>
                <w:color w:val="CE070C"/>
                <w:sz w:val="20"/>
                <w:szCs w:val="20"/>
                <w:lang w:eastAsia="cs-CZ"/>
              </w:rPr>
              <w:t xml:space="preserve"> </w:t>
            </w:r>
            <w:r>
              <w:rPr>
                <w:rFonts w:eastAsia="Times New Roman"/>
                <w:b/>
                <w:bCs/>
                <w:color w:val="CE070C"/>
                <w:sz w:val="20"/>
                <w:szCs w:val="20"/>
                <w:lang w:eastAsia="cs-CZ"/>
              </w:rPr>
              <w:t>12.</w:t>
            </w:r>
            <w:r w:rsidR="00A37723">
              <w:rPr>
                <w:rFonts w:eastAsia="Times New Roman"/>
                <w:b/>
                <w:bCs/>
                <w:color w:val="CE070C"/>
                <w:sz w:val="20"/>
                <w:szCs w:val="20"/>
                <w:lang w:eastAsia="cs-CZ"/>
              </w:rPr>
              <w:t xml:space="preserve"> </w:t>
            </w:r>
            <w:r>
              <w:rPr>
                <w:rFonts w:eastAsia="Times New Roman"/>
                <w:b/>
                <w:bCs/>
                <w:color w:val="CE070C"/>
                <w:sz w:val="20"/>
                <w:szCs w:val="20"/>
                <w:lang w:eastAsia="cs-CZ"/>
              </w:rPr>
              <w:t>2017</w:t>
            </w:r>
          </w:p>
        </w:tc>
      </w:tr>
      <w:tr w:rsidR="000F1CCE" w:rsidRPr="00340E4C" w:rsidTr="000F1CCE">
        <w:trPr>
          <w:jc w:val="center"/>
        </w:trPr>
        <w:tc>
          <w:tcPr>
            <w:tcW w:w="3644" w:type="pct"/>
            <w:tcBorders>
              <w:bottom w:val="single" w:sz="6" w:space="0" w:color="004A78"/>
              <w:right w:val="single" w:sz="6" w:space="0" w:color="004A78"/>
            </w:tcBorders>
            <w:shd w:val="clear" w:color="auto" w:fill="E8F0F5"/>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Aktiva celkem</w:t>
            </w:r>
          </w:p>
        </w:tc>
        <w:tc>
          <w:tcPr>
            <w:tcW w:w="678" w:type="pct"/>
            <w:tcBorders>
              <w:bottom w:val="single" w:sz="6" w:space="0" w:color="004A78"/>
              <w:right w:val="single" w:sz="6" w:space="0" w:color="004A78"/>
            </w:tcBorders>
            <w:shd w:val="clear" w:color="auto" w:fill="BED2DC"/>
            <w:hideMark/>
          </w:tcPr>
          <w:p w:rsidR="000F1CCE" w:rsidRPr="00340E4C" w:rsidRDefault="000F1CCE" w:rsidP="00B57749">
            <w:pPr>
              <w:jc w:val="right"/>
              <w:rPr>
                <w:rFonts w:eastAsia="Times New Roman"/>
                <w:color w:val="624879"/>
                <w:sz w:val="20"/>
                <w:szCs w:val="20"/>
                <w:lang w:eastAsia="cs-CZ"/>
              </w:rPr>
            </w:pPr>
            <w:r w:rsidRPr="00340E4C">
              <w:rPr>
                <w:rFonts w:eastAsia="Times New Roman"/>
                <w:color w:val="624879"/>
                <w:sz w:val="20"/>
                <w:szCs w:val="20"/>
                <w:lang w:eastAsia="cs-CZ"/>
              </w:rPr>
              <w:t>862230</w:t>
            </w:r>
          </w:p>
        </w:tc>
        <w:tc>
          <w:tcPr>
            <w:tcW w:w="678" w:type="pct"/>
            <w:tcBorders>
              <w:bottom w:val="single" w:sz="6" w:space="0" w:color="004A78"/>
              <w:right w:val="single" w:sz="6" w:space="0" w:color="004A78"/>
            </w:tcBorders>
            <w:shd w:val="clear" w:color="auto" w:fill="BED2DC"/>
          </w:tcPr>
          <w:p w:rsidR="000F1CCE" w:rsidRPr="00340E4C" w:rsidRDefault="00A37723" w:rsidP="00B57749">
            <w:pPr>
              <w:jc w:val="right"/>
              <w:rPr>
                <w:rFonts w:eastAsia="Times New Roman"/>
                <w:color w:val="624879"/>
                <w:sz w:val="20"/>
                <w:szCs w:val="20"/>
                <w:lang w:eastAsia="cs-CZ"/>
              </w:rPr>
            </w:pPr>
            <w:r>
              <w:rPr>
                <w:rFonts w:eastAsia="Times New Roman"/>
                <w:color w:val="624879"/>
                <w:sz w:val="20"/>
                <w:szCs w:val="20"/>
                <w:lang w:eastAsia="cs-CZ"/>
              </w:rPr>
              <w:t>1329223</w:t>
            </w: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Pokladní hotovost, vklady u ČNB</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24285</w:t>
            </w:r>
          </w:p>
        </w:tc>
        <w:tc>
          <w:tcPr>
            <w:tcW w:w="678" w:type="pct"/>
            <w:tcBorders>
              <w:bottom w:val="single" w:sz="6" w:space="0" w:color="004A78"/>
              <w:right w:val="single" w:sz="6" w:space="0" w:color="004A78"/>
            </w:tcBorders>
          </w:tcPr>
          <w:p w:rsidR="000F1CCE" w:rsidRPr="00340E4C" w:rsidRDefault="00A37723" w:rsidP="00B57749">
            <w:pPr>
              <w:jc w:val="right"/>
              <w:rPr>
                <w:rFonts w:eastAsia="Times New Roman"/>
                <w:color w:val="00517C"/>
                <w:sz w:val="20"/>
                <w:szCs w:val="20"/>
                <w:lang w:eastAsia="cs-CZ"/>
              </w:rPr>
            </w:pPr>
            <w:r>
              <w:rPr>
                <w:rFonts w:eastAsia="Times New Roman"/>
                <w:color w:val="00517C"/>
                <w:sz w:val="20"/>
                <w:szCs w:val="20"/>
                <w:lang w:eastAsia="cs-CZ"/>
              </w:rPr>
              <w:t>280221</w:t>
            </w: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Pohledávky za bankami</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93306</w:t>
            </w:r>
          </w:p>
        </w:tc>
        <w:tc>
          <w:tcPr>
            <w:tcW w:w="678" w:type="pct"/>
            <w:tcBorders>
              <w:bottom w:val="single" w:sz="6" w:space="0" w:color="004A78"/>
              <w:right w:val="single" w:sz="6" w:space="0" w:color="004A78"/>
            </w:tcBorders>
          </w:tcPr>
          <w:p w:rsidR="000F1CCE" w:rsidRPr="00340E4C" w:rsidRDefault="00A37723" w:rsidP="00A37723">
            <w:pPr>
              <w:jc w:val="right"/>
              <w:rPr>
                <w:rFonts w:eastAsia="Times New Roman"/>
                <w:color w:val="00517C"/>
                <w:sz w:val="20"/>
                <w:szCs w:val="20"/>
                <w:lang w:eastAsia="cs-CZ"/>
              </w:rPr>
            </w:pPr>
            <w:r>
              <w:rPr>
                <w:rFonts w:eastAsia="Times New Roman"/>
                <w:color w:val="00517C"/>
                <w:sz w:val="20"/>
                <w:szCs w:val="20"/>
                <w:lang w:eastAsia="cs-CZ"/>
              </w:rPr>
              <w:t>157525</w:t>
            </w: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Pohledávky za klienty</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461424</w:t>
            </w:r>
          </w:p>
        </w:tc>
        <w:tc>
          <w:tcPr>
            <w:tcW w:w="678" w:type="pct"/>
            <w:tcBorders>
              <w:bottom w:val="single" w:sz="6" w:space="0" w:color="004A78"/>
              <w:right w:val="single" w:sz="6" w:space="0" w:color="004A78"/>
            </w:tcBorders>
          </w:tcPr>
          <w:p w:rsidR="000F1CCE" w:rsidRPr="00340E4C" w:rsidRDefault="00A37723" w:rsidP="00B57749">
            <w:pPr>
              <w:jc w:val="right"/>
              <w:rPr>
                <w:rFonts w:eastAsia="Times New Roman"/>
                <w:color w:val="00517C"/>
                <w:sz w:val="20"/>
                <w:szCs w:val="20"/>
                <w:lang w:eastAsia="cs-CZ"/>
              </w:rPr>
            </w:pPr>
            <w:r>
              <w:rPr>
                <w:rFonts w:eastAsia="Times New Roman"/>
                <w:color w:val="00517C"/>
                <w:sz w:val="20"/>
                <w:szCs w:val="20"/>
                <w:lang w:eastAsia="cs-CZ"/>
              </w:rPr>
              <w:t>638694</w:t>
            </w: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Rezervy a opravné položky k úvěrům a pohledávkám</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-8929</w:t>
            </w:r>
          </w:p>
        </w:tc>
        <w:tc>
          <w:tcPr>
            <w:tcW w:w="678" w:type="pct"/>
            <w:tcBorders>
              <w:bottom w:val="single" w:sz="6" w:space="0" w:color="004A78"/>
              <w:right w:val="single" w:sz="6" w:space="0" w:color="004A78"/>
            </w:tcBorders>
          </w:tcPr>
          <w:p w:rsidR="000F1CCE" w:rsidRPr="00340E4C" w:rsidRDefault="000F1CCE" w:rsidP="00B57749">
            <w:pPr>
              <w:jc w:val="right"/>
              <w:rPr>
                <w:rFonts w:eastAsia="Times New Roman"/>
                <w:color w:val="00517C"/>
                <w:sz w:val="20"/>
                <w:szCs w:val="20"/>
                <w:lang w:eastAsia="cs-CZ"/>
              </w:rPr>
            </w:pP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Aktiva určená k obchodování</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61977</w:t>
            </w:r>
          </w:p>
        </w:tc>
        <w:tc>
          <w:tcPr>
            <w:tcW w:w="678" w:type="pct"/>
            <w:tcBorders>
              <w:bottom w:val="single" w:sz="6" w:space="0" w:color="004A78"/>
              <w:right w:val="single" w:sz="6" w:space="0" w:color="004A78"/>
            </w:tcBorders>
          </w:tcPr>
          <w:p w:rsidR="000F1CCE" w:rsidRPr="00340E4C" w:rsidRDefault="00A37723" w:rsidP="00B57749">
            <w:pPr>
              <w:jc w:val="right"/>
              <w:rPr>
                <w:rFonts w:eastAsia="Times New Roman"/>
                <w:color w:val="00517C"/>
                <w:sz w:val="20"/>
                <w:szCs w:val="20"/>
                <w:lang w:eastAsia="cs-CZ"/>
              </w:rPr>
            </w:pPr>
            <w:r>
              <w:rPr>
                <w:rFonts w:eastAsia="Times New Roman"/>
                <w:color w:val="00517C"/>
                <w:sz w:val="20"/>
                <w:szCs w:val="20"/>
                <w:lang w:eastAsia="cs-CZ"/>
              </w:rPr>
              <w:t>11433</w:t>
            </w: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A37723">
            <w:pPr>
              <w:rPr>
                <w:rFonts w:eastAsia="Times New Roman"/>
                <w:b/>
                <w:bCs/>
                <w:color w:val="004D83"/>
                <w:sz w:val="20"/>
                <w:szCs w:val="20"/>
                <w:lang w:eastAsia="cs-CZ"/>
              </w:rPr>
            </w:pPr>
            <w:r w:rsidRPr="00340E4C">
              <w:rPr>
                <w:rFonts w:eastAsia="Times New Roman"/>
                <w:b/>
                <w:bCs/>
                <w:color w:val="004D83"/>
                <w:sz w:val="20"/>
                <w:szCs w:val="20"/>
                <w:lang w:eastAsia="cs-CZ"/>
              </w:rPr>
              <w:t>Finanční aktiva AFV (andere finanzielle Verbindlichkeiten)</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19226</w:t>
            </w:r>
          </w:p>
        </w:tc>
        <w:tc>
          <w:tcPr>
            <w:tcW w:w="678" w:type="pct"/>
            <w:tcBorders>
              <w:bottom w:val="single" w:sz="6" w:space="0" w:color="004A78"/>
              <w:right w:val="single" w:sz="6" w:space="0" w:color="004A78"/>
            </w:tcBorders>
          </w:tcPr>
          <w:p w:rsidR="000F1CCE" w:rsidRPr="00340E4C" w:rsidRDefault="000F1CCE" w:rsidP="00B57749">
            <w:pPr>
              <w:jc w:val="right"/>
              <w:rPr>
                <w:rFonts w:eastAsia="Times New Roman"/>
                <w:color w:val="00517C"/>
                <w:sz w:val="20"/>
                <w:szCs w:val="20"/>
                <w:lang w:eastAsia="cs-CZ"/>
              </w:rPr>
            </w:pP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B57749">
            <w:pPr>
              <w:rPr>
                <w:rFonts w:eastAsia="Times New Roman"/>
                <w:b/>
                <w:bCs/>
                <w:color w:val="215868"/>
                <w:sz w:val="20"/>
                <w:szCs w:val="20"/>
                <w:lang w:eastAsia="cs-CZ"/>
              </w:rPr>
            </w:pPr>
            <w:r w:rsidRPr="00340E4C">
              <w:rPr>
                <w:rFonts w:eastAsia="Times New Roman"/>
                <w:b/>
                <w:bCs/>
                <w:color w:val="215868"/>
                <w:sz w:val="20"/>
                <w:szCs w:val="20"/>
                <w:lang w:eastAsia="cs-CZ"/>
              </w:rPr>
              <w:t>Finanční aktiva AFS (</w:t>
            </w:r>
            <w:r w:rsidRPr="00340E4C">
              <w:rPr>
                <w:rFonts w:ascii="Arial" w:hAnsi="Arial" w:cs="Arial"/>
                <w:b/>
                <w:bCs/>
                <w:color w:val="215868"/>
                <w:sz w:val="18"/>
                <w:szCs w:val="18"/>
              </w:rPr>
              <w:t>Available</w:t>
            </w:r>
            <w:r w:rsidRPr="00340E4C">
              <w:rPr>
                <w:rFonts w:ascii="Arial" w:hAnsi="Arial" w:cs="Arial"/>
                <w:color w:val="215868"/>
                <w:sz w:val="18"/>
                <w:szCs w:val="18"/>
              </w:rPr>
              <w:t>-</w:t>
            </w:r>
            <w:r w:rsidRPr="00340E4C">
              <w:rPr>
                <w:rFonts w:ascii="Arial" w:hAnsi="Arial" w:cs="Arial"/>
                <w:b/>
                <w:bCs/>
                <w:color w:val="215868"/>
                <w:sz w:val="18"/>
                <w:szCs w:val="18"/>
              </w:rPr>
              <w:t>for</w:t>
            </w:r>
            <w:r w:rsidRPr="00340E4C">
              <w:rPr>
                <w:rFonts w:ascii="Arial" w:hAnsi="Arial" w:cs="Arial"/>
                <w:color w:val="215868"/>
                <w:sz w:val="18"/>
                <w:szCs w:val="18"/>
              </w:rPr>
              <w:t>-</w:t>
            </w:r>
            <w:r w:rsidRPr="00340E4C">
              <w:rPr>
                <w:rFonts w:ascii="Arial" w:hAnsi="Arial" w:cs="Arial"/>
                <w:b/>
                <w:bCs/>
                <w:color w:val="215868"/>
                <w:sz w:val="18"/>
                <w:szCs w:val="18"/>
              </w:rPr>
              <w:t>sale)</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35386</w:t>
            </w:r>
          </w:p>
        </w:tc>
        <w:tc>
          <w:tcPr>
            <w:tcW w:w="678" w:type="pct"/>
            <w:tcBorders>
              <w:bottom w:val="single" w:sz="6" w:space="0" w:color="004A78"/>
              <w:right w:val="single" w:sz="6" w:space="0" w:color="004A78"/>
            </w:tcBorders>
          </w:tcPr>
          <w:p w:rsidR="000F1CCE" w:rsidRPr="00340E4C" w:rsidRDefault="00766DA9" w:rsidP="00B57749">
            <w:pPr>
              <w:jc w:val="right"/>
              <w:rPr>
                <w:rFonts w:eastAsia="Times New Roman"/>
                <w:color w:val="00517C"/>
                <w:sz w:val="20"/>
                <w:szCs w:val="20"/>
                <w:lang w:eastAsia="cs-CZ"/>
              </w:rPr>
            </w:pPr>
            <w:r>
              <w:rPr>
                <w:rFonts w:eastAsia="Times New Roman"/>
                <w:color w:val="00517C"/>
                <w:sz w:val="20"/>
                <w:szCs w:val="20"/>
                <w:lang w:eastAsia="cs-CZ"/>
              </w:rPr>
              <w:t>55283</w:t>
            </w: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B57749">
            <w:pPr>
              <w:rPr>
                <w:rFonts w:eastAsia="Times New Roman"/>
                <w:b/>
                <w:bCs/>
                <w:color w:val="004D83"/>
                <w:sz w:val="20"/>
                <w:szCs w:val="20"/>
                <w:lang w:eastAsia="cs-CZ"/>
              </w:rPr>
            </w:pPr>
            <w:r w:rsidRPr="00340E4C">
              <w:rPr>
                <w:rFonts w:eastAsia="Times New Roman"/>
                <w:b/>
                <w:bCs/>
                <w:color w:val="004D83"/>
                <w:sz w:val="20"/>
                <w:szCs w:val="20"/>
                <w:lang w:eastAsia="cs-CZ"/>
              </w:rPr>
              <w:t>Finanční aktiva HTM (investice držené do splatnosti)</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118938</w:t>
            </w:r>
          </w:p>
        </w:tc>
        <w:tc>
          <w:tcPr>
            <w:tcW w:w="678" w:type="pct"/>
            <w:tcBorders>
              <w:bottom w:val="single" w:sz="6" w:space="0" w:color="004A78"/>
              <w:right w:val="single" w:sz="6" w:space="0" w:color="004A78"/>
            </w:tcBorders>
          </w:tcPr>
          <w:p w:rsidR="00A37723" w:rsidRPr="00340E4C" w:rsidRDefault="00A37723" w:rsidP="00A37723">
            <w:pPr>
              <w:jc w:val="right"/>
              <w:rPr>
                <w:rFonts w:eastAsia="Times New Roman"/>
                <w:color w:val="00517C"/>
                <w:sz w:val="20"/>
                <w:szCs w:val="20"/>
                <w:lang w:eastAsia="cs-CZ"/>
              </w:rPr>
            </w:pPr>
            <w:r>
              <w:rPr>
                <w:rFonts w:eastAsia="Times New Roman"/>
                <w:color w:val="00517C"/>
                <w:sz w:val="20"/>
                <w:szCs w:val="20"/>
                <w:lang w:eastAsia="cs-CZ"/>
              </w:rPr>
              <w:t>163679</w:t>
            </w: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6699"/>
                <w:sz w:val="20"/>
                <w:szCs w:val="20"/>
                <w:lang w:eastAsia="cs-CZ"/>
              </w:rPr>
            </w:pPr>
            <w:r w:rsidRPr="00340E4C">
              <w:rPr>
                <w:rFonts w:eastAsia="Times New Roman"/>
                <w:b/>
                <w:bCs/>
                <w:color w:val="006699"/>
                <w:sz w:val="20"/>
                <w:szCs w:val="20"/>
                <w:lang w:eastAsia="cs-CZ"/>
              </w:rPr>
              <w:t>Aktiva držená za účelem prodeje a ukončované činnosti</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177</w:t>
            </w:r>
          </w:p>
        </w:tc>
        <w:tc>
          <w:tcPr>
            <w:tcW w:w="678" w:type="pct"/>
            <w:tcBorders>
              <w:bottom w:val="single" w:sz="6" w:space="0" w:color="004A78"/>
              <w:right w:val="single" w:sz="6" w:space="0" w:color="004A78"/>
            </w:tcBorders>
          </w:tcPr>
          <w:p w:rsidR="000F1CCE" w:rsidRPr="00340E4C" w:rsidRDefault="000F1CCE" w:rsidP="00B57749">
            <w:pPr>
              <w:jc w:val="right"/>
              <w:rPr>
                <w:rFonts w:eastAsia="Times New Roman"/>
                <w:color w:val="00517C"/>
                <w:sz w:val="20"/>
                <w:szCs w:val="20"/>
                <w:lang w:eastAsia="cs-CZ"/>
              </w:rPr>
            </w:pPr>
          </w:p>
        </w:tc>
      </w:tr>
      <w:tr w:rsidR="000F1CCE" w:rsidRPr="00340E4C" w:rsidTr="000F1CCE">
        <w:trPr>
          <w:jc w:val="center"/>
        </w:trPr>
        <w:tc>
          <w:tcPr>
            <w:tcW w:w="3644"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Ostatní aktiva</w:t>
            </w:r>
          </w:p>
        </w:tc>
        <w:tc>
          <w:tcPr>
            <w:tcW w:w="678" w:type="pct"/>
            <w:tcBorders>
              <w:bottom w:val="single" w:sz="6" w:space="0" w:color="004A78"/>
              <w:right w:val="single" w:sz="6" w:space="0" w:color="004A78"/>
            </w:tcBorders>
            <w:hideMark/>
          </w:tcPr>
          <w:p w:rsidR="000F1CCE" w:rsidRPr="00340E4C" w:rsidRDefault="000F1CCE" w:rsidP="00B57749">
            <w:pPr>
              <w:jc w:val="right"/>
              <w:rPr>
                <w:rFonts w:eastAsia="Times New Roman"/>
                <w:color w:val="00517C"/>
                <w:sz w:val="20"/>
                <w:szCs w:val="20"/>
                <w:lang w:eastAsia="cs-CZ"/>
              </w:rPr>
            </w:pPr>
            <w:r w:rsidRPr="00340E4C">
              <w:rPr>
                <w:rFonts w:eastAsia="Times New Roman"/>
                <w:color w:val="00517C"/>
                <w:sz w:val="20"/>
                <w:szCs w:val="20"/>
                <w:lang w:eastAsia="cs-CZ"/>
              </w:rPr>
              <w:t> 56440</w:t>
            </w:r>
          </w:p>
        </w:tc>
        <w:tc>
          <w:tcPr>
            <w:tcW w:w="678" w:type="pct"/>
            <w:tcBorders>
              <w:bottom w:val="single" w:sz="6" w:space="0" w:color="004A78"/>
              <w:right w:val="single" w:sz="6" w:space="0" w:color="004A78"/>
            </w:tcBorders>
          </w:tcPr>
          <w:p w:rsidR="000F1CCE" w:rsidRPr="00340E4C" w:rsidRDefault="00A37723" w:rsidP="00A37723">
            <w:pPr>
              <w:jc w:val="right"/>
              <w:rPr>
                <w:rFonts w:eastAsia="Times New Roman"/>
                <w:color w:val="00517C"/>
                <w:sz w:val="20"/>
                <w:szCs w:val="20"/>
                <w:lang w:eastAsia="cs-CZ"/>
              </w:rPr>
            </w:pPr>
            <w:r>
              <w:rPr>
                <w:rFonts w:eastAsia="Times New Roman"/>
                <w:color w:val="00517C"/>
                <w:sz w:val="20"/>
                <w:szCs w:val="20"/>
                <w:lang w:eastAsia="cs-CZ"/>
              </w:rPr>
              <w:t>17861</w:t>
            </w:r>
          </w:p>
        </w:tc>
      </w:tr>
    </w:tbl>
    <w:p w:rsidR="000458A2" w:rsidRPr="00340E4C" w:rsidRDefault="000458A2" w:rsidP="000458A2">
      <w:pPr>
        <w:spacing w:after="240"/>
        <w:jc w:val="center"/>
        <w:rPr>
          <w:rFonts w:eastAsia="Times New Roman"/>
          <w:color w:val="00517C"/>
          <w:sz w:val="20"/>
          <w:szCs w:val="20"/>
          <w:lang w:eastAsia="cs-CZ"/>
        </w:rPr>
      </w:pPr>
    </w:p>
    <w:tbl>
      <w:tblPr>
        <w:tblW w:w="5000" w:type="pct"/>
        <w:tblBorders>
          <w:top w:val="single" w:sz="6" w:space="0" w:color="004A78"/>
          <w:left w:val="single" w:sz="6" w:space="0" w:color="004A78"/>
          <w:right w:val="single" w:sz="6" w:space="0" w:color="004A78"/>
        </w:tblBorders>
        <w:tblCellMar>
          <w:top w:w="30" w:type="dxa"/>
          <w:left w:w="30" w:type="dxa"/>
          <w:bottom w:w="30" w:type="dxa"/>
          <w:right w:w="30" w:type="dxa"/>
        </w:tblCellMar>
        <w:tblLook w:val="04A0" w:firstRow="1" w:lastRow="0" w:firstColumn="1" w:lastColumn="0" w:noHBand="0" w:noVBand="1"/>
      </w:tblPr>
      <w:tblGrid>
        <w:gridCol w:w="6612"/>
        <w:gridCol w:w="1260"/>
        <w:gridCol w:w="1260"/>
      </w:tblGrid>
      <w:tr w:rsidR="000F1CCE" w:rsidRPr="00340E4C" w:rsidTr="000F1CCE">
        <w:tc>
          <w:tcPr>
            <w:tcW w:w="3620" w:type="pct"/>
            <w:tcBorders>
              <w:bottom w:val="single" w:sz="6" w:space="0" w:color="004A78"/>
              <w:right w:val="single" w:sz="6" w:space="0" w:color="004A78"/>
            </w:tcBorders>
            <w:shd w:val="clear" w:color="auto" w:fill="D8E9F3"/>
            <w:vAlign w:val="center"/>
            <w:hideMark/>
          </w:tcPr>
          <w:p w:rsidR="000F1CCE" w:rsidRPr="00340E4C" w:rsidRDefault="000F1CCE" w:rsidP="000458A2">
            <w:pPr>
              <w:rPr>
                <w:rFonts w:eastAsia="Times New Roman"/>
                <w:b/>
                <w:bCs/>
                <w:color w:val="CE070C"/>
                <w:sz w:val="20"/>
                <w:szCs w:val="20"/>
                <w:lang w:eastAsia="cs-CZ"/>
              </w:rPr>
            </w:pPr>
            <w:r w:rsidRPr="00340E4C">
              <w:rPr>
                <w:rFonts w:eastAsia="Times New Roman"/>
                <w:b/>
                <w:bCs/>
                <w:color w:val="CE070C"/>
                <w:sz w:val="20"/>
                <w:szCs w:val="20"/>
                <w:lang w:eastAsia="cs-CZ"/>
              </w:rPr>
              <w:t>IFRS, konsol., mil. Kč</w:t>
            </w:r>
          </w:p>
        </w:tc>
        <w:tc>
          <w:tcPr>
            <w:tcW w:w="690" w:type="pct"/>
            <w:tcBorders>
              <w:bottom w:val="single" w:sz="6" w:space="0" w:color="004A78"/>
              <w:right w:val="single" w:sz="6" w:space="0" w:color="004A78"/>
            </w:tcBorders>
            <w:shd w:val="clear" w:color="auto" w:fill="D8E9F3"/>
            <w:vAlign w:val="center"/>
            <w:hideMark/>
          </w:tcPr>
          <w:p w:rsidR="000F1CCE" w:rsidRPr="00340E4C" w:rsidRDefault="000F1CCE" w:rsidP="000F1CCE">
            <w:pPr>
              <w:jc w:val="center"/>
              <w:rPr>
                <w:rFonts w:eastAsia="Times New Roman"/>
                <w:b/>
                <w:bCs/>
                <w:color w:val="CE070C"/>
                <w:sz w:val="20"/>
                <w:szCs w:val="20"/>
                <w:lang w:eastAsia="cs-CZ"/>
              </w:rPr>
            </w:pPr>
            <w:r w:rsidRPr="00340E4C">
              <w:rPr>
                <w:rFonts w:eastAsia="Times New Roman"/>
                <w:b/>
                <w:bCs/>
                <w:color w:val="CE070C"/>
                <w:sz w:val="20"/>
                <w:szCs w:val="20"/>
                <w:lang w:eastAsia="cs-CZ"/>
              </w:rPr>
              <w:t>31.</w:t>
            </w:r>
            <w:r w:rsidR="00A37723">
              <w:rPr>
                <w:rFonts w:eastAsia="Times New Roman"/>
                <w:b/>
                <w:bCs/>
                <w:color w:val="CE070C"/>
                <w:sz w:val="20"/>
                <w:szCs w:val="20"/>
                <w:lang w:eastAsia="cs-CZ"/>
              </w:rPr>
              <w:t xml:space="preserve"> </w:t>
            </w:r>
            <w:r w:rsidRPr="00340E4C">
              <w:rPr>
                <w:rFonts w:eastAsia="Times New Roman"/>
                <w:b/>
                <w:bCs/>
                <w:color w:val="CE070C"/>
                <w:sz w:val="20"/>
                <w:szCs w:val="20"/>
                <w:lang w:eastAsia="cs-CZ"/>
              </w:rPr>
              <w:t>12.</w:t>
            </w:r>
            <w:r w:rsidR="00A37723">
              <w:rPr>
                <w:rFonts w:eastAsia="Times New Roman"/>
                <w:b/>
                <w:bCs/>
                <w:color w:val="CE070C"/>
                <w:sz w:val="20"/>
                <w:szCs w:val="20"/>
                <w:lang w:eastAsia="cs-CZ"/>
              </w:rPr>
              <w:t xml:space="preserve"> </w:t>
            </w:r>
            <w:r w:rsidRPr="00340E4C">
              <w:rPr>
                <w:rFonts w:eastAsia="Times New Roman"/>
                <w:b/>
                <w:bCs/>
                <w:color w:val="CE070C"/>
                <w:sz w:val="20"/>
                <w:szCs w:val="20"/>
                <w:lang w:eastAsia="cs-CZ"/>
              </w:rPr>
              <w:t>2008</w:t>
            </w:r>
          </w:p>
        </w:tc>
        <w:tc>
          <w:tcPr>
            <w:tcW w:w="690" w:type="pct"/>
            <w:tcBorders>
              <w:bottom w:val="single" w:sz="6" w:space="0" w:color="004A78"/>
              <w:right w:val="single" w:sz="6" w:space="0" w:color="004A78"/>
            </w:tcBorders>
            <w:shd w:val="clear" w:color="auto" w:fill="D8E9F3"/>
          </w:tcPr>
          <w:p w:rsidR="000F1CCE" w:rsidRPr="00340E4C" w:rsidRDefault="000F1CCE" w:rsidP="000F1CCE">
            <w:pPr>
              <w:jc w:val="center"/>
              <w:rPr>
                <w:rFonts w:eastAsia="Times New Roman"/>
                <w:b/>
                <w:bCs/>
                <w:color w:val="CE070C"/>
                <w:sz w:val="20"/>
                <w:szCs w:val="20"/>
                <w:lang w:eastAsia="cs-CZ"/>
              </w:rPr>
            </w:pPr>
            <w:r>
              <w:rPr>
                <w:rFonts w:eastAsia="Times New Roman"/>
                <w:b/>
                <w:bCs/>
                <w:color w:val="CE070C"/>
                <w:sz w:val="20"/>
                <w:szCs w:val="20"/>
                <w:lang w:eastAsia="cs-CZ"/>
              </w:rPr>
              <w:t>31.</w:t>
            </w:r>
            <w:r w:rsidR="00A37723">
              <w:rPr>
                <w:rFonts w:eastAsia="Times New Roman"/>
                <w:b/>
                <w:bCs/>
                <w:color w:val="CE070C"/>
                <w:sz w:val="20"/>
                <w:szCs w:val="20"/>
                <w:lang w:eastAsia="cs-CZ"/>
              </w:rPr>
              <w:t xml:space="preserve"> </w:t>
            </w:r>
            <w:r>
              <w:rPr>
                <w:rFonts w:eastAsia="Times New Roman"/>
                <w:b/>
                <w:bCs/>
                <w:color w:val="CE070C"/>
                <w:sz w:val="20"/>
                <w:szCs w:val="20"/>
                <w:lang w:eastAsia="cs-CZ"/>
              </w:rPr>
              <w:t>12.</w:t>
            </w:r>
            <w:r w:rsidR="00A37723">
              <w:rPr>
                <w:rFonts w:eastAsia="Times New Roman"/>
                <w:b/>
                <w:bCs/>
                <w:color w:val="CE070C"/>
                <w:sz w:val="20"/>
                <w:szCs w:val="20"/>
                <w:lang w:eastAsia="cs-CZ"/>
              </w:rPr>
              <w:t xml:space="preserve"> </w:t>
            </w:r>
            <w:r>
              <w:rPr>
                <w:rFonts w:eastAsia="Times New Roman"/>
                <w:b/>
                <w:bCs/>
                <w:color w:val="CE070C"/>
                <w:sz w:val="20"/>
                <w:szCs w:val="20"/>
                <w:lang w:eastAsia="cs-CZ"/>
              </w:rPr>
              <w:t>2017</w:t>
            </w:r>
          </w:p>
        </w:tc>
      </w:tr>
      <w:tr w:rsidR="000F1CCE" w:rsidRPr="00340E4C" w:rsidTr="000F1CCE">
        <w:tc>
          <w:tcPr>
            <w:tcW w:w="3620" w:type="pct"/>
            <w:tcBorders>
              <w:bottom w:val="single" w:sz="6" w:space="0" w:color="004A78"/>
              <w:right w:val="single" w:sz="6" w:space="0" w:color="004A78"/>
            </w:tcBorders>
            <w:shd w:val="clear" w:color="auto" w:fill="E8F0F5"/>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Pasiva celkem</w:t>
            </w:r>
          </w:p>
        </w:tc>
        <w:tc>
          <w:tcPr>
            <w:tcW w:w="690" w:type="pct"/>
            <w:tcBorders>
              <w:bottom w:val="single" w:sz="6" w:space="0" w:color="004A78"/>
              <w:right w:val="single" w:sz="6" w:space="0" w:color="004A78"/>
            </w:tcBorders>
            <w:shd w:val="clear" w:color="auto" w:fill="BED2DC"/>
            <w:hideMark/>
          </w:tcPr>
          <w:p w:rsidR="000F1CCE" w:rsidRPr="00340E4C" w:rsidRDefault="000F1CCE" w:rsidP="00734785">
            <w:pPr>
              <w:jc w:val="right"/>
              <w:rPr>
                <w:rFonts w:eastAsia="Times New Roman"/>
                <w:color w:val="624879"/>
                <w:sz w:val="20"/>
                <w:szCs w:val="20"/>
                <w:lang w:eastAsia="cs-CZ"/>
              </w:rPr>
            </w:pPr>
            <w:r w:rsidRPr="00340E4C">
              <w:rPr>
                <w:rFonts w:eastAsia="Times New Roman"/>
                <w:color w:val="624879"/>
                <w:sz w:val="20"/>
                <w:szCs w:val="20"/>
                <w:lang w:eastAsia="cs-CZ"/>
              </w:rPr>
              <w:t>862230</w:t>
            </w:r>
          </w:p>
        </w:tc>
        <w:tc>
          <w:tcPr>
            <w:tcW w:w="690" w:type="pct"/>
            <w:tcBorders>
              <w:bottom w:val="single" w:sz="6" w:space="0" w:color="004A78"/>
              <w:right w:val="single" w:sz="6" w:space="0" w:color="004A78"/>
            </w:tcBorders>
            <w:shd w:val="clear" w:color="auto" w:fill="BED2DC"/>
          </w:tcPr>
          <w:p w:rsidR="000F1CCE" w:rsidRPr="00340E4C" w:rsidRDefault="00A37723" w:rsidP="00734785">
            <w:pPr>
              <w:jc w:val="right"/>
              <w:rPr>
                <w:rFonts w:eastAsia="Times New Roman"/>
                <w:color w:val="624879"/>
                <w:sz w:val="20"/>
                <w:szCs w:val="20"/>
                <w:lang w:eastAsia="cs-CZ"/>
              </w:rPr>
            </w:pPr>
            <w:r>
              <w:rPr>
                <w:rFonts w:eastAsia="Times New Roman"/>
                <w:color w:val="624879"/>
                <w:sz w:val="20"/>
                <w:szCs w:val="20"/>
                <w:lang w:eastAsia="cs-CZ"/>
              </w:rPr>
              <w:t>1329223</w:t>
            </w:r>
          </w:p>
        </w:tc>
      </w:tr>
      <w:tr w:rsidR="000F1CCE" w:rsidRPr="00340E4C" w:rsidTr="000F1CCE">
        <w:tc>
          <w:tcPr>
            <w:tcW w:w="3620"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Závazky k bankám</w:t>
            </w:r>
          </w:p>
        </w:tc>
        <w:tc>
          <w:tcPr>
            <w:tcW w:w="690" w:type="pct"/>
            <w:tcBorders>
              <w:bottom w:val="single" w:sz="6" w:space="0" w:color="004A78"/>
              <w:right w:val="single" w:sz="6" w:space="0" w:color="004A78"/>
            </w:tcBorders>
            <w:hideMark/>
          </w:tcPr>
          <w:p w:rsidR="000F1CCE" w:rsidRPr="00340E4C" w:rsidRDefault="000F1CCE" w:rsidP="00734785">
            <w:pPr>
              <w:jc w:val="right"/>
              <w:rPr>
                <w:rFonts w:eastAsia="Times New Roman"/>
                <w:color w:val="00517C"/>
                <w:sz w:val="20"/>
                <w:szCs w:val="20"/>
                <w:lang w:eastAsia="cs-CZ"/>
              </w:rPr>
            </w:pPr>
            <w:r w:rsidRPr="00340E4C">
              <w:rPr>
                <w:rFonts w:eastAsia="Times New Roman"/>
                <w:color w:val="00517C"/>
                <w:sz w:val="20"/>
                <w:szCs w:val="20"/>
                <w:lang w:eastAsia="cs-CZ"/>
              </w:rPr>
              <w:t>57561</w:t>
            </w:r>
          </w:p>
        </w:tc>
        <w:tc>
          <w:tcPr>
            <w:tcW w:w="690" w:type="pct"/>
            <w:tcBorders>
              <w:bottom w:val="single" w:sz="6" w:space="0" w:color="004A78"/>
              <w:right w:val="single" w:sz="6" w:space="0" w:color="004A78"/>
            </w:tcBorders>
          </w:tcPr>
          <w:p w:rsidR="000F1CCE" w:rsidRPr="00340E4C" w:rsidRDefault="00A37723" w:rsidP="00734785">
            <w:pPr>
              <w:jc w:val="right"/>
              <w:rPr>
                <w:rFonts w:eastAsia="Times New Roman"/>
                <w:color w:val="00517C"/>
                <w:sz w:val="20"/>
                <w:szCs w:val="20"/>
                <w:lang w:eastAsia="cs-CZ"/>
              </w:rPr>
            </w:pPr>
            <w:r>
              <w:rPr>
                <w:rFonts w:eastAsia="Times New Roman"/>
                <w:color w:val="00517C"/>
                <w:sz w:val="20"/>
                <w:szCs w:val="20"/>
                <w:lang w:eastAsia="cs-CZ"/>
              </w:rPr>
              <w:t>299232</w:t>
            </w:r>
          </w:p>
        </w:tc>
      </w:tr>
      <w:tr w:rsidR="000F1CCE" w:rsidRPr="00340E4C" w:rsidTr="000F1CCE">
        <w:tc>
          <w:tcPr>
            <w:tcW w:w="3620"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Závazky ke klientům</w:t>
            </w:r>
          </w:p>
        </w:tc>
        <w:tc>
          <w:tcPr>
            <w:tcW w:w="690" w:type="pct"/>
            <w:tcBorders>
              <w:bottom w:val="single" w:sz="6" w:space="0" w:color="004A78"/>
              <w:right w:val="single" w:sz="6" w:space="0" w:color="004A78"/>
            </w:tcBorders>
            <w:hideMark/>
          </w:tcPr>
          <w:p w:rsidR="000F1CCE" w:rsidRPr="00340E4C" w:rsidRDefault="000F1CCE" w:rsidP="00734785">
            <w:pPr>
              <w:jc w:val="right"/>
              <w:rPr>
                <w:rFonts w:eastAsia="Times New Roman"/>
                <w:color w:val="00517C"/>
                <w:sz w:val="20"/>
                <w:szCs w:val="20"/>
                <w:lang w:eastAsia="cs-CZ"/>
              </w:rPr>
            </w:pPr>
            <w:r w:rsidRPr="00340E4C">
              <w:rPr>
                <w:rFonts w:eastAsia="Times New Roman"/>
                <w:color w:val="00517C"/>
                <w:sz w:val="20"/>
                <w:szCs w:val="20"/>
                <w:lang w:eastAsia="cs-CZ"/>
              </w:rPr>
              <w:t>645947</w:t>
            </w:r>
          </w:p>
        </w:tc>
        <w:tc>
          <w:tcPr>
            <w:tcW w:w="690" w:type="pct"/>
            <w:tcBorders>
              <w:bottom w:val="single" w:sz="6" w:space="0" w:color="004A78"/>
              <w:right w:val="single" w:sz="6" w:space="0" w:color="004A78"/>
            </w:tcBorders>
          </w:tcPr>
          <w:p w:rsidR="000F1CCE" w:rsidRPr="00340E4C" w:rsidRDefault="00A37723" w:rsidP="00734785">
            <w:pPr>
              <w:jc w:val="right"/>
              <w:rPr>
                <w:rFonts w:eastAsia="Times New Roman"/>
                <w:color w:val="00517C"/>
                <w:sz w:val="20"/>
                <w:szCs w:val="20"/>
                <w:lang w:eastAsia="cs-CZ"/>
              </w:rPr>
            </w:pPr>
            <w:r>
              <w:rPr>
                <w:rFonts w:eastAsia="Times New Roman"/>
                <w:color w:val="00517C"/>
                <w:sz w:val="20"/>
                <w:szCs w:val="20"/>
                <w:lang w:eastAsia="cs-CZ"/>
              </w:rPr>
              <w:t>881997</w:t>
            </w:r>
          </w:p>
        </w:tc>
      </w:tr>
      <w:tr w:rsidR="000F1CCE" w:rsidRPr="00340E4C" w:rsidTr="000F1CCE">
        <w:tc>
          <w:tcPr>
            <w:tcW w:w="3620"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Emise obligací</w:t>
            </w:r>
          </w:p>
        </w:tc>
        <w:tc>
          <w:tcPr>
            <w:tcW w:w="690" w:type="pct"/>
            <w:tcBorders>
              <w:bottom w:val="single" w:sz="6" w:space="0" w:color="004A78"/>
              <w:right w:val="single" w:sz="6" w:space="0" w:color="004A78"/>
            </w:tcBorders>
            <w:hideMark/>
          </w:tcPr>
          <w:p w:rsidR="000F1CCE" w:rsidRPr="00340E4C" w:rsidRDefault="000F1CCE" w:rsidP="00734785">
            <w:pPr>
              <w:jc w:val="right"/>
              <w:rPr>
                <w:rFonts w:eastAsia="Times New Roman"/>
                <w:color w:val="00517C"/>
                <w:sz w:val="20"/>
                <w:szCs w:val="20"/>
                <w:lang w:eastAsia="cs-CZ"/>
              </w:rPr>
            </w:pPr>
            <w:r w:rsidRPr="00340E4C">
              <w:rPr>
                <w:rFonts w:eastAsia="Times New Roman"/>
                <w:color w:val="00517C"/>
                <w:sz w:val="20"/>
                <w:szCs w:val="20"/>
                <w:lang w:eastAsia="cs-CZ"/>
              </w:rPr>
              <w:t>39936</w:t>
            </w:r>
          </w:p>
        </w:tc>
        <w:tc>
          <w:tcPr>
            <w:tcW w:w="690" w:type="pct"/>
            <w:tcBorders>
              <w:bottom w:val="single" w:sz="6" w:space="0" w:color="004A78"/>
              <w:right w:val="single" w:sz="6" w:space="0" w:color="004A78"/>
            </w:tcBorders>
          </w:tcPr>
          <w:p w:rsidR="000F1CCE" w:rsidRPr="00340E4C" w:rsidRDefault="00766DA9" w:rsidP="00734785">
            <w:pPr>
              <w:jc w:val="right"/>
              <w:rPr>
                <w:rFonts w:eastAsia="Times New Roman"/>
                <w:color w:val="00517C"/>
                <w:sz w:val="20"/>
                <w:szCs w:val="20"/>
                <w:lang w:eastAsia="cs-CZ"/>
              </w:rPr>
            </w:pPr>
            <w:r>
              <w:rPr>
                <w:rFonts w:eastAsia="Times New Roman"/>
                <w:color w:val="00517C"/>
                <w:sz w:val="20"/>
                <w:szCs w:val="20"/>
                <w:lang w:eastAsia="cs-CZ"/>
              </w:rPr>
              <w:t>1805</w:t>
            </w:r>
          </w:p>
        </w:tc>
      </w:tr>
      <w:tr w:rsidR="000F1CCE" w:rsidRPr="00340E4C" w:rsidTr="000F1CCE">
        <w:tc>
          <w:tcPr>
            <w:tcW w:w="3620"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Podřízený dluh</w:t>
            </w:r>
          </w:p>
        </w:tc>
        <w:tc>
          <w:tcPr>
            <w:tcW w:w="690" w:type="pct"/>
            <w:tcBorders>
              <w:bottom w:val="single" w:sz="6" w:space="0" w:color="004A78"/>
              <w:right w:val="single" w:sz="6" w:space="0" w:color="004A78"/>
            </w:tcBorders>
            <w:hideMark/>
          </w:tcPr>
          <w:p w:rsidR="000F1CCE" w:rsidRPr="00340E4C" w:rsidRDefault="000F1CCE" w:rsidP="00734785">
            <w:pPr>
              <w:jc w:val="right"/>
              <w:rPr>
                <w:rFonts w:eastAsia="Times New Roman"/>
                <w:color w:val="00517C"/>
                <w:sz w:val="20"/>
                <w:szCs w:val="20"/>
                <w:lang w:eastAsia="cs-CZ"/>
              </w:rPr>
            </w:pPr>
            <w:r w:rsidRPr="00340E4C">
              <w:rPr>
                <w:rFonts w:eastAsia="Times New Roman"/>
                <w:color w:val="00517C"/>
                <w:sz w:val="20"/>
                <w:szCs w:val="20"/>
                <w:lang w:eastAsia="cs-CZ"/>
              </w:rPr>
              <w:t>5197</w:t>
            </w:r>
          </w:p>
        </w:tc>
        <w:tc>
          <w:tcPr>
            <w:tcW w:w="690" w:type="pct"/>
            <w:tcBorders>
              <w:bottom w:val="single" w:sz="6" w:space="0" w:color="004A78"/>
              <w:right w:val="single" w:sz="6" w:space="0" w:color="004A78"/>
            </w:tcBorders>
          </w:tcPr>
          <w:p w:rsidR="000F1CCE" w:rsidRPr="00340E4C" w:rsidRDefault="000F1CCE" w:rsidP="00734785">
            <w:pPr>
              <w:jc w:val="right"/>
              <w:rPr>
                <w:rFonts w:eastAsia="Times New Roman"/>
                <w:color w:val="00517C"/>
                <w:sz w:val="20"/>
                <w:szCs w:val="20"/>
                <w:lang w:eastAsia="cs-CZ"/>
              </w:rPr>
            </w:pPr>
          </w:p>
        </w:tc>
      </w:tr>
      <w:tr w:rsidR="000F1CCE" w:rsidRPr="00340E4C" w:rsidTr="000F1CCE">
        <w:tc>
          <w:tcPr>
            <w:tcW w:w="3620"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Ostatní pasiva</w:t>
            </w:r>
          </w:p>
        </w:tc>
        <w:tc>
          <w:tcPr>
            <w:tcW w:w="690" w:type="pct"/>
            <w:tcBorders>
              <w:bottom w:val="single" w:sz="6" w:space="0" w:color="004A78"/>
              <w:right w:val="single" w:sz="6" w:space="0" w:color="004A78"/>
            </w:tcBorders>
            <w:hideMark/>
          </w:tcPr>
          <w:p w:rsidR="000F1CCE" w:rsidRPr="00340E4C" w:rsidRDefault="000F1CCE" w:rsidP="00734785">
            <w:pPr>
              <w:jc w:val="right"/>
              <w:rPr>
                <w:rFonts w:eastAsia="Times New Roman"/>
                <w:color w:val="00517C"/>
                <w:sz w:val="20"/>
                <w:szCs w:val="20"/>
                <w:lang w:eastAsia="cs-CZ"/>
              </w:rPr>
            </w:pPr>
            <w:r w:rsidRPr="00340E4C">
              <w:rPr>
                <w:rFonts w:eastAsia="Times New Roman"/>
                <w:color w:val="00517C"/>
                <w:sz w:val="20"/>
                <w:szCs w:val="20"/>
                <w:lang w:eastAsia="cs-CZ"/>
              </w:rPr>
              <w:t>48220</w:t>
            </w:r>
          </w:p>
        </w:tc>
        <w:tc>
          <w:tcPr>
            <w:tcW w:w="690" w:type="pct"/>
            <w:tcBorders>
              <w:bottom w:val="single" w:sz="6" w:space="0" w:color="004A78"/>
              <w:right w:val="single" w:sz="6" w:space="0" w:color="004A78"/>
            </w:tcBorders>
          </w:tcPr>
          <w:p w:rsidR="000F1CCE" w:rsidRPr="00340E4C" w:rsidRDefault="000F1CCE" w:rsidP="00734785">
            <w:pPr>
              <w:jc w:val="right"/>
              <w:rPr>
                <w:rFonts w:eastAsia="Times New Roman"/>
                <w:color w:val="00517C"/>
                <w:sz w:val="20"/>
                <w:szCs w:val="20"/>
                <w:lang w:eastAsia="cs-CZ"/>
              </w:rPr>
            </w:pPr>
          </w:p>
        </w:tc>
      </w:tr>
      <w:tr w:rsidR="000F1CCE" w:rsidRPr="00340E4C" w:rsidTr="000F1CCE">
        <w:tc>
          <w:tcPr>
            <w:tcW w:w="3620" w:type="pct"/>
            <w:tcBorders>
              <w:bottom w:val="single" w:sz="6" w:space="0" w:color="004A78"/>
              <w:right w:val="single" w:sz="6" w:space="0" w:color="004A78"/>
            </w:tcBorders>
            <w:shd w:val="clear" w:color="auto" w:fill="FFFFFF"/>
            <w:hideMark/>
          </w:tcPr>
          <w:p w:rsidR="000F1CCE" w:rsidRPr="00340E4C" w:rsidRDefault="000F1CCE" w:rsidP="000458A2">
            <w:pPr>
              <w:rPr>
                <w:rFonts w:eastAsia="Times New Roman"/>
                <w:b/>
                <w:bCs/>
                <w:color w:val="004D83"/>
                <w:sz w:val="20"/>
                <w:szCs w:val="20"/>
                <w:lang w:eastAsia="cs-CZ"/>
              </w:rPr>
            </w:pPr>
            <w:r w:rsidRPr="00340E4C">
              <w:rPr>
                <w:rFonts w:eastAsia="Times New Roman"/>
                <w:b/>
                <w:bCs/>
                <w:color w:val="004D83"/>
                <w:sz w:val="20"/>
                <w:szCs w:val="20"/>
                <w:lang w:eastAsia="cs-CZ"/>
              </w:rPr>
              <w:t>Menšinové podíly</w:t>
            </w:r>
          </w:p>
        </w:tc>
        <w:tc>
          <w:tcPr>
            <w:tcW w:w="690" w:type="pct"/>
            <w:tcBorders>
              <w:bottom w:val="single" w:sz="6" w:space="0" w:color="004A78"/>
              <w:right w:val="single" w:sz="6" w:space="0" w:color="004A78"/>
            </w:tcBorders>
            <w:hideMark/>
          </w:tcPr>
          <w:p w:rsidR="000F1CCE" w:rsidRPr="00340E4C" w:rsidRDefault="000F1CCE" w:rsidP="00734785">
            <w:pPr>
              <w:jc w:val="right"/>
              <w:rPr>
                <w:rFonts w:eastAsia="Times New Roman"/>
                <w:color w:val="00517C"/>
                <w:sz w:val="20"/>
                <w:szCs w:val="20"/>
                <w:lang w:eastAsia="cs-CZ"/>
              </w:rPr>
            </w:pPr>
            <w:r w:rsidRPr="00340E4C">
              <w:rPr>
                <w:rFonts w:eastAsia="Times New Roman"/>
                <w:color w:val="00517C"/>
                <w:sz w:val="20"/>
                <w:szCs w:val="20"/>
                <w:lang w:eastAsia="cs-CZ"/>
              </w:rPr>
              <w:t>564</w:t>
            </w:r>
          </w:p>
        </w:tc>
        <w:tc>
          <w:tcPr>
            <w:tcW w:w="690" w:type="pct"/>
            <w:tcBorders>
              <w:bottom w:val="single" w:sz="6" w:space="0" w:color="004A78"/>
              <w:right w:val="single" w:sz="6" w:space="0" w:color="004A78"/>
            </w:tcBorders>
          </w:tcPr>
          <w:p w:rsidR="000F1CCE" w:rsidRPr="00340E4C" w:rsidRDefault="000F1CCE" w:rsidP="00734785">
            <w:pPr>
              <w:jc w:val="right"/>
              <w:rPr>
                <w:rFonts w:eastAsia="Times New Roman"/>
                <w:color w:val="00517C"/>
                <w:sz w:val="20"/>
                <w:szCs w:val="20"/>
                <w:lang w:eastAsia="cs-CZ"/>
              </w:rPr>
            </w:pPr>
          </w:p>
        </w:tc>
      </w:tr>
      <w:tr w:rsidR="000F1CCE" w:rsidRPr="00340E4C" w:rsidTr="000F1CCE">
        <w:tc>
          <w:tcPr>
            <w:tcW w:w="3620" w:type="pct"/>
            <w:tcBorders>
              <w:bottom w:val="single" w:sz="6" w:space="0" w:color="004A78"/>
              <w:right w:val="single" w:sz="6" w:space="0" w:color="004A78"/>
            </w:tcBorders>
            <w:shd w:val="clear" w:color="auto" w:fill="E8F0F5"/>
            <w:hideMark/>
          </w:tcPr>
          <w:p w:rsidR="000F1CCE" w:rsidRPr="00340E4C" w:rsidRDefault="000F1CCE" w:rsidP="000458A2">
            <w:pPr>
              <w:rPr>
                <w:rFonts w:eastAsia="Times New Roman"/>
                <w:b/>
                <w:bCs/>
                <w:color w:val="004D83"/>
                <w:sz w:val="17"/>
                <w:szCs w:val="17"/>
                <w:lang w:eastAsia="cs-CZ"/>
              </w:rPr>
            </w:pPr>
            <w:r w:rsidRPr="00340E4C">
              <w:rPr>
                <w:rFonts w:eastAsia="Times New Roman"/>
                <w:b/>
                <w:bCs/>
                <w:color w:val="004D83"/>
                <w:sz w:val="17"/>
                <w:szCs w:val="17"/>
                <w:lang w:eastAsia="cs-CZ"/>
              </w:rPr>
              <w:t>Vlastní kapitál</w:t>
            </w:r>
          </w:p>
        </w:tc>
        <w:tc>
          <w:tcPr>
            <w:tcW w:w="690" w:type="pct"/>
            <w:tcBorders>
              <w:bottom w:val="single" w:sz="6" w:space="0" w:color="004A78"/>
              <w:right w:val="single" w:sz="6" w:space="0" w:color="004A78"/>
            </w:tcBorders>
            <w:shd w:val="clear" w:color="auto" w:fill="BED2DC"/>
            <w:hideMark/>
          </w:tcPr>
          <w:p w:rsidR="000F1CCE" w:rsidRPr="00340E4C" w:rsidRDefault="000F1CCE" w:rsidP="00734785">
            <w:pPr>
              <w:jc w:val="right"/>
              <w:rPr>
                <w:rFonts w:eastAsia="Times New Roman"/>
                <w:color w:val="624879"/>
                <w:sz w:val="17"/>
                <w:szCs w:val="17"/>
                <w:lang w:eastAsia="cs-CZ"/>
              </w:rPr>
            </w:pPr>
            <w:r w:rsidRPr="00340E4C">
              <w:rPr>
                <w:rFonts w:eastAsia="Times New Roman"/>
                <w:color w:val="624879"/>
                <w:sz w:val="17"/>
                <w:szCs w:val="17"/>
                <w:lang w:eastAsia="cs-CZ"/>
              </w:rPr>
              <w:t> 64805</w:t>
            </w:r>
          </w:p>
        </w:tc>
        <w:tc>
          <w:tcPr>
            <w:tcW w:w="690" w:type="pct"/>
            <w:tcBorders>
              <w:bottom w:val="single" w:sz="6" w:space="0" w:color="004A78"/>
              <w:right w:val="single" w:sz="6" w:space="0" w:color="004A78"/>
            </w:tcBorders>
            <w:shd w:val="clear" w:color="auto" w:fill="BED2DC"/>
          </w:tcPr>
          <w:p w:rsidR="000F1CCE" w:rsidRPr="00340E4C" w:rsidRDefault="00A37723" w:rsidP="00734785">
            <w:pPr>
              <w:jc w:val="right"/>
              <w:rPr>
                <w:rFonts w:eastAsia="Times New Roman"/>
                <w:color w:val="624879"/>
                <w:sz w:val="17"/>
                <w:szCs w:val="17"/>
                <w:lang w:eastAsia="cs-CZ"/>
              </w:rPr>
            </w:pPr>
            <w:r>
              <w:rPr>
                <w:rFonts w:eastAsia="Times New Roman"/>
                <w:color w:val="624879"/>
                <w:sz w:val="17"/>
                <w:szCs w:val="17"/>
                <w:lang w:eastAsia="cs-CZ"/>
              </w:rPr>
              <w:t>120810</w:t>
            </w:r>
          </w:p>
        </w:tc>
      </w:tr>
    </w:tbl>
    <w:p w:rsidR="00A407ED" w:rsidRPr="00340E4C" w:rsidRDefault="000458A2">
      <w:pPr>
        <w:jc w:val="both"/>
      </w:pPr>
      <w:r w:rsidRPr="00340E4C">
        <w:rPr>
          <w:rFonts w:eastAsia="Times New Roman"/>
          <w:color w:val="00517C"/>
          <w:sz w:val="17"/>
          <w:szCs w:val="17"/>
          <w:lang w:eastAsia="cs-CZ"/>
        </w:rPr>
        <w:t> </w:t>
      </w:r>
    </w:p>
    <w:p w:rsidR="00A407ED" w:rsidRPr="00340E4C" w:rsidRDefault="00A407ED">
      <w:pPr>
        <w:jc w:val="both"/>
      </w:pPr>
    </w:p>
    <w:p w:rsidR="00734785" w:rsidRPr="00340E4C" w:rsidRDefault="00734785">
      <w:pPr>
        <w:jc w:val="both"/>
      </w:pPr>
    </w:p>
    <w:p w:rsidR="000C4ADA" w:rsidRPr="00340E4C" w:rsidRDefault="000C4ADA">
      <w:pPr>
        <w:jc w:val="both"/>
      </w:pPr>
    </w:p>
    <w:p w:rsidR="00783598" w:rsidRPr="00340E4C" w:rsidRDefault="00783598">
      <w:pPr>
        <w:pStyle w:val="Textkrper2"/>
      </w:pPr>
      <w:r w:rsidRPr="00340E4C">
        <w:t xml:space="preserve">Centrální banka: </w:t>
      </w:r>
    </w:p>
    <w:p w:rsidR="00783598" w:rsidRPr="00340E4C" w:rsidRDefault="00783598">
      <w:pPr>
        <w:jc w:val="both"/>
      </w:pPr>
      <w:r w:rsidRPr="00340E4C">
        <w:t xml:space="preserve">Zvláštní postavení má centrální banka (ČNB): </w:t>
      </w:r>
    </w:p>
    <w:p w:rsidR="00783598" w:rsidRPr="00340E4C" w:rsidRDefault="00783598" w:rsidP="001741A7">
      <w:pPr>
        <w:numPr>
          <w:ilvl w:val="0"/>
          <w:numId w:val="1"/>
        </w:numPr>
        <w:jc w:val="both"/>
      </w:pPr>
      <w:r w:rsidRPr="00340E4C">
        <w:t xml:space="preserve">má zákonný monopol na emisi peněz </w:t>
      </w:r>
    </w:p>
    <w:p w:rsidR="00783598" w:rsidRPr="00340E4C" w:rsidRDefault="00783598" w:rsidP="001741A7">
      <w:pPr>
        <w:numPr>
          <w:ilvl w:val="0"/>
          <w:numId w:val="1"/>
        </w:numPr>
        <w:jc w:val="both"/>
      </w:pPr>
      <w:r w:rsidRPr="00340E4C">
        <w:t>monetární politikou reguluje oběh peněz</w:t>
      </w:r>
    </w:p>
    <w:p w:rsidR="00783598" w:rsidRPr="00340E4C" w:rsidRDefault="00783598" w:rsidP="001741A7">
      <w:pPr>
        <w:numPr>
          <w:ilvl w:val="0"/>
          <w:numId w:val="1"/>
        </w:numPr>
        <w:jc w:val="both"/>
      </w:pPr>
      <w:r w:rsidRPr="00340E4C">
        <w:t>reguluje bankovní systém</w:t>
      </w:r>
    </w:p>
    <w:p w:rsidR="00783598" w:rsidRPr="00340E4C" w:rsidRDefault="00783598" w:rsidP="001741A7">
      <w:pPr>
        <w:numPr>
          <w:ilvl w:val="0"/>
          <w:numId w:val="1"/>
        </w:numPr>
        <w:jc w:val="both"/>
      </w:pPr>
      <w:r w:rsidRPr="00340E4C">
        <w:t>má zákonný úkol dbát na stabilitu peněžního systému</w:t>
      </w:r>
    </w:p>
    <w:p w:rsidR="00480B03" w:rsidRPr="00340E4C" w:rsidRDefault="00480B03" w:rsidP="00480B03">
      <w:pPr>
        <w:jc w:val="both"/>
      </w:pPr>
    </w:p>
    <w:p w:rsidR="00480B03" w:rsidRPr="00340E4C" w:rsidRDefault="00480B03" w:rsidP="00480B03">
      <w:pPr>
        <w:jc w:val="both"/>
      </w:pPr>
    </w:p>
    <w:p w:rsidR="00480B03" w:rsidRPr="00340E4C" w:rsidRDefault="00480B03" w:rsidP="00480B03">
      <w:pPr>
        <w:jc w:val="both"/>
      </w:pPr>
      <w:r w:rsidRPr="00340E4C">
        <w:t>Ukázka rozvahy ČNB k 31.08.2009</w:t>
      </w:r>
      <w:r w:rsidR="00766DA9">
        <w:t xml:space="preserve"> (modrá čísla) a k 10.02.2019 (červená čísla)</w:t>
      </w:r>
      <w:r w:rsidRPr="00340E4C">
        <w:t>, částky v mil. CZK</w:t>
      </w:r>
      <w:r w:rsidR="00B84467" w:rsidRPr="00340E4C">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992"/>
        <w:gridCol w:w="1128"/>
        <w:gridCol w:w="2558"/>
        <w:gridCol w:w="1134"/>
        <w:gridCol w:w="1056"/>
      </w:tblGrid>
      <w:tr w:rsidR="00480B03" w:rsidRPr="00340E4C" w:rsidTr="00766DA9">
        <w:tc>
          <w:tcPr>
            <w:tcW w:w="4525" w:type="dxa"/>
            <w:gridSpan w:val="3"/>
          </w:tcPr>
          <w:p w:rsidR="00480B03" w:rsidRPr="00340E4C" w:rsidRDefault="00480B03" w:rsidP="00C5248B">
            <w:pPr>
              <w:jc w:val="center"/>
            </w:pPr>
            <w:r w:rsidRPr="00340E4C">
              <w:t>Aktiva</w:t>
            </w:r>
          </w:p>
        </w:tc>
        <w:tc>
          <w:tcPr>
            <w:tcW w:w="4537" w:type="dxa"/>
            <w:gridSpan w:val="3"/>
          </w:tcPr>
          <w:p w:rsidR="00480B03" w:rsidRPr="00340E4C" w:rsidRDefault="00480B03" w:rsidP="00C5248B">
            <w:pPr>
              <w:jc w:val="center"/>
            </w:pPr>
            <w:r w:rsidRPr="00340E4C">
              <w:t>Pasiva</w:t>
            </w:r>
          </w:p>
        </w:tc>
      </w:tr>
      <w:tr w:rsidR="00766DA9" w:rsidRPr="00340E4C" w:rsidTr="00766DA9">
        <w:tc>
          <w:tcPr>
            <w:tcW w:w="2405" w:type="dxa"/>
          </w:tcPr>
          <w:p w:rsidR="00766DA9" w:rsidRPr="00340E4C" w:rsidRDefault="00766DA9" w:rsidP="00C5248B">
            <w:pPr>
              <w:jc w:val="both"/>
            </w:pPr>
            <w:r w:rsidRPr="00340E4C">
              <w:t>Zlato</w:t>
            </w:r>
          </w:p>
        </w:tc>
        <w:tc>
          <w:tcPr>
            <w:tcW w:w="992" w:type="dxa"/>
          </w:tcPr>
          <w:p w:rsidR="00766DA9" w:rsidRPr="00766DA9" w:rsidRDefault="00766DA9" w:rsidP="00C5248B">
            <w:pPr>
              <w:jc w:val="right"/>
              <w:rPr>
                <w:b/>
                <w:color w:val="0070C0"/>
              </w:rPr>
            </w:pPr>
            <w:r w:rsidRPr="00766DA9">
              <w:rPr>
                <w:b/>
                <w:color w:val="0070C0"/>
              </w:rPr>
              <w:t>782</w:t>
            </w:r>
          </w:p>
        </w:tc>
        <w:tc>
          <w:tcPr>
            <w:tcW w:w="1128" w:type="dxa"/>
          </w:tcPr>
          <w:p w:rsidR="00766DA9" w:rsidRPr="00766DA9" w:rsidRDefault="00766DA9" w:rsidP="00C5248B">
            <w:pPr>
              <w:jc w:val="right"/>
              <w:rPr>
                <w:b/>
                <w:color w:val="FF0000"/>
              </w:rPr>
            </w:pPr>
            <w:r w:rsidRPr="00766DA9">
              <w:rPr>
                <w:b/>
                <w:color w:val="FF0000"/>
              </w:rPr>
              <w:t>516</w:t>
            </w:r>
          </w:p>
        </w:tc>
        <w:tc>
          <w:tcPr>
            <w:tcW w:w="2558" w:type="dxa"/>
          </w:tcPr>
          <w:p w:rsidR="00766DA9" w:rsidRPr="00340E4C" w:rsidRDefault="00766DA9" w:rsidP="00C5248B">
            <w:pPr>
              <w:jc w:val="both"/>
            </w:pPr>
            <w:r w:rsidRPr="00340E4C">
              <w:t>Peníze v</w:t>
            </w:r>
            <w:r>
              <w:t> </w:t>
            </w:r>
            <w:r w:rsidRPr="00340E4C">
              <w:t>oběhu</w:t>
            </w:r>
          </w:p>
        </w:tc>
        <w:tc>
          <w:tcPr>
            <w:tcW w:w="1134" w:type="dxa"/>
          </w:tcPr>
          <w:p w:rsidR="00766DA9" w:rsidRPr="00766DA9" w:rsidRDefault="00766DA9" w:rsidP="00C5248B">
            <w:pPr>
              <w:jc w:val="right"/>
              <w:rPr>
                <w:b/>
                <w:color w:val="0070C0"/>
              </w:rPr>
            </w:pPr>
            <w:r w:rsidRPr="00766DA9">
              <w:rPr>
                <w:b/>
                <w:color w:val="0070C0"/>
              </w:rPr>
              <w:t>379965</w:t>
            </w:r>
          </w:p>
        </w:tc>
        <w:tc>
          <w:tcPr>
            <w:tcW w:w="845" w:type="dxa"/>
          </w:tcPr>
          <w:p w:rsidR="00766DA9" w:rsidRPr="00766DA9" w:rsidRDefault="00766DA9" w:rsidP="00C5248B">
            <w:pPr>
              <w:jc w:val="right"/>
              <w:rPr>
                <w:b/>
                <w:color w:val="FF0000"/>
              </w:rPr>
            </w:pPr>
            <w:r w:rsidRPr="00766DA9">
              <w:rPr>
                <w:b/>
                <w:color w:val="FF0000"/>
              </w:rPr>
              <w:t>611000</w:t>
            </w:r>
          </w:p>
        </w:tc>
      </w:tr>
      <w:tr w:rsidR="00766DA9" w:rsidRPr="00340E4C" w:rsidTr="00766DA9">
        <w:tc>
          <w:tcPr>
            <w:tcW w:w="2405" w:type="dxa"/>
          </w:tcPr>
          <w:p w:rsidR="00766DA9" w:rsidRPr="00340E4C" w:rsidRDefault="00766DA9" w:rsidP="00C5248B">
            <w:pPr>
              <w:jc w:val="both"/>
            </w:pPr>
            <w:r w:rsidRPr="00340E4C">
              <w:t>Pohledávky vůči MMF</w:t>
            </w:r>
          </w:p>
        </w:tc>
        <w:tc>
          <w:tcPr>
            <w:tcW w:w="992" w:type="dxa"/>
          </w:tcPr>
          <w:p w:rsidR="00766DA9" w:rsidRPr="00766DA9" w:rsidRDefault="00766DA9" w:rsidP="00C5248B">
            <w:pPr>
              <w:jc w:val="right"/>
              <w:rPr>
                <w:b/>
                <w:color w:val="0070C0"/>
              </w:rPr>
            </w:pPr>
            <w:r w:rsidRPr="00766DA9">
              <w:rPr>
                <w:b/>
                <w:color w:val="0070C0"/>
              </w:rPr>
              <w:t>25025</w:t>
            </w:r>
          </w:p>
        </w:tc>
        <w:tc>
          <w:tcPr>
            <w:tcW w:w="1128" w:type="dxa"/>
          </w:tcPr>
          <w:p w:rsidR="00766DA9" w:rsidRPr="00766DA9" w:rsidRDefault="00766DA9" w:rsidP="00C5248B">
            <w:pPr>
              <w:jc w:val="right"/>
              <w:rPr>
                <w:b/>
                <w:color w:val="FF0000"/>
              </w:rPr>
            </w:pPr>
            <w:r w:rsidRPr="00766DA9">
              <w:rPr>
                <w:b/>
                <w:color w:val="FF0000"/>
              </w:rPr>
              <w:t>82890</w:t>
            </w:r>
          </w:p>
        </w:tc>
        <w:tc>
          <w:tcPr>
            <w:tcW w:w="2558" w:type="dxa"/>
          </w:tcPr>
          <w:p w:rsidR="00766DA9" w:rsidRPr="00340E4C" w:rsidRDefault="00766DA9" w:rsidP="00C5248B">
            <w:pPr>
              <w:jc w:val="both"/>
            </w:pPr>
            <w:r w:rsidRPr="00340E4C">
              <w:t>Závazky vůči MMF</w:t>
            </w:r>
          </w:p>
        </w:tc>
        <w:tc>
          <w:tcPr>
            <w:tcW w:w="1134" w:type="dxa"/>
          </w:tcPr>
          <w:p w:rsidR="00766DA9" w:rsidRPr="00766DA9" w:rsidRDefault="00766DA9" w:rsidP="00C5248B">
            <w:pPr>
              <w:jc w:val="right"/>
              <w:rPr>
                <w:b/>
                <w:color w:val="0070C0"/>
              </w:rPr>
            </w:pPr>
            <w:r w:rsidRPr="00766DA9">
              <w:rPr>
                <w:b/>
                <w:color w:val="0070C0"/>
              </w:rPr>
              <w:t>20192</w:t>
            </w:r>
          </w:p>
        </w:tc>
        <w:tc>
          <w:tcPr>
            <w:tcW w:w="845" w:type="dxa"/>
          </w:tcPr>
          <w:p w:rsidR="00766DA9" w:rsidRPr="00766DA9" w:rsidRDefault="00766DA9" w:rsidP="00C5248B">
            <w:pPr>
              <w:jc w:val="right"/>
              <w:rPr>
                <w:b/>
                <w:color w:val="FF0000"/>
              </w:rPr>
            </w:pPr>
            <w:r w:rsidRPr="00766DA9">
              <w:rPr>
                <w:b/>
                <w:color w:val="FF0000"/>
              </w:rPr>
              <w:t>81102</w:t>
            </w:r>
          </w:p>
        </w:tc>
      </w:tr>
      <w:tr w:rsidR="00766DA9" w:rsidRPr="00340E4C" w:rsidTr="00766DA9">
        <w:tc>
          <w:tcPr>
            <w:tcW w:w="2405" w:type="dxa"/>
          </w:tcPr>
          <w:p w:rsidR="00766DA9" w:rsidRPr="00340E4C" w:rsidRDefault="00766DA9" w:rsidP="00C5248B">
            <w:pPr>
              <w:jc w:val="both"/>
            </w:pPr>
            <w:r w:rsidRPr="00340E4C">
              <w:t>Pohledávky vůči zahraničí CP</w:t>
            </w:r>
          </w:p>
        </w:tc>
        <w:tc>
          <w:tcPr>
            <w:tcW w:w="992" w:type="dxa"/>
          </w:tcPr>
          <w:p w:rsidR="00766DA9" w:rsidRPr="00766DA9" w:rsidRDefault="00766DA9" w:rsidP="00C5248B">
            <w:pPr>
              <w:jc w:val="right"/>
              <w:rPr>
                <w:b/>
                <w:color w:val="0070C0"/>
              </w:rPr>
            </w:pPr>
            <w:r w:rsidRPr="00766DA9">
              <w:rPr>
                <w:b/>
                <w:color w:val="0070C0"/>
              </w:rPr>
              <w:t>685942</w:t>
            </w:r>
          </w:p>
        </w:tc>
        <w:tc>
          <w:tcPr>
            <w:tcW w:w="1128" w:type="dxa"/>
          </w:tcPr>
          <w:p w:rsidR="00766DA9" w:rsidRPr="00766DA9" w:rsidRDefault="00766DA9" w:rsidP="00C5248B">
            <w:pPr>
              <w:jc w:val="right"/>
              <w:rPr>
                <w:b/>
                <w:color w:val="FF0000"/>
              </w:rPr>
            </w:pPr>
            <w:r w:rsidRPr="00766DA9">
              <w:rPr>
                <w:b/>
                <w:color w:val="FF0000"/>
              </w:rPr>
              <w:t>3192705</w:t>
            </w:r>
          </w:p>
        </w:tc>
        <w:tc>
          <w:tcPr>
            <w:tcW w:w="2558" w:type="dxa"/>
          </w:tcPr>
          <w:p w:rsidR="00766DA9" w:rsidRPr="00340E4C" w:rsidRDefault="00766DA9" w:rsidP="00C5248B">
            <w:pPr>
              <w:jc w:val="both"/>
            </w:pPr>
            <w:r w:rsidRPr="00340E4C">
              <w:t>Závazky vůči zahraničí</w:t>
            </w:r>
          </w:p>
        </w:tc>
        <w:tc>
          <w:tcPr>
            <w:tcW w:w="1134" w:type="dxa"/>
          </w:tcPr>
          <w:p w:rsidR="00766DA9" w:rsidRPr="00766DA9" w:rsidRDefault="00766DA9" w:rsidP="00C5248B">
            <w:pPr>
              <w:jc w:val="right"/>
              <w:rPr>
                <w:b/>
                <w:color w:val="0070C0"/>
              </w:rPr>
            </w:pPr>
            <w:r w:rsidRPr="00766DA9">
              <w:rPr>
                <w:b/>
                <w:color w:val="0070C0"/>
              </w:rPr>
              <w:t>4600</w:t>
            </w:r>
          </w:p>
        </w:tc>
        <w:tc>
          <w:tcPr>
            <w:tcW w:w="845" w:type="dxa"/>
          </w:tcPr>
          <w:p w:rsidR="00766DA9" w:rsidRPr="00766DA9" w:rsidRDefault="00766DA9" w:rsidP="00C5248B">
            <w:pPr>
              <w:jc w:val="right"/>
              <w:rPr>
                <w:b/>
                <w:color w:val="FF0000"/>
              </w:rPr>
            </w:pPr>
            <w:r w:rsidRPr="00766DA9">
              <w:rPr>
                <w:b/>
                <w:color w:val="FF0000"/>
              </w:rPr>
              <w:t>5604</w:t>
            </w:r>
          </w:p>
        </w:tc>
      </w:tr>
      <w:tr w:rsidR="00766DA9" w:rsidRPr="00340E4C" w:rsidTr="00766DA9">
        <w:tc>
          <w:tcPr>
            <w:tcW w:w="2405" w:type="dxa"/>
          </w:tcPr>
          <w:p w:rsidR="00766DA9" w:rsidRPr="00340E4C" w:rsidRDefault="00766DA9" w:rsidP="00C5248B">
            <w:pPr>
              <w:jc w:val="both"/>
            </w:pPr>
            <w:r w:rsidRPr="00340E4C">
              <w:t>HM a NHM</w:t>
            </w:r>
          </w:p>
        </w:tc>
        <w:tc>
          <w:tcPr>
            <w:tcW w:w="992" w:type="dxa"/>
          </w:tcPr>
          <w:p w:rsidR="00766DA9" w:rsidRPr="00766DA9" w:rsidRDefault="00766DA9" w:rsidP="00C5248B">
            <w:pPr>
              <w:jc w:val="right"/>
              <w:rPr>
                <w:b/>
                <w:color w:val="0070C0"/>
              </w:rPr>
            </w:pPr>
            <w:r w:rsidRPr="00766DA9">
              <w:rPr>
                <w:b/>
                <w:color w:val="0070C0"/>
              </w:rPr>
              <w:t>5024</w:t>
            </w:r>
          </w:p>
        </w:tc>
        <w:tc>
          <w:tcPr>
            <w:tcW w:w="1128" w:type="dxa"/>
          </w:tcPr>
          <w:p w:rsidR="00766DA9" w:rsidRPr="00766DA9" w:rsidRDefault="00766DA9" w:rsidP="00C5248B">
            <w:pPr>
              <w:jc w:val="right"/>
              <w:rPr>
                <w:b/>
                <w:color w:val="FF0000"/>
              </w:rPr>
            </w:pPr>
            <w:r w:rsidRPr="00766DA9">
              <w:rPr>
                <w:b/>
                <w:color w:val="FF0000"/>
              </w:rPr>
              <w:t>3229</w:t>
            </w:r>
          </w:p>
        </w:tc>
        <w:tc>
          <w:tcPr>
            <w:tcW w:w="2558" w:type="dxa"/>
          </w:tcPr>
          <w:p w:rsidR="00766DA9" w:rsidRPr="00340E4C" w:rsidRDefault="00766DA9" w:rsidP="00766DA9">
            <w:pPr>
              <w:jc w:val="both"/>
            </w:pPr>
            <w:r w:rsidRPr="00340E4C">
              <w:t xml:space="preserve">Závazky vůči tuzemským bankám </w:t>
            </w:r>
          </w:p>
        </w:tc>
        <w:tc>
          <w:tcPr>
            <w:tcW w:w="1134" w:type="dxa"/>
          </w:tcPr>
          <w:p w:rsidR="00766DA9" w:rsidRPr="00766DA9" w:rsidRDefault="00766DA9" w:rsidP="00C5248B">
            <w:pPr>
              <w:jc w:val="right"/>
              <w:rPr>
                <w:b/>
                <w:color w:val="0070C0"/>
              </w:rPr>
            </w:pPr>
            <w:r w:rsidRPr="00766DA9">
              <w:rPr>
                <w:b/>
                <w:color w:val="0070C0"/>
              </w:rPr>
              <w:t>395579</w:t>
            </w:r>
          </w:p>
        </w:tc>
        <w:tc>
          <w:tcPr>
            <w:tcW w:w="845" w:type="dxa"/>
          </w:tcPr>
          <w:p w:rsidR="00766DA9" w:rsidRPr="00766DA9" w:rsidRDefault="00766DA9" w:rsidP="00C5248B">
            <w:pPr>
              <w:jc w:val="right"/>
              <w:rPr>
                <w:b/>
                <w:color w:val="FF0000"/>
              </w:rPr>
            </w:pPr>
            <w:r w:rsidRPr="00766DA9">
              <w:rPr>
                <w:b/>
                <w:color w:val="FF0000"/>
              </w:rPr>
              <w:t>2732384</w:t>
            </w:r>
          </w:p>
        </w:tc>
      </w:tr>
      <w:tr w:rsidR="00766DA9" w:rsidRPr="00340E4C" w:rsidTr="00766DA9">
        <w:tc>
          <w:tcPr>
            <w:tcW w:w="2405" w:type="dxa"/>
            <w:vMerge w:val="restart"/>
          </w:tcPr>
          <w:p w:rsidR="00766DA9" w:rsidRPr="00340E4C" w:rsidRDefault="00766DA9" w:rsidP="00C5248B">
            <w:pPr>
              <w:jc w:val="both"/>
            </w:pPr>
            <w:r w:rsidRPr="00340E4C">
              <w:t>Ostatní aktiva</w:t>
            </w:r>
          </w:p>
        </w:tc>
        <w:tc>
          <w:tcPr>
            <w:tcW w:w="992" w:type="dxa"/>
            <w:vMerge w:val="restart"/>
          </w:tcPr>
          <w:p w:rsidR="00766DA9" w:rsidRPr="00766DA9" w:rsidRDefault="00766DA9" w:rsidP="00C5248B">
            <w:pPr>
              <w:jc w:val="right"/>
              <w:rPr>
                <w:b/>
                <w:color w:val="0070C0"/>
              </w:rPr>
            </w:pPr>
            <w:r w:rsidRPr="00766DA9">
              <w:rPr>
                <w:b/>
                <w:color w:val="0070C0"/>
              </w:rPr>
              <w:t>8881</w:t>
            </w:r>
          </w:p>
        </w:tc>
        <w:tc>
          <w:tcPr>
            <w:tcW w:w="1128" w:type="dxa"/>
            <w:vMerge w:val="restart"/>
          </w:tcPr>
          <w:p w:rsidR="00766DA9" w:rsidRPr="00766DA9" w:rsidRDefault="00766DA9" w:rsidP="00C5248B">
            <w:pPr>
              <w:jc w:val="right"/>
              <w:rPr>
                <w:b/>
                <w:color w:val="FF0000"/>
              </w:rPr>
            </w:pPr>
            <w:r w:rsidRPr="00766DA9">
              <w:rPr>
                <w:b/>
                <w:color w:val="FF0000"/>
              </w:rPr>
              <w:t>10297</w:t>
            </w:r>
          </w:p>
        </w:tc>
        <w:tc>
          <w:tcPr>
            <w:tcW w:w="2558" w:type="dxa"/>
          </w:tcPr>
          <w:p w:rsidR="00766DA9" w:rsidRPr="00340E4C" w:rsidRDefault="00766DA9" w:rsidP="00C5248B">
            <w:pPr>
              <w:jc w:val="both"/>
            </w:pPr>
            <w:r w:rsidRPr="00340E4C">
              <w:t>Závazky vůči státu</w:t>
            </w:r>
          </w:p>
        </w:tc>
        <w:tc>
          <w:tcPr>
            <w:tcW w:w="1134" w:type="dxa"/>
          </w:tcPr>
          <w:p w:rsidR="00766DA9" w:rsidRPr="00766DA9" w:rsidRDefault="00766DA9" w:rsidP="00C5248B">
            <w:pPr>
              <w:jc w:val="right"/>
              <w:rPr>
                <w:b/>
                <w:color w:val="0070C0"/>
              </w:rPr>
            </w:pPr>
            <w:r w:rsidRPr="00766DA9">
              <w:rPr>
                <w:b/>
                <w:color w:val="0070C0"/>
              </w:rPr>
              <w:t>82254</w:t>
            </w:r>
          </w:p>
        </w:tc>
        <w:tc>
          <w:tcPr>
            <w:tcW w:w="845" w:type="dxa"/>
          </w:tcPr>
          <w:p w:rsidR="00766DA9" w:rsidRPr="00766DA9" w:rsidRDefault="00766DA9" w:rsidP="00C5248B">
            <w:pPr>
              <w:jc w:val="right"/>
              <w:rPr>
                <w:b/>
                <w:color w:val="FF0000"/>
              </w:rPr>
            </w:pPr>
            <w:r w:rsidRPr="00766DA9">
              <w:rPr>
                <w:b/>
                <w:color w:val="FF0000"/>
              </w:rPr>
              <w:t>3235</w:t>
            </w:r>
          </w:p>
        </w:tc>
      </w:tr>
      <w:tr w:rsidR="00766DA9" w:rsidRPr="00340E4C" w:rsidTr="00766DA9">
        <w:tc>
          <w:tcPr>
            <w:tcW w:w="2405" w:type="dxa"/>
            <w:vMerge/>
          </w:tcPr>
          <w:p w:rsidR="00766DA9" w:rsidRPr="00340E4C" w:rsidRDefault="00766DA9" w:rsidP="00C5248B">
            <w:pPr>
              <w:jc w:val="both"/>
            </w:pPr>
          </w:p>
        </w:tc>
        <w:tc>
          <w:tcPr>
            <w:tcW w:w="992" w:type="dxa"/>
            <w:vMerge/>
          </w:tcPr>
          <w:p w:rsidR="00766DA9" w:rsidRPr="00766DA9" w:rsidRDefault="00766DA9" w:rsidP="00C5248B">
            <w:pPr>
              <w:jc w:val="right"/>
              <w:rPr>
                <w:b/>
                <w:color w:val="0070C0"/>
              </w:rPr>
            </w:pPr>
          </w:p>
        </w:tc>
        <w:tc>
          <w:tcPr>
            <w:tcW w:w="1128" w:type="dxa"/>
            <w:vMerge/>
          </w:tcPr>
          <w:p w:rsidR="00766DA9" w:rsidRPr="00766DA9" w:rsidRDefault="00766DA9" w:rsidP="00C5248B">
            <w:pPr>
              <w:jc w:val="right"/>
              <w:rPr>
                <w:b/>
                <w:color w:val="FF0000"/>
              </w:rPr>
            </w:pPr>
          </w:p>
        </w:tc>
        <w:tc>
          <w:tcPr>
            <w:tcW w:w="2558" w:type="dxa"/>
          </w:tcPr>
          <w:p w:rsidR="00766DA9" w:rsidRPr="00340E4C" w:rsidRDefault="00766DA9" w:rsidP="00C5248B">
            <w:pPr>
              <w:jc w:val="both"/>
            </w:pPr>
            <w:r w:rsidRPr="00340E4C">
              <w:t>Ostatní pasiva</w:t>
            </w:r>
          </w:p>
        </w:tc>
        <w:tc>
          <w:tcPr>
            <w:tcW w:w="1134" w:type="dxa"/>
          </w:tcPr>
          <w:p w:rsidR="00766DA9" w:rsidRPr="00766DA9" w:rsidRDefault="00766DA9" w:rsidP="00C5248B">
            <w:pPr>
              <w:jc w:val="right"/>
              <w:rPr>
                <w:b/>
                <w:color w:val="0070C0"/>
              </w:rPr>
            </w:pPr>
            <w:r w:rsidRPr="00766DA9">
              <w:rPr>
                <w:b/>
                <w:color w:val="0070C0"/>
              </w:rPr>
              <w:t>7298</w:t>
            </w:r>
          </w:p>
        </w:tc>
        <w:tc>
          <w:tcPr>
            <w:tcW w:w="845" w:type="dxa"/>
          </w:tcPr>
          <w:p w:rsidR="00766DA9" w:rsidRPr="00766DA9" w:rsidRDefault="00766DA9" w:rsidP="00C5248B">
            <w:pPr>
              <w:jc w:val="right"/>
              <w:rPr>
                <w:b/>
                <w:color w:val="FF0000"/>
              </w:rPr>
            </w:pPr>
            <w:r w:rsidRPr="00766DA9">
              <w:rPr>
                <w:b/>
                <w:color w:val="FF0000"/>
              </w:rPr>
              <w:t>8734</w:t>
            </w:r>
          </w:p>
        </w:tc>
      </w:tr>
      <w:tr w:rsidR="00766DA9" w:rsidRPr="00340E4C" w:rsidTr="00766DA9">
        <w:tc>
          <w:tcPr>
            <w:tcW w:w="2405" w:type="dxa"/>
            <w:vMerge/>
          </w:tcPr>
          <w:p w:rsidR="00766DA9" w:rsidRPr="00340E4C" w:rsidRDefault="00766DA9" w:rsidP="00C5248B">
            <w:pPr>
              <w:jc w:val="both"/>
            </w:pPr>
          </w:p>
        </w:tc>
        <w:tc>
          <w:tcPr>
            <w:tcW w:w="992" w:type="dxa"/>
            <w:vMerge/>
          </w:tcPr>
          <w:p w:rsidR="00766DA9" w:rsidRPr="00766DA9" w:rsidRDefault="00766DA9" w:rsidP="00C5248B">
            <w:pPr>
              <w:jc w:val="right"/>
              <w:rPr>
                <w:b/>
                <w:color w:val="0070C0"/>
              </w:rPr>
            </w:pPr>
          </w:p>
        </w:tc>
        <w:tc>
          <w:tcPr>
            <w:tcW w:w="1128" w:type="dxa"/>
            <w:vMerge/>
          </w:tcPr>
          <w:p w:rsidR="00766DA9" w:rsidRPr="00766DA9" w:rsidRDefault="00766DA9" w:rsidP="00C5248B">
            <w:pPr>
              <w:jc w:val="right"/>
              <w:rPr>
                <w:b/>
                <w:color w:val="FF0000"/>
              </w:rPr>
            </w:pPr>
          </w:p>
        </w:tc>
        <w:tc>
          <w:tcPr>
            <w:tcW w:w="2558" w:type="dxa"/>
          </w:tcPr>
          <w:p w:rsidR="00766DA9" w:rsidRPr="00340E4C" w:rsidRDefault="00766DA9" w:rsidP="00C5248B">
            <w:pPr>
              <w:jc w:val="both"/>
            </w:pPr>
            <w:r w:rsidRPr="00340E4C">
              <w:t>Rezervy</w:t>
            </w:r>
          </w:p>
        </w:tc>
        <w:tc>
          <w:tcPr>
            <w:tcW w:w="1134" w:type="dxa"/>
          </w:tcPr>
          <w:p w:rsidR="00766DA9" w:rsidRPr="00766DA9" w:rsidRDefault="00766DA9" w:rsidP="00C5248B">
            <w:pPr>
              <w:jc w:val="right"/>
              <w:rPr>
                <w:b/>
                <w:color w:val="0070C0"/>
              </w:rPr>
            </w:pPr>
            <w:r w:rsidRPr="00766DA9">
              <w:rPr>
                <w:b/>
                <w:color w:val="0070C0"/>
              </w:rPr>
              <w:t>204</w:t>
            </w:r>
          </w:p>
        </w:tc>
        <w:tc>
          <w:tcPr>
            <w:tcW w:w="845" w:type="dxa"/>
          </w:tcPr>
          <w:p w:rsidR="00766DA9" w:rsidRPr="00766DA9" w:rsidRDefault="00766DA9" w:rsidP="00C5248B">
            <w:pPr>
              <w:jc w:val="right"/>
              <w:rPr>
                <w:b/>
                <w:color w:val="FF0000"/>
              </w:rPr>
            </w:pPr>
            <w:r w:rsidRPr="00766DA9">
              <w:rPr>
                <w:b/>
                <w:color w:val="FF0000"/>
              </w:rPr>
              <w:t>258</w:t>
            </w:r>
          </w:p>
        </w:tc>
      </w:tr>
      <w:tr w:rsidR="00766DA9" w:rsidRPr="00340E4C" w:rsidTr="00766DA9">
        <w:tc>
          <w:tcPr>
            <w:tcW w:w="2405" w:type="dxa"/>
            <w:vMerge/>
          </w:tcPr>
          <w:p w:rsidR="00766DA9" w:rsidRPr="00340E4C" w:rsidRDefault="00766DA9" w:rsidP="00C5248B">
            <w:pPr>
              <w:jc w:val="both"/>
            </w:pPr>
          </w:p>
        </w:tc>
        <w:tc>
          <w:tcPr>
            <w:tcW w:w="992" w:type="dxa"/>
            <w:vMerge/>
          </w:tcPr>
          <w:p w:rsidR="00766DA9" w:rsidRPr="00766DA9" w:rsidRDefault="00766DA9" w:rsidP="00C5248B">
            <w:pPr>
              <w:jc w:val="right"/>
              <w:rPr>
                <w:b/>
                <w:color w:val="0070C0"/>
              </w:rPr>
            </w:pPr>
          </w:p>
        </w:tc>
        <w:tc>
          <w:tcPr>
            <w:tcW w:w="1128" w:type="dxa"/>
            <w:vMerge/>
          </w:tcPr>
          <w:p w:rsidR="00766DA9" w:rsidRPr="00766DA9" w:rsidRDefault="00766DA9" w:rsidP="00C5248B">
            <w:pPr>
              <w:jc w:val="right"/>
              <w:rPr>
                <w:b/>
                <w:color w:val="FF0000"/>
              </w:rPr>
            </w:pPr>
          </w:p>
        </w:tc>
        <w:tc>
          <w:tcPr>
            <w:tcW w:w="2558" w:type="dxa"/>
          </w:tcPr>
          <w:p w:rsidR="00766DA9" w:rsidRPr="00340E4C" w:rsidRDefault="00766DA9" w:rsidP="00C5248B">
            <w:pPr>
              <w:jc w:val="both"/>
            </w:pPr>
            <w:r w:rsidRPr="00340E4C">
              <w:t>Základní kapitál</w:t>
            </w:r>
          </w:p>
        </w:tc>
        <w:tc>
          <w:tcPr>
            <w:tcW w:w="1134" w:type="dxa"/>
          </w:tcPr>
          <w:p w:rsidR="00766DA9" w:rsidRPr="00766DA9" w:rsidRDefault="00766DA9" w:rsidP="00C5248B">
            <w:pPr>
              <w:jc w:val="right"/>
              <w:rPr>
                <w:b/>
                <w:color w:val="0070C0"/>
              </w:rPr>
            </w:pPr>
            <w:r w:rsidRPr="00766DA9">
              <w:rPr>
                <w:b/>
                <w:color w:val="0070C0"/>
              </w:rPr>
              <w:t>9464</w:t>
            </w:r>
          </w:p>
        </w:tc>
        <w:tc>
          <w:tcPr>
            <w:tcW w:w="845" w:type="dxa"/>
          </w:tcPr>
          <w:p w:rsidR="00766DA9" w:rsidRPr="00766DA9" w:rsidRDefault="00766DA9" w:rsidP="00C5248B">
            <w:pPr>
              <w:jc w:val="right"/>
              <w:rPr>
                <w:b/>
                <w:color w:val="FF0000"/>
              </w:rPr>
            </w:pPr>
            <w:r w:rsidRPr="00766DA9">
              <w:rPr>
                <w:b/>
                <w:color w:val="FF0000"/>
              </w:rPr>
              <w:t>1400</w:t>
            </w:r>
          </w:p>
        </w:tc>
      </w:tr>
      <w:tr w:rsidR="00766DA9" w:rsidRPr="00340E4C" w:rsidTr="00766DA9">
        <w:tc>
          <w:tcPr>
            <w:tcW w:w="2405" w:type="dxa"/>
            <w:vMerge/>
          </w:tcPr>
          <w:p w:rsidR="00766DA9" w:rsidRPr="00340E4C" w:rsidRDefault="00766DA9" w:rsidP="00C5248B">
            <w:pPr>
              <w:jc w:val="both"/>
            </w:pPr>
          </w:p>
        </w:tc>
        <w:tc>
          <w:tcPr>
            <w:tcW w:w="992" w:type="dxa"/>
            <w:vMerge/>
          </w:tcPr>
          <w:p w:rsidR="00766DA9" w:rsidRPr="00766DA9" w:rsidRDefault="00766DA9" w:rsidP="00C5248B">
            <w:pPr>
              <w:jc w:val="right"/>
              <w:rPr>
                <w:b/>
                <w:color w:val="0070C0"/>
              </w:rPr>
            </w:pPr>
          </w:p>
        </w:tc>
        <w:tc>
          <w:tcPr>
            <w:tcW w:w="1128" w:type="dxa"/>
            <w:vMerge/>
          </w:tcPr>
          <w:p w:rsidR="00766DA9" w:rsidRPr="00766DA9" w:rsidRDefault="00766DA9" w:rsidP="00C5248B">
            <w:pPr>
              <w:jc w:val="right"/>
              <w:rPr>
                <w:b/>
                <w:color w:val="FF0000"/>
              </w:rPr>
            </w:pPr>
          </w:p>
        </w:tc>
        <w:tc>
          <w:tcPr>
            <w:tcW w:w="2558" w:type="dxa"/>
          </w:tcPr>
          <w:p w:rsidR="00766DA9" w:rsidRPr="00340E4C" w:rsidRDefault="00766DA9" w:rsidP="00C5248B">
            <w:pPr>
              <w:jc w:val="both"/>
            </w:pPr>
            <w:r w:rsidRPr="00340E4C">
              <w:t>Oceňovací rozdíly</w:t>
            </w:r>
          </w:p>
        </w:tc>
        <w:tc>
          <w:tcPr>
            <w:tcW w:w="1134" w:type="dxa"/>
          </w:tcPr>
          <w:p w:rsidR="00766DA9" w:rsidRPr="00766DA9" w:rsidRDefault="00766DA9" w:rsidP="00C5248B">
            <w:pPr>
              <w:jc w:val="right"/>
              <w:rPr>
                <w:b/>
                <w:color w:val="0070C0"/>
              </w:rPr>
            </w:pPr>
            <w:r w:rsidRPr="00766DA9">
              <w:rPr>
                <w:b/>
                <w:color w:val="0070C0"/>
              </w:rPr>
              <w:t>12381</w:t>
            </w:r>
          </w:p>
        </w:tc>
        <w:tc>
          <w:tcPr>
            <w:tcW w:w="845" w:type="dxa"/>
          </w:tcPr>
          <w:p w:rsidR="00766DA9" w:rsidRPr="00766DA9" w:rsidRDefault="00766DA9" w:rsidP="00C5248B">
            <w:pPr>
              <w:jc w:val="right"/>
              <w:rPr>
                <w:b/>
                <w:color w:val="FF0000"/>
              </w:rPr>
            </w:pPr>
            <w:r w:rsidRPr="00766DA9">
              <w:rPr>
                <w:b/>
                <w:color w:val="FF0000"/>
              </w:rPr>
              <w:t>3906</w:t>
            </w:r>
          </w:p>
        </w:tc>
      </w:tr>
      <w:tr w:rsidR="00766DA9" w:rsidRPr="00340E4C" w:rsidTr="00766DA9">
        <w:tc>
          <w:tcPr>
            <w:tcW w:w="2405" w:type="dxa"/>
            <w:vMerge/>
          </w:tcPr>
          <w:p w:rsidR="00766DA9" w:rsidRPr="00340E4C" w:rsidRDefault="00766DA9" w:rsidP="00C5248B">
            <w:pPr>
              <w:jc w:val="both"/>
            </w:pPr>
          </w:p>
        </w:tc>
        <w:tc>
          <w:tcPr>
            <w:tcW w:w="992" w:type="dxa"/>
            <w:vMerge/>
          </w:tcPr>
          <w:p w:rsidR="00766DA9" w:rsidRPr="00766DA9" w:rsidRDefault="00766DA9" w:rsidP="00C5248B">
            <w:pPr>
              <w:jc w:val="right"/>
              <w:rPr>
                <w:b/>
                <w:color w:val="0070C0"/>
              </w:rPr>
            </w:pPr>
          </w:p>
        </w:tc>
        <w:tc>
          <w:tcPr>
            <w:tcW w:w="1128" w:type="dxa"/>
            <w:vMerge/>
          </w:tcPr>
          <w:p w:rsidR="00766DA9" w:rsidRPr="00766DA9" w:rsidRDefault="00766DA9" w:rsidP="00C5248B">
            <w:pPr>
              <w:jc w:val="right"/>
              <w:rPr>
                <w:b/>
                <w:color w:val="FF0000"/>
              </w:rPr>
            </w:pPr>
          </w:p>
        </w:tc>
        <w:tc>
          <w:tcPr>
            <w:tcW w:w="2558" w:type="dxa"/>
          </w:tcPr>
          <w:p w:rsidR="00766DA9" w:rsidRPr="00340E4C" w:rsidRDefault="00766DA9" w:rsidP="00C5248B">
            <w:pPr>
              <w:jc w:val="both"/>
            </w:pPr>
            <w:r w:rsidRPr="00340E4C">
              <w:t>Výsledek předchozích období a běžného roku</w:t>
            </w:r>
          </w:p>
        </w:tc>
        <w:tc>
          <w:tcPr>
            <w:tcW w:w="1134" w:type="dxa"/>
          </w:tcPr>
          <w:p w:rsidR="00766DA9" w:rsidRPr="00766DA9" w:rsidRDefault="00766DA9" w:rsidP="00C5248B">
            <w:pPr>
              <w:jc w:val="right"/>
              <w:rPr>
                <w:b/>
                <w:color w:val="0070C0"/>
              </w:rPr>
            </w:pPr>
            <w:r w:rsidRPr="00766DA9">
              <w:rPr>
                <w:b/>
                <w:color w:val="0070C0"/>
              </w:rPr>
              <w:t>-186283</w:t>
            </w:r>
          </w:p>
        </w:tc>
        <w:tc>
          <w:tcPr>
            <w:tcW w:w="845" w:type="dxa"/>
          </w:tcPr>
          <w:p w:rsidR="00766DA9" w:rsidRPr="00766DA9" w:rsidRDefault="00766DA9" w:rsidP="00C5248B">
            <w:pPr>
              <w:jc w:val="right"/>
              <w:rPr>
                <w:b/>
                <w:color w:val="FF0000"/>
              </w:rPr>
            </w:pPr>
            <w:r w:rsidRPr="00766DA9">
              <w:rPr>
                <w:b/>
                <w:color w:val="FF0000"/>
              </w:rPr>
              <w:t>-187115</w:t>
            </w:r>
          </w:p>
        </w:tc>
      </w:tr>
      <w:tr w:rsidR="00766DA9" w:rsidRPr="00340E4C" w:rsidTr="00766DA9">
        <w:tc>
          <w:tcPr>
            <w:tcW w:w="2405" w:type="dxa"/>
          </w:tcPr>
          <w:p w:rsidR="00766DA9" w:rsidRPr="00340E4C" w:rsidRDefault="00766DA9" w:rsidP="00C5248B">
            <w:pPr>
              <w:jc w:val="both"/>
            </w:pPr>
            <w:r w:rsidRPr="00340E4C">
              <w:t>Celkem</w:t>
            </w:r>
          </w:p>
        </w:tc>
        <w:tc>
          <w:tcPr>
            <w:tcW w:w="992" w:type="dxa"/>
          </w:tcPr>
          <w:p w:rsidR="00766DA9" w:rsidRPr="00766DA9" w:rsidRDefault="00766DA9" w:rsidP="00C5248B">
            <w:pPr>
              <w:jc w:val="right"/>
              <w:rPr>
                <w:b/>
                <w:color w:val="0070C0"/>
              </w:rPr>
            </w:pPr>
            <w:r w:rsidRPr="00766DA9">
              <w:rPr>
                <w:b/>
                <w:color w:val="0070C0"/>
              </w:rPr>
              <w:fldChar w:fldCharType="begin"/>
            </w:r>
            <w:r w:rsidRPr="00766DA9">
              <w:rPr>
                <w:b/>
                <w:color w:val="0070C0"/>
              </w:rPr>
              <w:instrText xml:space="preserve"> =SUM(ABOVE) </w:instrText>
            </w:r>
            <w:r w:rsidRPr="00766DA9">
              <w:rPr>
                <w:b/>
                <w:color w:val="0070C0"/>
              </w:rPr>
              <w:fldChar w:fldCharType="separate"/>
            </w:r>
            <w:r w:rsidRPr="00766DA9">
              <w:rPr>
                <w:b/>
                <w:noProof/>
                <w:color w:val="0070C0"/>
              </w:rPr>
              <w:t>725654</w:t>
            </w:r>
            <w:r w:rsidRPr="00766DA9">
              <w:rPr>
                <w:b/>
                <w:color w:val="0070C0"/>
              </w:rPr>
              <w:fldChar w:fldCharType="end"/>
            </w:r>
          </w:p>
        </w:tc>
        <w:tc>
          <w:tcPr>
            <w:tcW w:w="1128" w:type="dxa"/>
          </w:tcPr>
          <w:p w:rsidR="00766DA9" w:rsidRPr="00766DA9" w:rsidRDefault="00766DA9" w:rsidP="00C5248B">
            <w:pPr>
              <w:jc w:val="right"/>
              <w:rPr>
                <w:b/>
                <w:color w:val="FF0000"/>
              </w:rPr>
            </w:pPr>
            <w:r w:rsidRPr="00766DA9">
              <w:rPr>
                <w:b/>
                <w:color w:val="FF0000"/>
              </w:rPr>
              <w:fldChar w:fldCharType="begin"/>
            </w:r>
            <w:r w:rsidRPr="00766DA9">
              <w:rPr>
                <w:b/>
                <w:color w:val="FF0000"/>
              </w:rPr>
              <w:instrText xml:space="preserve"> =SUM(ABOVE) </w:instrText>
            </w:r>
            <w:r w:rsidRPr="00766DA9">
              <w:rPr>
                <w:b/>
                <w:color w:val="FF0000"/>
              </w:rPr>
              <w:fldChar w:fldCharType="separate"/>
            </w:r>
            <w:r w:rsidRPr="00766DA9">
              <w:rPr>
                <w:b/>
                <w:noProof/>
                <w:color w:val="FF0000"/>
              </w:rPr>
              <w:t>3289637</w:t>
            </w:r>
            <w:r w:rsidRPr="00766DA9">
              <w:rPr>
                <w:b/>
                <w:color w:val="FF0000"/>
              </w:rPr>
              <w:fldChar w:fldCharType="end"/>
            </w:r>
          </w:p>
        </w:tc>
        <w:tc>
          <w:tcPr>
            <w:tcW w:w="2558" w:type="dxa"/>
          </w:tcPr>
          <w:p w:rsidR="00766DA9" w:rsidRPr="00340E4C" w:rsidRDefault="00766DA9" w:rsidP="00C5248B">
            <w:pPr>
              <w:jc w:val="both"/>
            </w:pPr>
            <w:r w:rsidRPr="00340E4C">
              <w:t>Celkem</w:t>
            </w:r>
          </w:p>
        </w:tc>
        <w:tc>
          <w:tcPr>
            <w:tcW w:w="1134" w:type="dxa"/>
          </w:tcPr>
          <w:p w:rsidR="00766DA9" w:rsidRPr="00766DA9" w:rsidRDefault="00766DA9" w:rsidP="00C5248B">
            <w:pPr>
              <w:jc w:val="right"/>
              <w:rPr>
                <w:b/>
                <w:color w:val="0070C0"/>
              </w:rPr>
            </w:pPr>
            <w:r w:rsidRPr="00766DA9">
              <w:rPr>
                <w:b/>
                <w:color w:val="0070C0"/>
              </w:rPr>
              <w:fldChar w:fldCharType="begin"/>
            </w:r>
            <w:r w:rsidRPr="00766DA9">
              <w:rPr>
                <w:b/>
                <w:color w:val="0070C0"/>
              </w:rPr>
              <w:instrText xml:space="preserve"> =SUM(ABOVE) </w:instrText>
            </w:r>
            <w:r w:rsidRPr="00766DA9">
              <w:rPr>
                <w:b/>
                <w:color w:val="0070C0"/>
              </w:rPr>
              <w:fldChar w:fldCharType="separate"/>
            </w:r>
            <w:r w:rsidRPr="00766DA9">
              <w:rPr>
                <w:b/>
                <w:noProof/>
                <w:color w:val="0070C0"/>
              </w:rPr>
              <w:t>725654</w:t>
            </w:r>
            <w:r w:rsidRPr="00766DA9">
              <w:rPr>
                <w:b/>
                <w:color w:val="0070C0"/>
              </w:rPr>
              <w:fldChar w:fldCharType="end"/>
            </w:r>
          </w:p>
        </w:tc>
        <w:tc>
          <w:tcPr>
            <w:tcW w:w="845" w:type="dxa"/>
          </w:tcPr>
          <w:p w:rsidR="00766DA9" w:rsidRPr="00766DA9" w:rsidRDefault="00766DA9" w:rsidP="00C5248B">
            <w:pPr>
              <w:jc w:val="right"/>
              <w:rPr>
                <w:b/>
                <w:color w:val="FF0000"/>
              </w:rPr>
            </w:pPr>
            <w:r w:rsidRPr="00766DA9">
              <w:rPr>
                <w:b/>
                <w:color w:val="FF0000"/>
              </w:rPr>
              <w:t>3289637</w:t>
            </w:r>
          </w:p>
        </w:tc>
      </w:tr>
    </w:tbl>
    <w:p w:rsidR="00480B03" w:rsidRPr="00340E4C" w:rsidRDefault="00B84467" w:rsidP="00480B03">
      <w:pPr>
        <w:jc w:val="both"/>
      </w:pPr>
      <w:r w:rsidRPr="00340E4C">
        <w:t xml:space="preserve">Pramen: </w:t>
      </w:r>
      <w:hyperlink r:id="rId101" w:history="1">
        <w:r w:rsidRPr="00340E4C">
          <w:rPr>
            <w:rStyle w:val="Hyperlink"/>
          </w:rPr>
          <w:t>www.cnb.cz</w:t>
        </w:r>
      </w:hyperlink>
    </w:p>
    <w:p w:rsidR="00B84467" w:rsidRPr="00340E4C" w:rsidRDefault="00B84467" w:rsidP="00480B03">
      <w:pPr>
        <w:jc w:val="both"/>
      </w:pPr>
    </w:p>
    <w:p w:rsidR="00480B03" w:rsidRPr="00340E4C" w:rsidRDefault="00766DA9" w:rsidP="00480B03">
      <w:pPr>
        <w:jc w:val="both"/>
      </w:pPr>
      <w:r>
        <w:t>V</w:t>
      </w:r>
      <w:r w:rsidR="00B84467" w:rsidRPr="00340E4C">
        <w:t>ýsledovk</w:t>
      </w:r>
      <w:r>
        <w:t>a</w:t>
      </w:r>
      <w:r w:rsidR="00B84467" w:rsidRPr="00340E4C">
        <w:t xml:space="preserve"> ČNB, částky v mil. CZK: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8"/>
        <w:gridCol w:w="1842"/>
        <w:gridCol w:w="1842"/>
      </w:tblGrid>
      <w:tr w:rsidR="00766DA9" w:rsidRPr="00340E4C" w:rsidTr="00766DA9">
        <w:tc>
          <w:tcPr>
            <w:tcW w:w="5378" w:type="dxa"/>
          </w:tcPr>
          <w:p w:rsidR="00766DA9" w:rsidRPr="00340E4C" w:rsidRDefault="00766DA9" w:rsidP="00C5248B">
            <w:pPr>
              <w:jc w:val="center"/>
            </w:pPr>
            <w:r w:rsidRPr="00340E4C">
              <w:t>Položka</w:t>
            </w:r>
          </w:p>
        </w:tc>
        <w:tc>
          <w:tcPr>
            <w:tcW w:w="1842" w:type="dxa"/>
          </w:tcPr>
          <w:p w:rsidR="00766DA9" w:rsidRPr="00340E4C" w:rsidRDefault="00766DA9" w:rsidP="00C5248B">
            <w:pPr>
              <w:jc w:val="center"/>
            </w:pPr>
            <w:r>
              <w:t>2008</w:t>
            </w:r>
          </w:p>
        </w:tc>
        <w:tc>
          <w:tcPr>
            <w:tcW w:w="1842" w:type="dxa"/>
          </w:tcPr>
          <w:p w:rsidR="00766DA9" w:rsidRPr="00340E4C" w:rsidRDefault="001F7081" w:rsidP="001F7081">
            <w:pPr>
              <w:jc w:val="center"/>
            </w:pPr>
            <w:r>
              <w:t>2017</w:t>
            </w:r>
          </w:p>
        </w:tc>
      </w:tr>
      <w:tr w:rsidR="00766DA9" w:rsidRPr="00340E4C" w:rsidTr="00766DA9">
        <w:tc>
          <w:tcPr>
            <w:tcW w:w="5378" w:type="dxa"/>
          </w:tcPr>
          <w:p w:rsidR="00766DA9" w:rsidRPr="00340E4C" w:rsidRDefault="00766DA9" w:rsidP="00C5248B">
            <w:pPr>
              <w:jc w:val="both"/>
            </w:pPr>
            <w:r w:rsidRPr="00340E4C">
              <w:t>Výnosy z úroků a podobné výnosy</w:t>
            </w:r>
          </w:p>
        </w:tc>
        <w:tc>
          <w:tcPr>
            <w:tcW w:w="1842" w:type="dxa"/>
          </w:tcPr>
          <w:p w:rsidR="00766DA9" w:rsidRPr="00340E4C" w:rsidRDefault="00766DA9" w:rsidP="00C5248B">
            <w:pPr>
              <w:jc w:val="right"/>
            </w:pPr>
            <w:r w:rsidRPr="00340E4C">
              <w:t>26665</w:t>
            </w:r>
          </w:p>
        </w:tc>
        <w:tc>
          <w:tcPr>
            <w:tcW w:w="1842" w:type="dxa"/>
          </w:tcPr>
          <w:p w:rsidR="00766DA9" w:rsidRPr="00340E4C" w:rsidRDefault="001F7081" w:rsidP="00C5248B">
            <w:pPr>
              <w:jc w:val="right"/>
            </w:pPr>
            <w:r>
              <w:t>14457</w:t>
            </w:r>
          </w:p>
        </w:tc>
      </w:tr>
      <w:tr w:rsidR="00766DA9" w:rsidRPr="00340E4C" w:rsidTr="00766DA9">
        <w:tc>
          <w:tcPr>
            <w:tcW w:w="5378" w:type="dxa"/>
          </w:tcPr>
          <w:p w:rsidR="00766DA9" w:rsidRPr="00340E4C" w:rsidRDefault="00766DA9" w:rsidP="00C5248B">
            <w:pPr>
              <w:jc w:val="both"/>
            </w:pPr>
            <w:r w:rsidRPr="00340E4C">
              <w:t>Náklady na úroky a podobné náklady</w:t>
            </w:r>
          </w:p>
        </w:tc>
        <w:tc>
          <w:tcPr>
            <w:tcW w:w="1842" w:type="dxa"/>
          </w:tcPr>
          <w:p w:rsidR="00766DA9" w:rsidRPr="00340E4C" w:rsidRDefault="00766DA9" w:rsidP="00C5248B">
            <w:pPr>
              <w:jc w:val="right"/>
            </w:pPr>
            <w:r w:rsidRPr="00340E4C">
              <w:t>-16836</w:t>
            </w:r>
          </w:p>
        </w:tc>
        <w:tc>
          <w:tcPr>
            <w:tcW w:w="1842" w:type="dxa"/>
          </w:tcPr>
          <w:p w:rsidR="00766DA9" w:rsidRPr="00340E4C" w:rsidRDefault="001F7081" w:rsidP="00C5248B">
            <w:pPr>
              <w:jc w:val="right"/>
            </w:pPr>
            <w:r>
              <w:t>-13843</w:t>
            </w:r>
          </w:p>
        </w:tc>
      </w:tr>
      <w:tr w:rsidR="00766DA9" w:rsidRPr="00340E4C" w:rsidTr="00766DA9">
        <w:tc>
          <w:tcPr>
            <w:tcW w:w="5378" w:type="dxa"/>
          </w:tcPr>
          <w:p w:rsidR="00766DA9" w:rsidRPr="00340E4C" w:rsidRDefault="00766DA9" w:rsidP="00C5248B">
            <w:pPr>
              <w:jc w:val="both"/>
            </w:pPr>
            <w:r w:rsidRPr="00340E4C">
              <w:t>Zisk nebo ztráta z finančních operací</w:t>
            </w:r>
          </w:p>
        </w:tc>
        <w:tc>
          <w:tcPr>
            <w:tcW w:w="1842" w:type="dxa"/>
          </w:tcPr>
          <w:p w:rsidR="00766DA9" w:rsidRPr="00340E4C" w:rsidRDefault="00766DA9" w:rsidP="00C5248B">
            <w:pPr>
              <w:jc w:val="right"/>
            </w:pPr>
            <w:r w:rsidRPr="00340E4C">
              <w:t>21445</w:t>
            </w:r>
          </w:p>
        </w:tc>
        <w:tc>
          <w:tcPr>
            <w:tcW w:w="1842" w:type="dxa"/>
          </w:tcPr>
          <w:p w:rsidR="00766DA9" w:rsidRPr="00340E4C" w:rsidRDefault="001F7081" w:rsidP="00C5248B">
            <w:pPr>
              <w:jc w:val="right"/>
            </w:pPr>
            <w:r>
              <w:t>-249789</w:t>
            </w:r>
          </w:p>
        </w:tc>
      </w:tr>
      <w:tr w:rsidR="00766DA9" w:rsidRPr="00340E4C" w:rsidTr="00766DA9">
        <w:tc>
          <w:tcPr>
            <w:tcW w:w="5378" w:type="dxa"/>
          </w:tcPr>
          <w:p w:rsidR="00766DA9" w:rsidRPr="00340E4C" w:rsidRDefault="00766DA9" w:rsidP="00C5248B">
            <w:pPr>
              <w:jc w:val="both"/>
            </w:pPr>
            <w:r w:rsidRPr="00340E4C">
              <w:t>Ostatní provozní výnosy</w:t>
            </w:r>
          </w:p>
        </w:tc>
        <w:tc>
          <w:tcPr>
            <w:tcW w:w="1842" w:type="dxa"/>
          </w:tcPr>
          <w:p w:rsidR="00766DA9" w:rsidRPr="00340E4C" w:rsidRDefault="00766DA9" w:rsidP="00C5248B">
            <w:pPr>
              <w:jc w:val="right"/>
            </w:pPr>
            <w:r w:rsidRPr="00340E4C">
              <w:t>299</w:t>
            </w:r>
          </w:p>
        </w:tc>
        <w:tc>
          <w:tcPr>
            <w:tcW w:w="1842" w:type="dxa"/>
          </w:tcPr>
          <w:p w:rsidR="00766DA9" w:rsidRPr="00340E4C" w:rsidRDefault="001F7081" w:rsidP="00C5248B">
            <w:pPr>
              <w:jc w:val="right"/>
            </w:pPr>
            <w:r>
              <w:t>1367</w:t>
            </w:r>
          </w:p>
        </w:tc>
      </w:tr>
      <w:tr w:rsidR="00766DA9" w:rsidRPr="00340E4C" w:rsidTr="00766DA9">
        <w:tc>
          <w:tcPr>
            <w:tcW w:w="5378" w:type="dxa"/>
          </w:tcPr>
          <w:p w:rsidR="00766DA9" w:rsidRPr="00340E4C" w:rsidRDefault="00766DA9" w:rsidP="00C5248B">
            <w:pPr>
              <w:jc w:val="both"/>
            </w:pPr>
            <w:r w:rsidRPr="00340E4C">
              <w:t>Ostatní provozní náklady</w:t>
            </w:r>
          </w:p>
        </w:tc>
        <w:tc>
          <w:tcPr>
            <w:tcW w:w="1842" w:type="dxa"/>
          </w:tcPr>
          <w:p w:rsidR="00766DA9" w:rsidRPr="00340E4C" w:rsidRDefault="00766DA9" w:rsidP="00C5248B">
            <w:pPr>
              <w:jc w:val="right"/>
            </w:pPr>
            <w:r w:rsidRPr="00340E4C">
              <w:t>-432</w:t>
            </w:r>
          </w:p>
        </w:tc>
        <w:tc>
          <w:tcPr>
            <w:tcW w:w="1842" w:type="dxa"/>
          </w:tcPr>
          <w:p w:rsidR="00766DA9" w:rsidRPr="00340E4C" w:rsidRDefault="001F7081" w:rsidP="00C5248B">
            <w:pPr>
              <w:jc w:val="right"/>
            </w:pPr>
            <w:r>
              <w:t>-579</w:t>
            </w:r>
          </w:p>
        </w:tc>
      </w:tr>
      <w:tr w:rsidR="00766DA9" w:rsidRPr="00340E4C" w:rsidTr="00766DA9">
        <w:tc>
          <w:tcPr>
            <w:tcW w:w="5378" w:type="dxa"/>
          </w:tcPr>
          <w:p w:rsidR="00766DA9" w:rsidRPr="00340E4C" w:rsidRDefault="00766DA9" w:rsidP="00C5248B">
            <w:pPr>
              <w:jc w:val="both"/>
            </w:pPr>
            <w:r w:rsidRPr="00340E4C">
              <w:t>Správní náklady</w:t>
            </w:r>
          </w:p>
        </w:tc>
        <w:tc>
          <w:tcPr>
            <w:tcW w:w="1842" w:type="dxa"/>
          </w:tcPr>
          <w:p w:rsidR="00766DA9" w:rsidRPr="00340E4C" w:rsidRDefault="00766DA9" w:rsidP="00C5248B">
            <w:pPr>
              <w:jc w:val="right"/>
            </w:pPr>
            <w:r w:rsidRPr="00340E4C">
              <w:t>-1582</w:t>
            </w:r>
          </w:p>
        </w:tc>
        <w:tc>
          <w:tcPr>
            <w:tcW w:w="1842" w:type="dxa"/>
          </w:tcPr>
          <w:p w:rsidR="00766DA9" w:rsidRPr="00340E4C" w:rsidRDefault="001F7081" w:rsidP="00C5248B">
            <w:pPr>
              <w:jc w:val="right"/>
            </w:pPr>
            <w:r>
              <w:t>-1819</w:t>
            </w:r>
          </w:p>
        </w:tc>
      </w:tr>
      <w:tr w:rsidR="00766DA9" w:rsidRPr="00340E4C" w:rsidTr="00766DA9">
        <w:tc>
          <w:tcPr>
            <w:tcW w:w="5378" w:type="dxa"/>
          </w:tcPr>
          <w:p w:rsidR="00766DA9" w:rsidRPr="00340E4C" w:rsidRDefault="00766DA9" w:rsidP="001F7081">
            <w:pPr>
              <w:jc w:val="both"/>
            </w:pPr>
            <w:r w:rsidRPr="00340E4C">
              <w:t>O</w:t>
            </w:r>
            <w:r w:rsidR="001F7081">
              <w:t>statní náklady</w:t>
            </w:r>
          </w:p>
        </w:tc>
        <w:tc>
          <w:tcPr>
            <w:tcW w:w="1842" w:type="dxa"/>
          </w:tcPr>
          <w:p w:rsidR="00766DA9" w:rsidRPr="00340E4C" w:rsidRDefault="00766DA9" w:rsidP="00C5248B">
            <w:pPr>
              <w:jc w:val="right"/>
            </w:pPr>
            <w:r w:rsidRPr="00340E4C">
              <w:t>-433</w:t>
            </w:r>
          </w:p>
        </w:tc>
        <w:tc>
          <w:tcPr>
            <w:tcW w:w="1842" w:type="dxa"/>
          </w:tcPr>
          <w:p w:rsidR="00766DA9" w:rsidRPr="00340E4C" w:rsidRDefault="001F7081" w:rsidP="00C5248B">
            <w:pPr>
              <w:jc w:val="right"/>
            </w:pPr>
            <w:r>
              <w:t>0</w:t>
            </w:r>
          </w:p>
        </w:tc>
      </w:tr>
      <w:tr w:rsidR="00766DA9" w:rsidRPr="00340E4C" w:rsidTr="00766DA9">
        <w:tc>
          <w:tcPr>
            <w:tcW w:w="5378" w:type="dxa"/>
          </w:tcPr>
          <w:p w:rsidR="00766DA9" w:rsidRPr="00340E4C" w:rsidRDefault="00766DA9" w:rsidP="00C5248B">
            <w:pPr>
              <w:jc w:val="both"/>
            </w:pPr>
            <w:r w:rsidRPr="00340E4C">
              <w:t>Rozpuštění opravných položek</w:t>
            </w:r>
          </w:p>
        </w:tc>
        <w:tc>
          <w:tcPr>
            <w:tcW w:w="1842" w:type="dxa"/>
          </w:tcPr>
          <w:p w:rsidR="00766DA9" w:rsidRPr="00340E4C" w:rsidRDefault="00766DA9" w:rsidP="00C5248B">
            <w:pPr>
              <w:jc w:val="right"/>
            </w:pPr>
            <w:r w:rsidRPr="00340E4C">
              <w:t>1110</w:t>
            </w:r>
          </w:p>
        </w:tc>
        <w:tc>
          <w:tcPr>
            <w:tcW w:w="1842" w:type="dxa"/>
          </w:tcPr>
          <w:p w:rsidR="00766DA9" w:rsidRPr="00340E4C" w:rsidRDefault="001F7081" w:rsidP="00C5248B">
            <w:pPr>
              <w:jc w:val="right"/>
            </w:pPr>
            <w:r>
              <w:t>6</w:t>
            </w:r>
          </w:p>
        </w:tc>
      </w:tr>
      <w:tr w:rsidR="00766DA9" w:rsidRPr="00340E4C" w:rsidTr="00766DA9">
        <w:tc>
          <w:tcPr>
            <w:tcW w:w="5378" w:type="dxa"/>
          </w:tcPr>
          <w:p w:rsidR="00766DA9" w:rsidRPr="00340E4C" w:rsidRDefault="00766DA9" w:rsidP="00C5248B">
            <w:pPr>
              <w:jc w:val="both"/>
            </w:pPr>
            <w:r w:rsidRPr="00340E4C">
              <w:t>Odpisy</w:t>
            </w:r>
          </w:p>
        </w:tc>
        <w:tc>
          <w:tcPr>
            <w:tcW w:w="1842" w:type="dxa"/>
          </w:tcPr>
          <w:p w:rsidR="00766DA9" w:rsidRPr="00340E4C" w:rsidRDefault="00766DA9" w:rsidP="00C5248B">
            <w:pPr>
              <w:jc w:val="right"/>
            </w:pPr>
            <w:r w:rsidRPr="00340E4C">
              <w:t>-1108</w:t>
            </w:r>
          </w:p>
        </w:tc>
        <w:tc>
          <w:tcPr>
            <w:tcW w:w="1842" w:type="dxa"/>
          </w:tcPr>
          <w:p w:rsidR="00766DA9" w:rsidRPr="00340E4C" w:rsidRDefault="001F7081" w:rsidP="00C5248B">
            <w:pPr>
              <w:jc w:val="right"/>
            </w:pPr>
            <w:r>
              <w:t>-238</w:t>
            </w:r>
          </w:p>
        </w:tc>
      </w:tr>
      <w:tr w:rsidR="00766DA9" w:rsidRPr="00340E4C" w:rsidTr="00766DA9">
        <w:tc>
          <w:tcPr>
            <w:tcW w:w="5378" w:type="dxa"/>
          </w:tcPr>
          <w:p w:rsidR="00766DA9" w:rsidRPr="00340E4C" w:rsidRDefault="00766DA9" w:rsidP="00C5248B">
            <w:pPr>
              <w:jc w:val="both"/>
            </w:pPr>
            <w:r w:rsidRPr="00340E4C">
              <w:t>Výsledek hospodaření</w:t>
            </w:r>
          </w:p>
        </w:tc>
        <w:tc>
          <w:tcPr>
            <w:tcW w:w="1842" w:type="dxa"/>
          </w:tcPr>
          <w:p w:rsidR="00766DA9" w:rsidRPr="00340E4C" w:rsidRDefault="00766DA9" w:rsidP="00C5248B">
            <w:pPr>
              <w:jc w:val="right"/>
            </w:pPr>
            <w:r w:rsidRPr="00340E4C">
              <w:fldChar w:fldCharType="begin"/>
            </w:r>
            <w:r w:rsidRPr="00340E4C">
              <w:instrText xml:space="preserve"> =SUM(ABOVE) </w:instrText>
            </w:r>
            <w:r w:rsidRPr="00340E4C">
              <w:fldChar w:fldCharType="separate"/>
            </w:r>
            <w:r w:rsidRPr="00340E4C">
              <w:rPr>
                <w:noProof/>
              </w:rPr>
              <w:t>29128</w:t>
            </w:r>
            <w:r w:rsidRPr="00340E4C">
              <w:fldChar w:fldCharType="end"/>
            </w:r>
          </w:p>
        </w:tc>
        <w:tc>
          <w:tcPr>
            <w:tcW w:w="1842" w:type="dxa"/>
          </w:tcPr>
          <w:p w:rsidR="00766DA9" w:rsidRPr="00340E4C" w:rsidRDefault="001F7081" w:rsidP="00C5248B">
            <w:pPr>
              <w:jc w:val="right"/>
            </w:pPr>
            <w:r>
              <w:fldChar w:fldCharType="begin"/>
            </w:r>
            <w:r>
              <w:instrText xml:space="preserve"> =SUM(ABOVE) </w:instrText>
            </w:r>
            <w:r>
              <w:fldChar w:fldCharType="separate"/>
            </w:r>
            <w:r>
              <w:rPr>
                <w:noProof/>
              </w:rPr>
              <w:t>-250438</w:t>
            </w:r>
            <w:r>
              <w:fldChar w:fldCharType="end"/>
            </w:r>
          </w:p>
        </w:tc>
      </w:tr>
    </w:tbl>
    <w:p w:rsidR="00F437FC" w:rsidRPr="00340E4C" w:rsidRDefault="00B84467" w:rsidP="00480B03">
      <w:pPr>
        <w:jc w:val="both"/>
      </w:pPr>
      <w:r w:rsidRPr="00340E4C">
        <w:t xml:space="preserve">Pramen: </w:t>
      </w:r>
      <w:hyperlink r:id="rId102" w:history="1">
        <w:r w:rsidRPr="00340E4C">
          <w:rPr>
            <w:rStyle w:val="Hyperlink"/>
          </w:rPr>
          <w:t>www.cnb.cz</w:t>
        </w:r>
      </w:hyperlink>
    </w:p>
    <w:p w:rsidR="00734785" w:rsidRPr="00340E4C" w:rsidRDefault="00734785">
      <w:pPr>
        <w:jc w:val="both"/>
      </w:pPr>
    </w:p>
    <w:p w:rsidR="00783598" w:rsidRPr="001F7081" w:rsidRDefault="00783598">
      <w:pPr>
        <w:jc w:val="both"/>
        <w:rPr>
          <w:b/>
          <w:i/>
          <w:sz w:val="28"/>
          <w:u w:val="single"/>
        </w:rPr>
      </w:pPr>
      <w:r w:rsidRPr="001F7081">
        <w:rPr>
          <w:b/>
          <w:i/>
          <w:sz w:val="28"/>
          <w:u w:val="single"/>
        </w:rPr>
        <w:t>Peníze vytvářejí i komerční banky:</w:t>
      </w:r>
    </w:p>
    <w:p w:rsidR="00783598" w:rsidRPr="00340E4C" w:rsidRDefault="00783598">
      <w:pPr>
        <w:jc w:val="both"/>
      </w:pPr>
      <w:r w:rsidRPr="00340E4C">
        <w:t>Předpokládáme, že lidé drží 20% jako oběživo a 80% jako vklady na bankovních účtech. Komerční banky udržují 10% vkladů jako rezervy.</w:t>
      </w:r>
    </w:p>
    <w:p w:rsidR="00783598" w:rsidRPr="00340E4C" w:rsidRDefault="00783598">
      <w:pPr>
        <w:jc w:val="both"/>
      </w:pPr>
      <w:r w:rsidRPr="00340E4C">
        <w:t xml:space="preserve">Centrální banka nakoupí od Banky 1 vládní </w:t>
      </w:r>
      <w:r w:rsidR="001F7081">
        <w:t xml:space="preserve">(nebo nějaké jiné) </w:t>
      </w:r>
      <w:r w:rsidRPr="00340E4C">
        <w:t>dluhopisy na 1 mld Kč. Objem likvidních peněz Banky 1 se zvýší o 1 mld.. Banka 1 tuto 1 mld poskytne jako půjčku. Příjemce půjčky peníze vyplatí za nějakou dodávku. Dělníci dostanou peníze ve mzdách a rozdělí je podle předpokladu na 200 mil. v hotovosti a 800 mil. uloží do banky. Z 800 mil. vkladů musí banka odvést 80 mil.do povinných rezerv. Zbývajících 720 mil. banka opět půjčí, příjemci půjček je opět utratí atd. Takto proces pokračuje až do svého vyčerpání.</w:t>
      </w:r>
    </w:p>
    <w:p w:rsidR="00783598" w:rsidRPr="00340E4C" w:rsidRDefault="00783598">
      <w:pPr>
        <w:jc w:val="both"/>
      </w:pPr>
      <w:r w:rsidRPr="00340E4C">
        <w:t>Výsledkem je přírůstek oběživa o    712 mil.Kč</w:t>
      </w:r>
    </w:p>
    <w:p w:rsidR="00783598" w:rsidRPr="00340E4C" w:rsidRDefault="00783598">
      <w:pPr>
        <w:jc w:val="both"/>
      </w:pPr>
      <w:r w:rsidRPr="00340E4C">
        <w:tab/>
      </w:r>
      <w:r w:rsidRPr="00340E4C">
        <w:tab/>
        <w:t xml:space="preserve">              vkladů   o 2.857 mil.Kč</w:t>
      </w:r>
    </w:p>
    <w:p w:rsidR="00783598" w:rsidRPr="00340E4C" w:rsidRDefault="00783598">
      <w:pPr>
        <w:jc w:val="both"/>
      </w:pPr>
      <w:r w:rsidRPr="00340E4C">
        <w:tab/>
      </w:r>
      <w:r w:rsidRPr="00340E4C">
        <w:tab/>
        <w:t xml:space="preserve">              rezerv o       285 mil.Kč.</w:t>
      </w:r>
    </w:p>
    <w:p w:rsidR="00783598" w:rsidRPr="00340E4C" w:rsidRDefault="00783598">
      <w:pPr>
        <w:jc w:val="both"/>
      </w:pPr>
      <w:r w:rsidRPr="00340E4C">
        <w:t>Peněžní zásoba M se celkově zvýší o 3,5 mld., ačkoli centrální banka dala do oběhu pouze 1 mld.Kč. Tuto vloženou jednu miliardu nazýváme peněžní báze M</w:t>
      </w:r>
      <w:r w:rsidRPr="00340E4C">
        <w:rPr>
          <w:vertAlign w:val="subscript"/>
        </w:rPr>
        <w:t>B</w:t>
      </w:r>
      <w:r w:rsidRPr="00340E4C">
        <w:t xml:space="preserve"> . </w:t>
      </w:r>
    </w:p>
    <w:p w:rsidR="00783598" w:rsidRPr="00340E4C" w:rsidRDefault="00783598">
      <w:pPr>
        <w:jc w:val="both"/>
      </w:pPr>
      <w:r w:rsidRPr="00340E4C">
        <w:lastRenderedPageBreak/>
        <w:t xml:space="preserve">Zobecníme-li: </w:t>
      </w:r>
    </w:p>
    <w:p w:rsidR="00783598" w:rsidRPr="00340E4C" w:rsidRDefault="00783598">
      <w:pPr>
        <w:jc w:val="both"/>
      </w:pPr>
      <w:r w:rsidRPr="00340E4C">
        <w:t xml:space="preserve">- peněžní báze je suma oběživa a bankovních rezerv </w:t>
      </w:r>
      <w:r w:rsidRPr="00340E4C">
        <w:rPr>
          <w:position w:val="-10"/>
        </w:rPr>
        <w:object w:dxaOrig="1359" w:dyaOrig="340">
          <v:shape id="_x0000_i1062" type="#_x0000_t75" style="width:67.5pt;height:18.75pt" o:ole="">
            <v:imagedata r:id="rId103" o:title=""/>
          </v:shape>
          <o:OLEObject Type="Embed" ProgID="Equation.3" ShapeID="_x0000_i1062" DrawAspect="Content" ObjectID="_1674728808" r:id="rId104"/>
        </w:object>
      </w:r>
    </w:p>
    <w:p w:rsidR="00783598" w:rsidRPr="00340E4C" w:rsidRDefault="00783598">
      <w:pPr>
        <w:jc w:val="both"/>
      </w:pPr>
      <w:r w:rsidRPr="00340E4C">
        <w:t xml:space="preserve">- peněžní zásoba je suma oběživa a bankovních vkladů </w:t>
      </w:r>
      <w:r w:rsidRPr="00340E4C">
        <w:rPr>
          <w:position w:val="-10"/>
        </w:rPr>
        <w:object w:dxaOrig="1260" w:dyaOrig="340">
          <v:shape id="_x0000_i1063" type="#_x0000_t75" style="width:62.25pt;height:18.75pt" o:ole="">
            <v:imagedata r:id="rId105" o:title=""/>
          </v:shape>
          <o:OLEObject Type="Embed" ProgID="Equation.3" ShapeID="_x0000_i1063" DrawAspect="Content" ObjectID="_1674728809" r:id="rId106"/>
        </w:object>
      </w:r>
    </w:p>
    <w:p w:rsidR="00783598" w:rsidRPr="00340E4C" w:rsidRDefault="00783598">
      <w:pPr>
        <w:jc w:val="both"/>
      </w:pPr>
    </w:p>
    <w:p w:rsidR="00783598" w:rsidRPr="00340E4C" w:rsidRDefault="00783598">
      <w:pPr>
        <w:jc w:val="both"/>
      </w:pPr>
      <w:r w:rsidRPr="00340E4C">
        <w:t>Kolikrát je peněžní zásoba větší než peněžní báze?</w:t>
      </w:r>
    </w:p>
    <w:p w:rsidR="00783598" w:rsidRPr="00340E4C" w:rsidRDefault="00ED2731">
      <w:pPr>
        <w:jc w:val="both"/>
      </w:pPr>
      <w:r w:rsidRPr="00340E4C">
        <w:rPr>
          <w:position w:val="-30"/>
        </w:rPr>
        <w:object w:dxaOrig="1460" w:dyaOrig="700">
          <v:shape id="_x0000_i1064" type="#_x0000_t75" style="width:72.75pt;height:35.25pt" o:ole="">
            <v:imagedata r:id="rId107" o:title=""/>
          </v:shape>
          <o:OLEObject Type="Embed" ProgID="Equation.3" ShapeID="_x0000_i1064" DrawAspect="Content" ObjectID="_1674728810" r:id="rId108"/>
        </w:object>
      </w:r>
      <w:r w:rsidR="00783598" w:rsidRPr="00340E4C">
        <w:t xml:space="preserve">, vyjádříme </w:t>
      </w:r>
      <w:r w:rsidR="00783598" w:rsidRPr="00340E4C">
        <w:rPr>
          <w:position w:val="-56"/>
        </w:rPr>
        <w:object w:dxaOrig="1540" w:dyaOrig="1240">
          <v:shape id="_x0000_i1065" type="#_x0000_t75" style="width:76.5pt;height:60.75pt" o:ole="">
            <v:imagedata r:id="rId109" o:title=""/>
          </v:shape>
          <o:OLEObject Type="Embed" ProgID="Equation.3" ShapeID="_x0000_i1065" DrawAspect="Content" ObjectID="_1674728811" r:id="rId110"/>
        </w:object>
      </w:r>
    </w:p>
    <w:p w:rsidR="00783598" w:rsidRPr="00340E4C" w:rsidRDefault="00783598">
      <w:pPr>
        <w:jc w:val="both"/>
      </w:pPr>
      <w:r w:rsidRPr="00340E4C">
        <w:t>Vyjádříme-li podíl oběživa na vkladech C</w:t>
      </w:r>
      <w:r w:rsidRPr="00340E4C">
        <w:rPr>
          <w:vertAlign w:val="subscript"/>
        </w:rPr>
        <w:t>r</w:t>
      </w:r>
      <w:r w:rsidRPr="00340E4C">
        <w:t xml:space="preserve">/D jako cr a podíl bankovních rezerv na vkladech R/D jako rr, můžeme psát: </w:t>
      </w:r>
      <w:r w:rsidRPr="00340E4C">
        <w:rPr>
          <w:position w:val="-30"/>
        </w:rPr>
        <w:object w:dxaOrig="1420" w:dyaOrig="680">
          <v:shape id="_x0000_i1066" type="#_x0000_t75" style="width:71.25pt;height:33pt" o:ole="">
            <v:imagedata r:id="rId111" o:title=""/>
          </v:shape>
          <o:OLEObject Type="Embed" ProgID="Equation.3" ShapeID="_x0000_i1066" DrawAspect="Content" ObjectID="_1674728812" r:id="rId112"/>
        </w:object>
      </w:r>
      <w:r w:rsidRPr="00340E4C">
        <w:t xml:space="preserve">a vyjádřit </w:t>
      </w:r>
      <w:r w:rsidRPr="00340E4C">
        <w:rPr>
          <w:position w:val="-24"/>
        </w:rPr>
        <w:object w:dxaOrig="1780" w:dyaOrig="620">
          <v:shape id="_x0000_i1067" type="#_x0000_t75" style="width:89.25pt;height:31.5pt" o:ole="">
            <v:imagedata r:id="rId113" o:title=""/>
          </v:shape>
          <o:OLEObject Type="Embed" ProgID="Equation.3" ShapeID="_x0000_i1067" DrawAspect="Content" ObjectID="_1674728813" r:id="rId114"/>
        </w:object>
      </w:r>
    </w:p>
    <w:p w:rsidR="00783598" w:rsidRPr="00340E4C" w:rsidRDefault="00783598">
      <w:pPr>
        <w:jc w:val="both"/>
      </w:pPr>
      <w:r w:rsidRPr="00340E4C">
        <w:t>(cr+1):(cr+rr) je peněžní multiplikátor.</w:t>
      </w:r>
    </w:p>
    <w:p w:rsidR="00783598" w:rsidRPr="00340E4C" w:rsidRDefault="00783598">
      <w:pPr>
        <w:jc w:val="both"/>
      </w:pPr>
      <w:r w:rsidRPr="00340E4C">
        <w:t>Peněžní multiplikátor je tím větší, čím menší je míra bankovních rezerv a čím menší je podíl peněz držený jako oběživo.</w:t>
      </w:r>
    </w:p>
    <w:p w:rsidR="00783598" w:rsidRPr="00340E4C" w:rsidRDefault="00783598">
      <w:pPr>
        <w:jc w:val="both"/>
      </w:pPr>
    </w:p>
    <w:p w:rsidR="00783598" w:rsidRPr="00340E4C" w:rsidRDefault="00783598" w:rsidP="00636A7A">
      <w:pPr>
        <w:pStyle w:val="berschrift2"/>
      </w:pPr>
      <w:r w:rsidRPr="00340E4C">
        <w:t>Trh peněz</w:t>
      </w:r>
    </w:p>
    <w:p w:rsidR="00783598" w:rsidRPr="00340E4C" w:rsidRDefault="00783598"/>
    <w:p w:rsidR="00783598" w:rsidRPr="00340E4C" w:rsidRDefault="00783598">
      <w:pPr>
        <w:jc w:val="both"/>
      </w:pPr>
      <w:r w:rsidRPr="00340E4C">
        <w:rPr>
          <w:b/>
        </w:rPr>
        <w:t>Reálná poptávka</w:t>
      </w:r>
      <w:r w:rsidRPr="00340E4C">
        <w:rPr>
          <w:b/>
          <w:bCs/>
        </w:rPr>
        <w:t xml:space="preserve"> MD</w:t>
      </w:r>
      <w:r w:rsidRPr="00340E4C">
        <w:t xml:space="preserve"> </w:t>
      </w:r>
      <w:r w:rsidR="005721DE">
        <w:t xml:space="preserve">(Money demand) </w:t>
      </w:r>
      <w:r w:rsidRPr="00340E4C">
        <w:t>po penězích je přímo úměrná reálnému důchodu a nepřímo úměrná nominální úrokové míře. Dlouhodobá poptávka je funkcí úrokové míry a transakční potřeb</w:t>
      </w:r>
      <w:r w:rsidR="00CC3E08">
        <w:t>y</w:t>
      </w:r>
      <w:r w:rsidRPr="00340E4C">
        <w:t>.</w:t>
      </w:r>
    </w:p>
    <w:p w:rsidR="00783598" w:rsidRPr="00340E4C" w:rsidRDefault="00783598">
      <w:pPr>
        <w:pStyle w:val="Fuzeile"/>
        <w:tabs>
          <w:tab w:val="clear" w:pos="4536"/>
          <w:tab w:val="clear" w:pos="9072"/>
        </w:tabs>
      </w:pPr>
    </w:p>
    <w:p w:rsidR="00783598" w:rsidRPr="00340E4C" w:rsidRDefault="00783598">
      <w:r w:rsidRPr="00340E4C">
        <w:t>Poptávka po penězích:</w:t>
      </w:r>
    </w:p>
    <w:p w:rsidR="00783598" w:rsidRPr="00340E4C" w:rsidRDefault="00783598" w:rsidP="001741A7">
      <w:pPr>
        <w:numPr>
          <w:ilvl w:val="0"/>
          <w:numId w:val="19"/>
        </w:numPr>
        <w:jc w:val="both"/>
      </w:pPr>
      <w:r w:rsidRPr="00340E4C">
        <w:t xml:space="preserve">transakční teorie: člověk se rozhoduje mezi likviditou a výnosem. Uplatňuje se spíše v likvidnějších formách </w:t>
      </w:r>
    </w:p>
    <w:p w:rsidR="00783598" w:rsidRPr="00340E4C" w:rsidRDefault="00783598" w:rsidP="001741A7">
      <w:pPr>
        <w:numPr>
          <w:ilvl w:val="0"/>
          <w:numId w:val="19"/>
        </w:numPr>
        <w:jc w:val="both"/>
      </w:pPr>
      <w:r w:rsidRPr="00340E4C">
        <w:t>portfoliová teorie peněz: člověk se rozhoduje mezi rizikem a výnosem. Uplatňuje se spíše u opatrnostních zůstatků, čili u investování.</w:t>
      </w:r>
    </w:p>
    <w:p w:rsidR="00783598" w:rsidRPr="00340E4C" w:rsidRDefault="00783598">
      <w:pPr>
        <w:jc w:val="both"/>
      </w:pPr>
    </w:p>
    <w:p w:rsidR="00783598" w:rsidRPr="00340E4C" w:rsidRDefault="00783598">
      <w:pPr>
        <w:jc w:val="both"/>
      </w:pPr>
      <w:r w:rsidRPr="00340E4C">
        <w:t>Vliv na poptávku mají i následující faktory:</w:t>
      </w:r>
    </w:p>
    <w:p w:rsidR="00783598" w:rsidRPr="00340E4C" w:rsidRDefault="00783598" w:rsidP="001741A7">
      <w:pPr>
        <w:numPr>
          <w:ilvl w:val="0"/>
          <w:numId w:val="1"/>
        </w:numPr>
        <w:jc w:val="both"/>
      </w:pPr>
      <w:r w:rsidRPr="00340E4C">
        <w:t>změna platebních zvyklostí</w:t>
      </w:r>
    </w:p>
    <w:p w:rsidR="00783598" w:rsidRPr="00340E4C" w:rsidRDefault="00783598" w:rsidP="001741A7">
      <w:pPr>
        <w:numPr>
          <w:ilvl w:val="0"/>
          <w:numId w:val="1"/>
        </w:numPr>
        <w:jc w:val="both"/>
      </w:pPr>
      <w:r w:rsidRPr="00340E4C">
        <w:t>změna počtu subjektů v ekonomice</w:t>
      </w:r>
    </w:p>
    <w:p w:rsidR="00783598" w:rsidRPr="00340E4C" w:rsidRDefault="00783598" w:rsidP="001741A7">
      <w:pPr>
        <w:numPr>
          <w:ilvl w:val="0"/>
          <w:numId w:val="1"/>
        </w:numPr>
        <w:jc w:val="both"/>
      </w:pPr>
      <w:r w:rsidRPr="00340E4C">
        <w:t>změna cenové hladiny</w:t>
      </w:r>
    </w:p>
    <w:p w:rsidR="00783598" w:rsidRPr="00340E4C" w:rsidRDefault="00783598" w:rsidP="001741A7">
      <w:pPr>
        <w:numPr>
          <w:ilvl w:val="0"/>
          <w:numId w:val="1"/>
        </w:numPr>
        <w:jc w:val="both"/>
      </w:pPr>
      <w:r w:rsidRPr="00340E4C">
        <w:t>změna důchodů</w:t>
      </w:r>
    </w:p>
    <w:p w:rsidR="00783598" w:rsidRPr="00340E4C" w:rsidRDefault="00783598" w:rsidP="001741A7">
      <w:pPr>
        <w:numPr>
          <w:ilvl w:val="0"/>
          <w:numId w:val="1"/>
        </w:numPr>
        <w:jc w:val="both"/>
      </w:pPr>
      <w:r w:rsidRPr="00340E4C">
        <w:t>změna ostatních transakcí</w:t>
      </w:r>
    </w:p>
    <w:p w:rsidR="00783598" w:rsidRPr="00340E4C" w:rsidRDefault="00783598" w:rsidP="001741A7">
      <w:pPr>
        <w:numPr>
          <w:ilvl w:val="0"/>
          <w:numId w:val="1"/>
        </w:numPr>
        <w:jc w:val="both"/>
      </w:pPr>
      <w:r w:rsidRPr="00340E4C">
        <w:t>změna preferencí při utváření struktury aktiv</w:t>
      </w:r>
    </w:p>
    <w:p w:rsidR="00783598" w:rsidRPr="00340E4C" w:rsidRDefault="00783598">
      <w:pPr>
        <w:jc w:val="both"/>
      </w:pPr>
    </w:p>
    <w:p w:rsidR="00783598" w:rsidRPr="00340E4C" w:rsidRDefault="00783598">
      <w:pPr>
        <w:jc w:val="both"/>
      </w:pPr>
      <w:r w:rsidRPr="00340E4C">
        <w:rPr>
          <w:b/>
        </w:rPr>
        <w:t>Nabídka peněz MS:</w:t>
      </w:r>
      <w:r w:rsidRPr="00340E4C">
        <w:t xml:space="preserve"> zvýšení zůstatků v držení vyvolává růst nabídky, protože se předpokládá, že struktura aktiv je stabilní.  </w:t>
      </w:r>
    </w:p>
    <w:p w:rsidR="00783598" w:rsidRPr="00340E4C" w:rsidRDefault="00783598">
      <w:pPr>
        <w:jc w:val="both"/>
      </w:pPr>
      <w:r w:rsidRPr="00340E4C">
        <w:t xml:space="preserve">Krátkodobá nabídka je dokonale neelastická. </w:t>
      </w:r>
    </w:p>
    <w:p w:rsidR="00783598" w:rsidRPr="00340E4C" w:rsidRDefault="00783598">
      <w:pPr>
        <w:jc w:val="both"/>
      </w:pPr>
      <w:r w:rsidRPr="00340E4C">
        <w:t>Dlouhodobá nabídka je funkcí úrokové míry.</w:t>
      </w:r>
    </w:p>
    <w:p w:rsidR="00783598" w:rsidRPr="00340E4C" w:rsidRDefault="00783598">
      <w:pPr>
        <w:jc w:val="both"/>
      </w:pPr>
      <w:r w:rsidRPr="00340E4C">
        <w:t>Růst nabídky peněz vyvolává přeliv peněz do jiných (nepeněžních) aktiv.</w:t>
      </w:r>
    </w:p>
    <w:p w:rsidR="00783598" w:rsidRPr="00340E4C" w:rsidRDefault="00783598">
      <w:pPr>
        <w:jc w:val="both"/>
      </w:pPr>
    </w:p>
    <w:p w:rsidR="00783598" w:rsidRPr="00340E4C" w:rsidRDefault="00783598">
      <w:pPr>
        <w:jc w:val="both"/>
      </w:pPr>
      <w:r w:rsidRPr="00340E4C">
        <w:rPr>
          <w:b/>
        </w:rPr>
        <w:t>Rovnováha na trhu peněz</w:t>
      </w:r>
      <w:r w:rsidRPr="00340E4C">
        <w:t xml:space="preserve"> znamená, že subjekty v souhrnu drží právě tolik peněžních zůstatků, kolik jich držet chtějí. Peněžní zásoba se rovná sumě poptávaných peněžních zůstatků. </w:t>
      </w:r>
    </w:p>
    <w:p w:rsidR="00783598" w:rsidRPr="00340E4C" w:rsidRDefault="00783598"/>
    <w:p w:rsidR="00AF2582" w:rsidRPr="00340E4C" w:rsidRDefault="00AF2582">
      <w:pPr>
        <w:rPr>
          <w:b/>
          <w:u w:val="single"/>
        </w:rPr>
      </w:pPr>
      <w:r w:rsidRPr="00340E4C">
        <w:rPr>
          <w:b/>
          <w:u w:val="single"/>
        </w:rPr>
        <w:t>Evropská centrální banka</w:t>
      </w:r>
      <w:r w:rsidR="00ED2731">
        <w:rPr>
          <w:b/>
          <w:u w:val="single"/>
        </w:rPr>
        <w:t xml:space="preserve"> (ECB)</w:t>
      </w:r>
    </w:p>
    <w:p w:rsidR="00760982" w:rsidRPr="00340E4C" w:rsidRDefault="00760982">
      <w:r w:rsidRPr="00340E4C">
        <w:lastRenderedPageBreak/>
        <w:t>V roce 1994 vznikl Evropský měnový institut. Jako jeho následovnice vznikla 1998 Evropská centrální banka. Ta zajišťuje společnou měnu Euro, fungující jako oběživo od 1. 1. 2002.</w:t>
      </w:r>
    </w:p>
    <w:p w:rsidR="00AF2582" w:rsidRPr="00340E4C" w:rsidRDefault="00AF2582">
      <w:r w:rsidRPr="00340E4C">
        <w:t xml:space="preserve">Viz </w:t>
      </w:r>
      <w:hyperlink r:id="rId115" w:history="1">
        <w:r w:rsidRPr="00340E4C">
          <w:rPr>
            <w:rStyle w:val="Hyperlink"/>
          </w:rPr>
          <w:t>www.ecb.int</w:t>
        </w:r>
      </w:hyperlink>
    </w:p>
    <w:p w:rsidR="00760982" w:rsidRPr="00340E4C" w:rsidRDefault="00760982"/>
    <w:p w:rsidR="00760982" w:rsidRPr="00340E4C" w:rsidRDefault="00760982" w:rsidP="00636A7A">
      <w:pPr>
        <w:pStyle w:val="berschrift2"/>
      </w:pPr>
      <w:bookmarkStart w:id="103" w:name="_Toc281979948"/>
      <w:bookmarkStart w:id="104" w:name="_Toc281979990"/>
      <w:r w:rsidRPr="00340E4C">
        <w:t>Cíle</w:t>
      </w:r>
      <w:bookmarkEnd w:id="103"/>
      <w:bookmarkEnd w:id="104"/>
    </w:p>
    <w:p w:rsidR="00760982" w:rsidRPr="00340E4C" w:rsidRDefault="00760982" w:rsidP="00760982">
      <w:pPr>
        <w:pStyle w:val="StandardWeb"/>
        <w:rPr>
          <w:color w:val="000000"/>
        </w:rPr>
      </w:pPr>
      <w:r w:rsidRPr="00340E4C">
        <w:rPr>
          <w:color w:val="000000"/>
        </w:rPr>
        <w:t xml:space="preserve">„Prvořadým cílem ECB je udržovat cenovou stabilitu." </w:t>
      </w:r>
    </w:p>
    <w:p w:rsidR="00760982" w:rsidRPr="00340E4C" w:rsidRDefault="00760982" w:rsidP="00760982">
      <w:pPr>
        <w:pStyle w:val="StandardWeb"/>
        <w:rPr>
          <w:color w:val="000000"/>
        </w:rPr>
      </w:pPr>
      <w:r w:rsidRPr="00340E4C">
        <w:rPr>
          <w:color w:val="000000"/>
        </w:rPr>
        <w:t xml:space="preserve">Dále, „aniž je dotčen cíl cenové stability, podporuje ECB obecné hospodářské politiky ve Společenství se záměrem přispět k dosažení cílů Společenství, jak jsou vymezeny v článku 2." (Smlouva, článek 105 odst. 1) </w:t>
      </w:r>
    </w:p>
    <w:p w:rsidR="00760982" w:rsidRPr="00340E4C" w:rsidRDefault="00760982" w:rsidP="00760982">
      <w:pPr>
        <w:pStyle w:val="StandardWeb"/>
        <w:rPr>
          <w:color w:val="000000"/>
        </w:rPr>
      </w:pPr>
      <w:r w:rsidRPr="00340E4C">
        <w:rPr>
          <w:color w:val="000000"/>
        </w:rPr>
        <w:t xml:space="preserve">Mezi cíle Evropské unie (článek 2 Smlouvy o Evropské unii) patří vysoká úroveň zaměstnanosti a trvalý a neinflační růst. </w:t>
      </w:r>
    </w:p>
    <w:p w:rsidR="00760982" w:rsidRPr="00340E4C" w:rsidRDefault="006647E4" w:rsidP="00760982">
      <w:pPr>
        <w:rPr>
          <w:color w:val="000000"/>
        </w:rPr>
      </w:pPr>
      <w:hyperlink r:id="rId116" w:anchor="skipnavigation" w:history="1">
        <w:r w:rsidR="00760982" w:rsidRPr="00340E4C">
          <w:rPr>
            <w:vanish/>
            <w:color w:val="0031AD"/>
          </w:rPr>
          <w:t>Nahoru</w:t>
        </w:r>
      </w:hyperlink>
    </w:p>
    <w:p w:rsidR="00760982" w:rsidRPr="00340E4C" w:rsidRDefault="00760982" w:rsidP="00636A7A">
      <w:pPr>
        <w:pStyle w:val="berschrift2"/>
      </w:pPr>
      <w:bookmarkStart w:id="105" w:name="_Toc281979949"/>
      <w:bookmarkStart w:id="106" w:name="_Toc281979991"/>
      <w:r w:rsidRPr="00340E4C">
        <w:t>Základní úkoly</w:t>
      </w:r>
      <w:bookmarkEnd w:id="105"/>
      <w:bookmarkEnd w:id="106"/>
    </w:p>
    <w:p w:rsidR="00760982" w:rsidRPr="00340E4C" w:rsidRDefault="00760982" w:rsidP="00760982">
      <w:pPr>
        <w:rPr>
          <w:color w:val="000000"/>
        </w:rPr>
      </w:pPr>
      <w:r w:rsidRPr="00340E4C">
        <w:rPr>
          <w:color w:val="000000"/>
        </w:rPr>
        <w:t xml:space="preserve">Podle Smlouvy o založení Evropského společenství (článek 105 odst. 2) plní ECB tyto základní úkoly: </w:t>
      </w:r>
    </w:p>
    <w:p w:rsidR="00760982" w:rsidRPr="00340E4C" w:rsidRDefault="00760982" w:rsidP="001741A7">
      <w:pPr>
        <w:numPr>
          <w:ilvl w:val="0"/>
          <w:numId w:val="26"/>
        </w:numPr>
        <w:spacing w:beforeAutospacing="1" w:afterAutospacing="1"/>
        <w:rPr>
          <w:color w:val="000000"/>
        </w:rPr>
      </w:pPr>
      <w:r w:rsidRPr="00340E4C">
        <w:rPr>
          <w:color w:val="000000"/>
        </w:rPr>
        <w:t xml:space="preserve">vymezuje a provádí </w:t>
      </w:r>
      <w:hyperlink r:id="rId117" w:history="1">
        <w:r w:rsidRPr="00340E4C">
          <w:rPr>
            <w:color w:val="0031AD"/>
          </w:rPr>
          <w:t>měnovou politiku</w:t>
        </w:r>
      </w:hyperlink>
      <w:r w:rsidRPr="00340E4C">
        <w:rPr>
          <w:color w:val="000000"/>
        </w:rPr>
        <w:t xml:space="preserve"> eurozóny, </w:t>
      </w:r>
    </w:p>
    <w:p w:rsidR="00760982" w:rsidRPr="00340E4C" w:rsidRDefault="00760982" w:rsidP="001741A7">
      <w:pPr>
        <w:numPr>
          <w:ilvl w:val="0"/>
          <w:numId w:val="26"/>
        </w:numPr>
        <w:spacing w:beforeAutospacing="1" w:afterAutospacing="1"/>
        <w:rPr>
          <w:color w:val="000000"/>
        </w:rPr>
      </w:pPr>
      <w:r w:rsidRPr="00340E4C">
        <w:rPr>
          <w:color w:val="000000"/>
        </w:rPr>
        <w:t xml:space="preserve">provádí </w:t>
      </w:r>
      <w:hyperlink r:id="rId118" w:history="1">
        <w:r w:rsidRPr="00340E4C">
          <w:rPr>
            <w:color w:val="0031AD"/>
          </w:rPr>
          <w:t>devizové operace</w:t>
        </w:r>
      </w:hyperlink>
      <w:r w:rsidRPr="00340E4C">
        <w:rPr>
          <w:color w:val="000000"/>
        </w:rPr>
        <w:t xml:space="preserve">, </w:t>
      </w:r>
    </w:p>
    <w:p w:rsidR="00760982" w:rsidRPr="00340E4C" w:rsidRDefault="00760982" w:rsidP="001741A7">
      <w:pPr>
        <w:numPr>
          <w:ilvl w:val="0"/>
          <w:numId w:val="26"/>
        </w:numPr>
        <w:spacing w:beforeAutospacing="1" w:afterAutospacing="1"/>
        <w:rPr>
          <w:color w:val="000000"/>
        </w:rPr>
      </w:pPr>
      <w:r w:rsidRPr="00340E4C">
        <w:rPr>
          <w:color w:val="000000"/>
        </w:rPr>
        <w:t>drží a spravuje devizové rezervy států eurozóny (</w:t>
      </w:r>
      <w:hyperlink r:id="rId119" w:history="1">
        <w:r w:rsidRPr="00340E4C">
          <w:rPr>
            <w:color w:val="0031AD"/>
          </w:rPr>
          <w:t>správa portfolií</w:t>
        </w:r>
      </w:hyperlink>
      <w:r w:rsidRPr="00340E4C">
        <w:rPr>
          <w:color w:val="000000"/>
        </w:rPr>
        <w:t xml:space="preserve">), </w:t>
      </w:r>
    </w:p>
    <w:p w:rsidR="00760982" w:rsidRPr="00340E4C" w:rsidRDefault="00760982" w:rsidP="001741A7">
      <w:pPr>
        <w:numPr>
          <w:ilvl w:val="0"/>
          <w:numId w:val="26"/>
        </w:numPr>
        <w:spacing w:beforeAutospacing="1" w:afterAutospacing="1"/>
        <w:rPr>
          <w:color w:val="000000"/>
        </w:rPr>
      </w:pPr>
      <w:r w:rsidRPr="00340E4C">
        <w:rPr>
          <w:color w:val="000000"/>
        </w:rPr>
        <w:t xml:space="preserve">podporuje plynulé fungování </w:t>
      </w:r>
      <w:hyperlink r:id="rId120" w:history="1">
        <w:r w:rsidRPr="00340E4C">
          <w:rPr>
            <w:color w:val="0031AD"/>
          </w:rPr>
          <w:t>platebních systémů</w:t>
        </w:r>
      </w:hyperlink>
      <w:r w:rsidRPr="00340E4C">
        <w:rPr>
          <w:color w:val="000000"/>
        </w:rPr>
        <w:t>.</w:t>
      </w:r>
    </w:p>
    <w:p w:rsidR="00760982" w:rsidRPr="00340E4C" w:rsidRDefault="006647E4" w:rsidP="00760982">
      <w:pPr>
        <w:rPr>
          <w:color w:val="000000"/>
        </w:rPr>
      </w:pPr>
      <w:hyperlink r:id="rId121" w:anchor="skipnavigation" w:history="1">
        <w:r w:rsidR="00760982" w:rsidRPr="00340E4C">
          <w:rPr>
            <w:vanish/>
            <w:color w:val="0031AD"/>
          </w:rPr>
          <w:t>Nahoru</w:t>
        </w:r>
      </w:hyperlink>
      <w:r w:rsidR="00760982" w:rsidRPr="00340E4C">
        <w:rPr>
          <w:color w:val="000000"/>
        </w:rPr>
        <w:t xml:space="preserve"> </w:t>
      </w:r>
    </w:p>
    <w:p w:rsidR="00760982" w:rsidRPr="00340E4C" w:rsidRDefault="00760982" w:rsidP="00636A7A">
      <w:pPr>
        <w:pStyle w:val="berschrift2"/>
      </w:pPr>
      <w:bookmarkStart w:id="107" w:name="_Toc281979950"/>
      <w:bookmarkStart w:id="108" w:name="_Toc281979992"/>
      <w:r w:rsidRPr="00340E4C">
        <w:t>Další úkoly</w:t>
      </w:r>
      <w:bookmarkEnd w:id="107"/>
      <w:bookmarkEnd w:id="108"/>
    </w:p>
    <w:p w:rsidR="00760982" w:rsidRPr="00340E4C" w:rsidRDefault="006647E4" w:rsidP="001741A7">
      <w:pPr>
        <w:numPr>
          <w:ilvl w:val="0"/>
          <w:numId w:val="27"/>
        </w:numPr>
        <w:spacing w:beforeAutospacing="1" w:afterAutospacing="1"/>
        <w:rPr>
          <w:color w:val="000000"/>
        </w:rPr>
      </w:pPr>
      <w:hyperlink r:id="rId122" w:history="1">
        <w:r w:rsidR="00760982" w:rsidRPr="00340E4C">
          <w:rPr>
            <w:color w:val="0031AD"/>
          </w:rPr>
          <w:t>Bankovky</w:t>
        </w:r>
      </w:hyperlink>
      <w:r w:rsidR="00760982" w:rsidRPr="00340E4C">
        <w:rPr>
          <w:color w:val="000000"/>
        </w:rPr>
        <w:t xml:space="preserve">: ECB má výhradní právo rozhodovat o vydávání bankovek v eurozóně. </w:t>
      </w:r>
    </w:p>
    <w:p w:rsidR="00760982" w:rsidRPr="00340E4C" w:rsidRDefault="006647E4" w:rsidP="001741A7">
      <w:pPr>
        <w:numPr>
          <w:ilvl w:val="0"/>
          <w:numId w:val="27"/>
        </w:numPr>
        <w:spacing w:beforeAutospacing="1" w:afterAutospacing="1"/>
        <w:rPr>
          <w:color w:val="000000"/>
        </w:rPr>
      </w:pPr>
      <w:hyperlink r:id="rId123" w:history="1">
        <w:r w:rsidR="00760982" w:rsidRPr="00340E4C">
          <w:rPr>
            <w:color w:val="0031AD"/>
          </w:rPr>
          <w:t>Statistika</w:t>
        </w:r>
      </w:hyperlink>
      <w:r w:rsidR="00760982" w:rsidRPr="00340E4C">
        <w:rPr>
          <w:color w:val="000000"/>
        </w:rPr>
        <w:t xml:space="preserve">: ECB ve spolupráci s národními centrálními bankami shromažďuje od orgánů státní správy nebo přímo od hospodářských subjektů v jednotlivých zemích statistické informace, které potřebuje ke své činnosti. </w:t>
      </w:r>
    </w:p>
    <w:p w:rsidR="00760982" w:rsidRPr="00340E4C" w:rsidRDefault="006647E4" w:rsidP="001741A7">
      <w:pPr>
        <w:numPr>
          <w:ilvl w:val="0"/>
          <w:numId w:val="27"/>
        </w:numPr>
        <w:spacing w:beforeAutospacing="1" w:afterAutospacing="1"/>
        <w:rPr>
          <w:color w:val="000000"/>
        </w:rPr>
      </w:pPr>
      <w:hyperlink r:id="rId124" w:history="1">
        <w:r w:rsidR="00760982" w:rsidRPr="00340E4C">
          <w:rPr>
            <w:color w:val="0031AD"/>
          </w:rPr>
          <w:t>Finanční stabilita a dohled</w:t>
        </w:r>
      </w:hyperlink>
      <w:r w:rsidR="00760982" w:rsidRPr="00340E4C">
        <w:rPr>
          <w:color w:val="000000"/>
        </w:rPr>
        <w:t xml:space="preserve">: Eurosystém se také snaží napomáhat institucím, které odpovídají za dohled nad úvěrovými institucemi a za stabilitu finančního systému. </w:t>
      </w:r>
    </w:p>
    <w:p w:rsidR="00760982" w:rsidRPr="00340E4C" w:rsidRDefault="006647E4" w:rsidP="001741A7">
      <w:pPr>
        <w:numPr>
          <w:ilvl w:val="0"/>
          <w:numId w:val="27"/>
        </w:numPr>
        <w:spacing w:beforeAutospacing="1" w:afterAutospacing="1"/>
        <w:rPr>
          <w:color w:val="000000"/>
        </w:rPr>
      </w:pPr>
      <w:hyperlink r:id="rId125" w:history="1">
        <w:r w:rsidR="00760982" w:rsidRPr="00340E4C">
          <w:rPr>
            <w:color w:val="0031AD"/>
          </w:rPr>
          <w:t>Mezinárodní</w:t>
        </w:r>
      </w:hyperlink>
      <w:r w:rsidR="00760982" w:rsidRPr="00340E4C">
        <w:rPr>
          <w:color w:val="000000"/>
        </w:rPr>
        <w:t xml:space="preserve"> a </w:t>
      </w:r>
      <w:hyperlink r:id="rId126" w:history="1">
        <w:r w:rsidR="00760982" w:rsidRPr="00340E4C">
          <w:rPr>
            <w:color w:val="0031AD"/>
          </w:rPr>
          <w:t>evropská</w:t>
        </w:r>
      </w:hyperlink>
      <w:r w:rsidR="00760982" w:rsidRPr="00340E4C">
        <w:rPr>
          <w:color w:val="000000"/>
        </w:rPr>
        <w:t xml:space="preserve"> spolupráce: v rámci plnění úkolů, které byly svěřeny Eurosystému, udržuje ECB pracovní vztahy s příslušnými institucemi, orgány a fóry v rámci EU i v mezinárodním měřítku. </w:t>
      </w:r>
    </w:p>
    <w:p w:rsidR="00AF2582" w:rsidRPr="00340E4C" w:rsidRDefault="00AF2582"/>
    <w:p w:rsidR="00AF2582" w:rsidRPr="00340E4C" w:rsidRDefault="00AF2582">
      <w:pPr>
        <w:rPr>
          <w:b/>
          <w:u w:val="single"/>
        </w:rPr>
      </w:pPr>
      <w:r w:rsidRPr="00340E4C">
        <w:rPr>
          <w:b/>
          <w:u w:val="single"/>
        </w:rPr>
        <w:t>Konvergence národních politik členských zemí EU, cíle a slabiny</w:t>
      </w:r>
    </w:p>
    <w:p w:rsidR="00AF2582" w:rsidRPr="00340E4C" w:rsidRDefault="00AF2582" w:rsidP="00AF2582">
      <w:pPr>
        <w:jc w:val="both"/>
      </w:pPr>
      <w:r w:rsidRPr="00340E4C">
        <w:t>Monetární politika nemůže existovat bez ostatních makroekonomických politik (fiskální, zahraničně obchodní a zaměstnanosti). Základem dlouhodobého úspěchu společné evropské měny je zásadní sblížení všech národních makroekonomických systémů, tj. sblížení v daních, veřejných rozpočtech a politice zaměstnanosti.</w:t>
      </w:r>
    </w:p>
    <w:p w:rsidR="00AF2582" w:rsidRPr="00340E4C" w:rsidRDefault="00AF2582" w:rsidP="00AF2582">
      <w:pPr>
        <w:jc w:val="both"/>
      </w:pPr>
      <w:r w:rsidRPr="00340E4C">
        <w:t xml:space="preserve">Slabinou je, že </w:t>
      </w:r>
      <w:r w:rsidR="00760982" w:rsidRPr="00340E4C">
        <w:t xml:space="preserve">pro jednotlivé národní státy často není výhodné obětovat nějakou výhodu nebo prosadit nějaké pro voliče nepopulární řešení v nadnárodním zájmu. Řecká krize jasně ukázala, že je určitým rizikem mít společnou měnu a nemít společný stát.  </w:t>
      </w:r>
    </w:p>
    <w:p w:rsidR="00AF2582" w:rsidRPr="00340E4C" w:rsidRDefault="00AF2582"/>
    <w:p w:rsidR="00585090" w:rsidRPr="00340E4C" w:rsidRDefault="00585090">
      <w:pPr>
        <w:rPr>
          <w:b/>
          <w:u w:val="single"/>
        </w:rPr>
      </w:pPr>
      <w:r w:rsidRPr="00340E4C">
        <w:rPr>
          <w:b/>
          <w:u w:val="single"/>
        </w:rPr>
        <w:lastRenderedPageBreak/>
        <w:t>Historie centrálních bank v USA</w:t>
      </w:r>
    </w:p>
    <w:p w:rsidR="00585090" w:rsidRPr="00340E4C" w:rsidRDefault="00585090" w:rsidP="00585090">
      <w:pPr>
        <w:jc w:val="both"/>
      </w:pPr>
      <w:r w:rsidRPr="00340E4C">
        <w:t>V letech 1791-1811 existovala First Bank of the United States jako centrální banka. V letech 1811-1816 a 1837-1862 neexistovala žádná centrální banka. Od roku 1863 do roku 1913 působila Národní banka a od roku 1913 do současnosti se centrální peněžní regulátor nazývá Federal Reserve Systém (FED).</w:t>
      </w:r>
    </w:p>
    <w:p w:rsidR="00585090" w:rsidRPr="00340E4C" w:rsidRDefault="00585090"/>
    <w:p w:rsidR="00585090" w:rsidRPr="00340E4C" w:rsidRDefault="00585090"/>
    <w:p w:rsidR="00783598" w:rsidRPr="00340E4C" w:rsidRDefault="00585090">
      <w:pPr>
        <w:rPr>
          <w:b/>
          <w:bCs/>
          <w:u w:val="single"/>
        </w:rPr>
      </w:pPr>
      <w:r w:rsidRPr="00340E4C">
        <w:rPr>
          <w:b/>
          <w:bCs/>
          <w:u w:val="single"/>
        </w:rPr>
        <w:t>B</w:t>
      </w:r>
      <w:r w:rsidR="00783598" w:rsidRPr="00340E4C">
        <w:rPr>
          <w:b/>
          <w:bCs/>
          <w:u w:val="single"/>
        </w:rPr>
        <w:t>urza</w:t>
      </w:r>
    </w:p>
    <w:p w:rsidR="00585090" w:rsidRPr="00340E4C" w:rsidRDefault="00585090">
      <w:pPr>
        <w:rPr>
          <w:bCs/>
        </w:rPr>
      </w:pPr>
      <w:r w:rsidRPr="00340E4C">
        <w:rPr>
          <w:bCs/>
        </w:rPr>
        <w:t>Tržní ekonomika velmi dobře funguje., pokud jsou splněny podmínky dokonalé konkurence. Proto jsou vytvářeny speciální trhy, které tyto podmínky podporují. Jedním z nich je burza. Je to přesně lokálně, organizačně a komoditně stanovený trh.</w:t>
      </w:r>
    </w:p>
    <w:p w:rsidR="00585090" w:rsidRPr="00340E4C" w:rsidRDefault="00585090"/>
    <w:p w:rsidR="00783598" w:rsidRPr="00340E4C" w:rsidRDefault="00783598">
      <w:r w:rsidRPr="00340E4C">
        <w:t>Místo, na němž se obchoduje s penězi, peněžními deriváty i komoditami.</w:t>
      </w:r>
    </w:p>
    <w:p w:rsidR="00783598" w:rsidRPr="00340E4C" w:rsidRDefault="00783598">
      <w:r w:rsidRPr="00340E4C">
        <w:t>Znaky burzy:</w:t>
      </w:r>
    </w:p>
    <w:p w:rsidR="00783598" w:rsidRPr="00340E4C" w:rsidRDefault="00783598" w:rsidP="001741A7">
      <w:pPr>
        <w:numPr>
          <w:ilvl w:val="0"/>
          <w:numId w:val="1"/>
        </w:numPr>
      </w:pPr>
      <w:r w:rsidRPr="00340E4C">
        <w:t>fungibilita (vzájemná zastupitelnost) předmětu obchodu, přísné podmínky fungování</w:t>
      </w:r>
    </w:p>
    <w:p w:rsidR="00783598" w:rsidRPr="00340E4C" w:rsidRDefault="00783598" w:rsidP="001741A7">
      <w:pPr>
        <w:numPr>
          <w:ilvl w:val="0"/>
          <w:numId w:val="1"/>
        </w:numPr>
      </w:pPr>
      <w:r w:rsidRPr="00340E4C">
        <w:t>koncentrace poptávky a nabídky v místě. V poslední době oslabuje tento znak možnost elektronického obchodování.</w:t>
      </w:r>
    </w:p>
    <w:p w:rsidR="00585090" w:rsidRPr="00340E4C" w:rsidRDefault="00585090" w:rsidP="00585090"/>
    <w:p w:rsidR="00585090" w:rsidRPr="00340E4C" w:rsidRDefault="00585090" w:rsidP="00585090"/>
    <w:p w:rsidR="00783598" w:rsidRPr="00340E4C" w:rsidRDefault="00783598">
      <w:pPr>
        <w:sectPr w:rsidR="00783598" w:rsidRPr="00340E4C">
          <w:pgSz w:w="11906" w:h="16838"/>
          <w:pgMar w:top="1417" w:right="1417" w:bottom="1417" w:left="1417" w:header="708" w:footer="708" w:gutter="0"/>
          <w:cols w:space="708"/>
          <w:docGrid w:linePitch="360"/>
        </w:sectPr>
      </w:pPr>
    </w:p>
    <w:p w:rsidR="00783598" w:rsidRPr="00340E4C" w:rsidRDefault="00783598">
      <w:r w:rsidRPr="00340E4C">
        <w:lastRenderedPageBreak/>
        <w:t xml:space="preserve">  </w:t>
      </w:r>
    </w:p>
    <w:p w:rsidR="00783598" w:rsidRDefault="00783598" w:rsidP="00636A7A">
      <w:pPr>
        <w:pStyle w:val="berschrift1"/>
      </w:pPr>
      <w:bookmarkStart w:id="109" w:name="_Toc240444149"/>
      <w:bookmarkStart w:id="110" w:name="_Toc240775349"/>
      <w:bookmarkStart w:id="111" w:name="_Toc281979951"/>
      <w:bookmarkStart w:id="112" w:name="_Toc281979993"/>
      <w:bookmarkStart w:id="113" w:name="_Toc296073444"/>
      <w:bookmarkStart w:id="114" w:name="_Toc297533152"/>
      <w:bookmarkStart w:id="115" w:name="_Toc303675512"/>
      <w:bookmarkStart w:id="116" w:name="_Toc303963013"/>
      <w:bookmarkStart w:id="117" w:name="_Toc306176402"/>
      <w:bookmarkStart w:id="118" w:name="_Toc315341171"/>
      <w:bookmarkStart w:id="119" w:name="_Toc316459966"/>
      <w:bookmarkStart w:id="120" w:name="_Toc316460441"/>
      <w:bookmarkStart w:id="121" w:name="_Toc318291418"/>
      <w:bookmarkStart w:id="122" w:name="_Toc328466824"/>
      <w:bookmarkStart w:id="123" w:name="_Toc335724881"/>
      <w:bookmarkStart w:id="124" w:name="_Toc411926286"/>
      <w:bookmarkStart w:id="125" w:name="_Toc1629139"/>
      <w:r w:rsidRPr="00340E4C">
        <w:t>Otevřená ekonomika a vnější ekonomická rovnováha</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2007B9" w:rsidRDefault="002007B9" w:rsidP="002007B9"/>
    <w:p w:rsidR="002007B9" w:rsidRPr="002007B9" w:rsidRDefault="002007B9" w:rsidP="002007B9">
      <w:r>
        <w:t>Světový HD</w:t>
      </w:r>
      <w:r w:rsidR="00DC7147">
        <w:t>P</w:t>
      </w:r>
      <w:r>
        <w:t xml:space="preserve"> je rozložen takto:</w:t>
      </w:r>
    </w:p>
    <w:p w:rsidR="002007B9" w:rsidRDefault="002007B9" w:rsidP="002007B9">
      <w:pPr>
        <w:pStyle w:val="berschrift2"/>
        <w:numPr>
          <w:ilvl w:val="0"/>
          <w:numId w:val="0"/>
        </w:numPr>
        <w:ind w:left="360"/>
      </w:pPr>
      <w:r>
        <w:rPr>
          <w:noProof/>
          <w:lang w:val="de-DE" w:eastAsia="de-DE"/>
        </w:rPr>
        <w:drawing>
          <wp:inline distT="0" distB="0" distL="0" distR="0">
            <wp:extent cx="5760720" cy="493966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lobal-economy-one-chart.png"/>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5760720" cy="4939665"/>
                    </a:xfrm>
                    <a:prstGeom prst="rect">
                      <a:avLst/>
                    </a:prstGeom>
                  </pic:spPr>
                </pic:pic>
              </a:graphicData>
            </a:graphic>
          </wp:inline>
        </w:drawing>
      </w:r>
    </w:p>
    <w:p w:rsidR="002007B9" w:rsidRPr="00DC7147" w:rsidRDefault="00DC7147" w:rsidP="002007B9">
      <w:pPr>
        <w:pStyle w:val="berschrift2"/>
        <w:numPr>
          <w:ilvl w:val="0"/>
          <w:numId w:val="0"/>
        </w:numPr>
        <w:rPr>
          <w:b w:val="0"/>
        </w:rPr>
      </w:pPr>
      <w:r w:rsidRPr="00DC7147">
        <w:rPr>
          <w:b w:val="0"/>
        </w:rPr>
        <w:t>Světový export tvoří asi 60% světového HDP.</w:t>
      </w:r>
    </w:p>
    <w:p w:rsidR="00783598" w:rsidRPr="00340E4C" w:rsidRDefault="00783598" w:rsidP="00636A7A">
      <w:pPr>
        <w:pStyle w:val="berschrift2"/>
      </w:pPr>
      <w:r w:rsidRPr="00340E4C">
        <w:t>Mezinárodní obchod</w:t>
      </w:r>
    </w:p>
    <w:p w:rsidR="00783598" w:rsidRPr="00340E4C" w:rsidRDefault="00783598">
      <w:r w:rsidRPr="00340E4C">
        <w:t xml:space="preserve">Mezinárodní obchod je jedním ze způsobů propojení trhů ekonomického systému s vnějším prostředím. </w:t>
      </w:r>
    </w:p>
    <w:p w:rsidR="00783598" w:rsidRPr="00340E4C" w:rsidRDefault="00783598">
      <w:r w:rsidRPr="00340E4C">
        <w:t>Funkce zahraničního obchodu:</w:t>
      </w:r>
    </w:p>
    <w:p w:rsidR="00783598" w:rsidRPr="00340E4C" w:rsidRDefault="00783598" w:rsidP="001741A7">
      <w:pPr>
        <w:numPr>
          <w:ilvl w:val="0"/>
          <w:numId w:val="1"/>
        </w:numPr>
      </w:pPr>
      <w:r w:rsidRPr="00340E4C">
        <w:t>transakční: doplňuje nabídku o zboží, které není vyráběno v tuzemsku</w:t>
      </w:r>
    </w:p>
    <w:p w:rsidR="00783598" w:rsidRPr="00340E4C" w:rsidRDefault="00783598" w:rsidP="001741A7">
      <w:pPr>
        <w:numPr>
          <w:ilvl w:val="0"/>
          <w:numId w:val="1"/>
        </w:numPr>
      </w:pPr>
      <w:r w:rsidRPr="00340E4C">
        <w:t xml:space="preserve">růstová: nákupem zboží levněji než v tuzemsku umožňuje lépe využít výrobní faktory </w:t>
      </w:r>
    </w:p>
    <w:p w:rsidR="00783598" w:rsidRDefault="00783598"/>
    <w:p w:rsidR="00DC7147" w:rsidRDefault="00DC7147">
      <w:pPr>
        <w:rPr>
          <w:rStyle w:val="spacer"/>
        </w:rPr>
      </w:pPr>
      <w:r>
        <w:rPr>
          <w:rStyle w:val="spacer"/>
        </w:rPr>
        <w:t>Objem zahraničního obchodu ČR, údaje v mld CZK</w:t>
      </w:r>
    </w:p>
    <w:tbl>
      <w:tblPr>
        <w:tblStyle w:val="Tabellenraster"/>
        <w:tblW w:w="0" w:type="auto"/>
        <w:tblLook w:val="04A0" w:firstRow="1" w:lastRow="0" w:firstColumn="1" w:lastColumn="0" w:noHBand="0" w:noVBand="1"/>
      </w:tblPr>
      <w:tblGrid>
        <w:gridCol w:w="1496"/>
        <w:gridCol w:w="1518"/>
        <w:gridCol w:w="1392"/>
        <w:gridCol w:w="1560"/>
        <w:gridCol w:w="1560"/>
      </w:tblGrid>
      <w:tr w:rsidR="00DC7147" w:rsidTr="00DC7147">
        <w:tc>
          <w:tcPr>
            <w:tcW w:w="1496" w:type="dxa"/>
          </w:tcPr>
          <w:p w:rsidR="00DC7147" w:rsidRDefault="00DC7147" w:rsidP="00DC7147">
            <w:pPr>
              <w:jc w:val="center"/>
              <w:rPr>
                <w:rStyle w:val="spacer"/>
              </w:rPr>
            </w:pPr>
            <w:r>
              <w:rPr>
                <w:rStyle w:val="spacer"/>
              </w:rPr>
              <w:t>Rok</w:t>
            </w:r>
          </w:p>
        </w:tc>
        <w:tc>
          <w:tcPr>
            <w:tcW w:w="1518" w:type="dxa"/>
          </w:tcPr>
          <w:p w:rsidR="00DC7147" w:rsidRDefault="00DC7147" w:rsidP="00DC7147">
            <w:pPr>
              <w:jc w:val="center"/>
              <w:rPr>
                <w:rStyle w:val="spacer"/>
              </w:rPr>
            </w:pPr>
            <w:r>
              <w:rPr>
                <w:rStyle w:val="spacer"/>
              </w:rPr>
              <w:t>HDP</w:t>
            </w:r>
          </w:p>
        </w:tc>
        <w:tc>
          <w:tcPr>
            <w:tcW w:w="1392" w:type="dxa"/>
          </w:tcPr>
          <w:p w:rsidR="00DC7147" w:rsidRDefault="00DC7147" w:rsidP="00DC7147">
            <w:pPr>
              <w:jc w:val="center"/>
              <w:rPr>
                <w:rStyle w:val="spacer"/>
              </w:rPr>
            </w:pPr>
            <w:r>
              <w:rPr>
                <w:rStyle w:val="spacer"/>
              </w:rPr>
              <w:t>Vývoz</w:t>
            </w:r>
          </w:p>
        </w:tc>
        <w:tc>
          <w:tcPr>
            <w:tcW w:w="1560" w:type="dxa"/>
          </w:tcPr>
          <w:p w:rsidR="00DC7147" w:rsidRDefault="00DC7147" w:rsidP="00DC7147">
            <w:pPr>
              <w:jc w:val="center"/>
              <w:rPr>
                <w:rStyle w:val="spacer"/>
              </w:rPr>
            </w:pPr>
            <w:r>
              <w:rPr>
                <w:rStyle w:val="spacer"/>
              </w:rPr>
              <w:t>Dovoz</w:t>
            </w:r>
          </w:p>
        </w:tc>
        <w:tc>
          <w:tcPr>
            <w:tcW w:w="1560" w:type="dxa"/>
          </w:tcPr>
          <w:p w:rsidR="00DC7147" w:rsidRDefault="00DC7147" w:rsidP="00DC7147">
            <w:pPr>
              <w:jc w:val="center"/>
              <w:rPr>
                <w:rStyle w:val="spacer"/>
              </w:rPr>
            </w:pPr>
            <w:r>
              <w:rPr>
                <w:rStyle w:val="spacer"/>
              </w:rPr>
              <w:t>Saldo</w:t>
            </w:r>
          </w:p>
        </w:tc>
      </w:tr>
      <w:tr w:rsidR="00DC7147" w:rsidTr="00DC7147">
        <w:tc>
          <w:tcPr>
            <w:tcW w:w="1496" w:type="dxa"/>
            <w:vAlign w:val="center"/>
          </w:tcPr>
          <w:p w:rsidR="00DC7147" w:rsidRDefault="00DC7147" w:rsidP="00DC7147">
            <w:pPr>
              <w:jc w:val="center"/>
              <w:rPr>
                <w:rStyle w:val="spacer"/>
              </w:rPr>
            </w:pPr>
            <w:r>
              <w:rPr>
                <w:rStyle w:val="spacer"/>
              </w:rPr>
              <w:t>2017</w:t>
            </w:r>
          </w:p>
        </w:tc>
        <w:tc>
          <w:tcPr>
            <w:tcW w:w="1518" w:type="dxa"/>
            <w:vAlign w:val="center"/>
          </w:tcPr>
          <w:p w:rsidR="00DC7147" w:rsidRDefault="00DC7147" w:rsidP="00DC7147">
            <w:pPr>
              <w:jc w:val="right"/>
              <w:rPr>
                <w:rStyle w:val="spacer"/>
              </w:rPr>
            </w:pPr>
            <w:r>
              <w:rPr>
                <w:rStyle w:val="spacer"/>
              </w:rPr>
              <w:t>5050</w:t>
            </w:r>
          </w:p>
        </w:tc>
        <w:tc>
          <w:tcPr>
            <w:tcW w:w="1392" w:type="dxa"/>
            <w:vAlign w:val="center"/>
          </w:tcPr>
          <w:p w:rsidR="00DC7147" w:rsidRDefault="00DC7147" w:rsidP="00DC7147">
            <w:pPr>
              <w:jc w:val="right"/>
              <w:rPr>
                <w:rStyle w:val="spacer"/>
              </w:rPr>
            </w:pPr>
            <w:r>
              <w:rPr>
                <w:rStyle w:val="spacer"/>
              </w:rPr>
              <w:t>4245</w:t>
            </w:r>
          </w:p>
        </w:tc>
        <w:tc>
          <w:tcPr>
            <w:tcW w:w="1560" w:type="dxa"/>
            <w:vAlign w:val="center"/>
          </w:tcPr>
          <w:p w:rsidR="00DC7147" w:rsidRDefault="00DC7147" w:rsidP="00DC7147">
            <w:pPr>
              <w:jc w:val="right"/>
              <w:rPr>
                <w:rStyle w:val="spacer"/>
              </w:rPr>
            </w:pPr>
            <w:r>
              <w:rPr>
                <w:rStyle w:val="spacer"/>
              </w:rPr>
              <w:t>3801</w:t>
            </w:r>
          </w:p>
        </w:tc>
        <w:tc>
          <w:tcPr>
            <w:tcW w:w="1560" w:type="dxa"/>
            <w:vAlign w:val="center"/>
          </w:tcPr>
          <w:p w:rsidR="00DC7147" w:rsidRDefault="00DC7147" w:rsidP="00DC7147">
            <w:pPr>
              <w:jc w:val="right"/>
              <w:rPr>
                <w:rStyle w:val="spacer"/>
              </w:rPr>
            </w:pPr>
            <w:r>
              <w:rPr>
                <w:rStyle w:val="spacer"/>
              </w:rPr>
              <w:t>443</w:t>
            </w:r>
          </w:p>
        </w:tc>
      </w:tr>
    </w:tbl>
    <w:p w:rsidR="00DC7147" w:rsidRDefault="00DC7147">
      <w:pPr>
        <w:rPr>
          <w:rStyle w:val="spacer"/>
        </w:rPr>
      </w:pPr>
    </w:p>
    <w:p w:rsidR="00DC7147" w:rsidRDefault="00DC7147">
      <w:pPr>
        <w:rPr>
          <w:rStyle w:val="spacer"/>
        </w:rPr>
      </w:pPr>
    </w:p>
    <w:p w:rsidR="00505EE9" w:rsidRDefault="00505EE9">
      <w:pPr>
        <w:rPr>
          <w:rStyle w:val="spacer"/>
        </w:rPr>
      </w:pPr>
      <w:r>
        <w:rPr>
          <w:rStyle w:val="spacer"/>
        </w:rPr>
        <w:t>Podíl zemí na světovém obchodě</w:t>
      </w:r>
      <w:r w:rsidR="002007B9">
        <w:rPr>
          <w:rStyle w:val="spacer"/>
        </w:rPr>
        <w:t>:</w:t>
      </w:r>
    </w:p>
    <w:tbl>
      <w:tblPr>
        <w:tblStyle w:val="Tabellenraster"/>
        <w:tblW w:w="0" w:type="auto"/>
        <w:tblLook w:val="04A0" w:firstRow="1" w:lastRow="0" w:firstColumn="1" w:lastColumn="0" w:noHBand="0" w:noVBand="1"/>
      </w:tblPr>
      <w:tblGrid>
        <w:gridCol w:w="3020"/>
        <w:gridCol w:w="1086"/>
        <w:gridCol w:w="992"/>
      </w:tblGrid>
      <w:tr w:rsidR="002007B9" w:rsidTr="002007B9">
        <w:tc>
          <w:tcPr>
            <w:tcW w:w="3020" w:type="dxa"/>
          </w:tcPr>
          <w:p w:rsidR="002007B9" w:rsidRDefault="002007B9">
            <w:pPr>
              <w:rPr>
                <w:rStyle w:val="spacer"/>
              </w:rPr>
            </w:pPr>
            <w:r>
              <w:rPr>
                <w:rStyle w:val="spacer"/>
              </w:rPr>
              <w:lastRenderedPageBreak/>
              <w:t>Country</w:t>
            </w:r>
          </w:p>
        </w:tc>
        <w:tc>
          <w:tcPr>
            <w:tcW w:w="1086" w:type="dxa"/>
          </w:tcPr>
          <w:p w:rsidR="002007B9" w:rsidRDefault="002007B9" w:rsidP="002007B9">
            <w:pPr>
              <w:jc w:val="center"/>
              <w:rPr>
                <w:rStyle w:val="spacer"/>
              </w:rPr>
            </w:pPr>
            <w:r>
              <w:rPr>
                <w:rStyle w:val="spacer"/>
              </w:rPr>
              <w:t>2008</w:t>
            </w:r>
          </w:p>
        </w:tc>
        <w:tc>
          <w:tcPr>
            <w:tcW w:w="992" w:type="dxa"/>
          </w:tcPr>
          <w:p w:rsidR="002007B9" w:rsidRDefault="002007B9" w:rsidP="002007B9">
            <w:pPr>
              <w:jc w:val="center"/>
              <w:rPr>
                <w:rStyle w:val="spacer"/>
              </w:rPr>
            </w:pPr>
            <w:r>
              <w:rPr>
                <w:rStyle w:val="spacer"/>
              </w:rPr>
              <w:t>2017</w:t>
            </w:r>
          </w:p>
        </w:tc>
      </w:tr>
      <w:tr w:rsidR="002007B9" w:rsidTr="002007B9">
        <w:tc>
          <w:tcPr>
            <w:tcW w:w="3020" w:type="dxa"/>
          </w:tcPr>
          <w:p w:rsidR="002007B9" w:rsidRDefault="002007B9">
            <w:pPr>
              <w:rPr>
                <w:rStyle w:val="spacer"/>
              </w:rPr>
            </w:pPr>
            <w:r>
              <w:rPr>
                <w:rStyle w:val="spacer"/>
              </w:rPr>
              <w:t>European Union</w:t>
            </w:r>
          </w:p>
        </w:tc>
        <w:tc>
          <w:tcPr>
            <w:tcW w:w="1086" w:type="dxa"/>
          </w:tcPr>
          <w:p w:rsidR="002007B9" w:rsidRDefault="002007B9" w:rsidP="002007B9">
            <w:pPr>
              <w:jc w:val="right"/>
              <w:rPr>
                <w:rStyle w:val="spacer"/>
              </w:rPr>
            </w:pPr>
            <w:r>
              <w:rPr>
                <w:rStyle w:val="spacer"/>
              </w:rPr>
              <w:t>19,0</w:t>
            </w:r>
          </w:p>
        </w:tc>
        <w:tc>
          <w:tcPr>
            <w:tcW w:w="992" w:type="dxa"/>
          </w:tcPr>
          <w:p w:rsidR="002007B9" w:rsidRDefault="002007B9" w:rsidP="002007B9">
            <w:pPr>
              <w:jc w:val="right"/>
              <w:rPr>
                <w:rStyle w:val="spacer"/>
              </w:rPr>
            </w:pPr>
            <w:r>
              <w:rPr>
                <w:rStyle w:val="spacer"/>
              </w:rPr>
              <w:t>15,1</w:t>
            </w:r>
          </w:p>
        </w:tc>
      </w:tr>
      <w:tr w:rsidR="002007B9" w:rsidTr="002007B9">
        <w:tc>
          <w:tcPr>
            <w:tcW w:w="3020" w:type="dxa"/>
          </w:tcPr>
          <w:p w:rsidR="002007B9" w:rsidRDefault="002007B9" w:rsidP="002007B9">
            <w:pPr>
              <w:rPr>
                <w:rStyle w:val="spacer"/>
              </w:rPr>
            </w:pPr>
            <w:r>
              <w:rPr>
                <w:rStyle w:val="spacer"/>
              </w:rPr>
              <w:t xml:space="preserve">Russia </w:t>
            </w:r>
          </w:p>
        </w:tc>
        <w:tc>
          <w:tcPr>
            <w:tcW w:w="1086" w:type="dxa"/>
          </w:tcPr>
          <w:p w:rsidR="002007B9" w:rsidRDefault="002007B9" w:rsidP="002007B9">
            <w:pPr>
              <w:jc w:val="right"/>
              <w:rPr>
                <w:rStyle w:val="spacer"/>
              </w:rPr>
            </w:pPr>
            <w:r>
              <w:rPr>
                <w:rStyle w:val="spacer"/>
              </w:rPr>
              <w:t>2,2</w:t>
            </w:r>
          </w:p>
        </w:tc>
        <w:tc>
          <w:tcPr>
            <w:tcW w:w="992" w:type="dxa"/>
          </w:tcPr>
          <w:p w:rsidR="002007B9" w:rsidRDefault="002007B9" w:rsidP="002007B9">
            <w:pPr>
              <w:jc w:val="right"/>
              <w:rPr>
                <w:rStyle w:val="spacer"/>
              </w:rPr>
            </w:pPr>
            <w:r>
              <w:rPr>
                <w:rStyle w:val="spacer"/>
              </w:rPr>
              <w:t>1,6</w:t>
            </w:r>
          </w:p>
        </w:tc>
      </w:tr>
      <w:tr w:rsidR="002007B9" w:rsidTr="002007B9">
        <w:tc>
          <w:tcPr>
            <w:tcW w:w="3020" w:type="dxa"/>
          </w:tcPr>
          <w:p w:rsidR="002007B9" w:rsidRDefault="002007B9">
            <w:pPr>
              <w:rPr>
                <w:rStyle w:val="spacer"/>
              </w:rPr>
            </w:pPr>
            <w:r>
              <w:rPr>
                <w:rStyle w:val="spacer"/>
              </w:rPr>
              <w:t>Canada</w:t>
            </w:r>
          </w:p>
        </w:tc>
        <w:tc>
          <w:tcPr>
            <w:tcW w:w="1086" w:type="dxa"/>
          </w:tcPr>
          <w:p w:rsidR="002007B9" w:rsidRDefault="002007B9" w:rsidP="002007B9">
            <w:pPr>
              <w:jc w:val="right"/>
              <w:rPr>
                <w:rStyle w:val="spacer"/>
              </w:rPr>
            </w:pPr>
            <w:r>
              <w:rPr>
                <w:rStyle w:val="spacer"/>
              </w:rPr>
              <w:t>3,3</w:t>
            </w:r>
          </w:p>
        </w:tc>
        <w:tc>
          <w:tcPr>
            <w:tcW w:w="992" w:type="dxa"/>
          </w:tcPr>
          <w:p w:rsidR="002007B9" w:rsidRDefault="002007B9" w:rsidP="002007B9">
            <w:pPr>
              <w:jc w:val="right"/>
              <w:rPr>
                <w:rStyle w:val="spacer"/>
              </w:rPr>
            </w:pPr>
            <w:r>
              <w:rPr>
                <w:rStyle w:val="spacer"/>
              </w:rPr>
              <w:t>3,1</w:t>
            </w:r>
          </w:p>
        </w:tc>
      </w:tr>
      <w:tr w:rsidR="002007B9" w:rsidTr="002007B9">
        <w:tc>
          <w:tcPr>
            <w:tcW w:w="3020" w:type="dxa"/>
          </w:tcPr>
          <w:p w:rsidR="002007B9" w:rsidRDefault="002007B9">
            <w:pPr>
              <w:rPr>
                <w:rStyle w:val="spacer"/>
              </w:rPr>
            </w:pPr>
            <w:r>
              <w:rPr>
                <w:rStyle w:val="spacer"/>
              </w:rPr>
              <w:t>United States</w:t>
            </w:r>
          </w:p>
        </w:tc>
        <w:tc>
          <w:tcPr>
            <w:tcW w:w="1086" w:type="dxa"/>
          </w:tcPr>
          <w:p w:rsidR="002007B9" w:rsidRDefault="002007B9" w:rsidP="002007B9">
            <w:pPr>
              <w:jc w:val="right"/>
              <w:rPr>
                <w:rStyle w:val="spacer"/>
              </w:rPr>
            </w:pPr>
            <w:r>
              <w:rPr>
                <w:rStyle w:val="spacer"/>
              </w:rPr>
              <w:t>17,6</w:t>
            </w:r>
          </w:p>
        </w:tc>
        <w:tc>
          <w:tcPr>
            <w:tcW w:w="992" w:type="dxa"/>
          </w:tcPr>
          <w:p w:rsidR="002007B9" w:rsidRDefault="002007B9" w:rsidP="002007B9">
            <w:pPr>
              <w:jc w:val="right"/>
              <w:rPr>
                <w:rStyle w:val="spacer"/>
              </w:rPr>
            </w:pPr>
            <w:r>
              <w:rPr>
                <w:rStyle w:val="spacer"/>
              </w:rPr>
              <w:t>17,3</w:t>
            </w:r>
          </w:p>
        </w:tc>
      </w:tr>
      <w:tr w:rsidR="002007B9" w:rsidTr="002007B9">
        <w:tc>
          <w:tcPr>
            <w:tcW w:w="3020" w:type="dxa"/>
          </w:tcPr>
          <w:p w:rsidR="002007B9" w:rsidRDefault="002007B9">
            <w:pPr>
              <w:rPr>
                <w:rStyle w:val="spacer"/>
              </w:rPr>
            </w:pPr>
            <w:r>
              <w:rPr>
                <w:rStyle w:val="spacer"/>
              </w:rPr>
              <w:t>Mexico</w:t>
            </w:r>
          </w:p>
        </w:tc>
        <w:tc>
          <w:tcPr>
            <w:tcW w:w="1086" w:type="dxa"/>
          </w:tcPr>
          <w:p w:rsidR="002007B9" w:rsidRDefault="002007B9" w:rsidP="002007B9">
            <w:pPr>
              <w:jc w:val="right"/>
              <w:rPr>
                <w:rStyle w:val="spacer"/>
              </w:rPr>
            </w:pPr>
            <w:r>
              <w:rPr>
                <w:rStyle w:val="spacer"/>
              </w:rPr>
              <w:t>2,5</w:t>
            </w:r>
          </w:p>
        </w:tc>
        <w:tc>
          <w:tcPr>
            <w:tcW w:w="992" w:type="dxa"/>
          </w:tcPr>
          <w:p w:rsidR="002007B9" w:rsidRDefault="002007B9" w:rsidP="002007B9">
            <w:pPr>
              <w:jc w:val="right"/>
              <w:rPr>
                <w:rStyle w:val="spacer"/>
              </w:rPr>
            </w:pPr>
            <w:r>
              <w:rPr>
                <w:rStyle w:val="spacer"/>
              </w:rPr>
              <w:t>3,0</w:t>
            </w:r>
          </w:p>
        </w:tc>
      </w:tr>
      <w:tr w:rsidR="002007B9" w:rsidTr="002007B9">
        <w:tc>
          <w:tcPr>
            <w:tcW w:w="3020" w:type="dxa"/>
          </w:tcPr>
          <w:p w:rsidR="002007B9" w:rsidRDefault="002007B9">
            <w:pPr>
              <w:rPr>
                <w:rStyle w:val="spacer"/>
              </w:rPr>
            </w:pPr>
            <w:r>
              <w:rPr>
                <w:rStyle w:val="spacer"/>
              </w:rPr>
              <w:t>Brazil</w:t>
            </w:r>
          </w:p>
        </w:tc>
        <w:tc>
          <w:tcPr>
            <w:tcW w:w="1086" w:type="dxa"/>
          </w:tcPr>
          <w:p w:rsidR="002007B9" w:rsidRDefault="002007B9" w:rsidP="002007B9">
            <w:pPr>
              <w:jc w:val="right"/>
              <w:rPr>
                <w:rStyle w:val="spacer"/>
              </w:rPr>
            </w:pPr>
            <w:r>
              <w:rPr>
                <w:rStyle w:val="spacer"/>
              </w:rPr>
              <w:t>1,4</w:t>
            </w:r>
          </w:p>
        </w:tc>
        <w:tc>
          <w:tcPr>
            <w:tcW w:w="992" w:type="dxa"/>
          </w:tcPr>
          <w:p w:rsidR="002007B9" w:rsidRDefault="002007B9" w:rsidP="002007B9">
            <w:pPr>
              <w:jc w:val="right"/>
              <w:rPr>
                <w:rStyle w:val="spacer"/>
              </w:rPr>
            </w:pPr>
            <w:r>
              <w:rPr>
                <w:rStyle w:val="spacer"/>
              </w:rPr>
              <w:t>1,1</w:t>
            </w:r>
          </w:p>
        </w:tc>
      </w:tr>
      <w:tr w:rsidR="002007B9" w:rsidTr="002007B9">
        <w:tc>
          <w:tcPr>
            <w:tcW w:w="3020" w:type="dxa"/>
          </w:tcPr>
          <w:p w:rsidR="002007B9" w:rsidRDefault="002007B9">
            <w:pPr>
              <w:rPr>
                <w:rStyle w:val="spacer"/>
              </w:rPr>
            </w:pPr>
            <w:r>
              <w:rPr>
                <w:rStyle w:val="spacer"/>
              </w:rPr>
              <w:t>China except Hongkong</w:t>
            </w:r>
          </w:p>
        </w:tc>
        <w:tc>
          <w:tcPr>
            <w:tcW w:w="1086" w:type="dxa"/>
          </w:tcPr>
          <w:p w:rsidR="002007B9" w:rsidRDefault="002007B9" w:rsidP="002007B9">
            <w:pPr>
              <w:jc w:val="right"/>
              <w:rPr>
                <w:rStyle w:val="spacer"/>
              </w:rPr>
            </w:pPr>
            <w:r>
              <w:rPr>
                <w:rStyle w:val="spacer"/>
              </w:rPr>
              <w:t>9,2</w:t>
            </w:r>
          </w:p>
        </w:tc>
        <w:tc>
          <w:tcPr>
            <w:tcW w:w="992" w:type="dxa"/>
          </w:tcPr>
          <w:p w:rsidR="002007B9" w:rsidRDefault="002007B9" w:rsidP="002007B9">
            <w:pPr>
              <w:jc w:val="right"/>
              <w:rPr>
                <w:rStyle w:val="spacer"/>
              </w:rPr>
            </w:pPr>
            <w:r>
              <w:rPr>
                <w:rStyle w:val="spacer"/>
              </w:rPr>
              <w:t>13,3</w:t>
            </w:r>
          </w:p>
        </w:tc>
      </w:tr>
      <w:tr w:rsidR="002007B9" w:rsidTr="002007B9">
        <w:tc>
          <w:tcPr>
            <w:tcW w:w="3020" w:type="dxa"/>
          </w:tcPr>
          <w:p w:rsidR="002007B9" w:rsidRDefault="002007B9">
            <w:pPr>
              <w:rPr>
                <w:rStyle w:val="spacer"/>
              </w:rPr>
            </w:pPr>
            <w:r>
              <w:rPr>
                <w:rStyle w:val="spacer"/>
              </w:rPr>
              <w:t>Japan</w:t>
            </w:r>
          </w:p>
        </w:tc>
        <w:tc>
          <w:tcPr>
            <w:tcW w:w="1086" w:type="dxa"/>
          </w:tcPr>
          <w:p w:rsidR="002007B9" w:rsidRDefault="002007B9" w:rsidP="002007B9">
            <w:pPr>
              <w:jc w:val="right"/>
              <w:rPr>
                <w:rStyle w:val="spacer"/>
              </w:rPr>
            </w:pPr>
            <w:r>
              <w:rPr>
                <w:rStyle w:val="spacer"/>
              </w:rPr>
              <w:t>6,2</w:t>
            </w:r>
          </w:p>
        </w:tc>
        <w:tc>
          <w:tcPr>
            <w:tcW w:w="992" w:type="dxa"/>
          </w:tcPr>
          <w:p w:rsidR="002007B9" w:rsidRDefault="002007B9" w:rsidP="002007B9">
            <w:pPr>
              <w:jc w:val="right"/>
              <w:rPr>
                <w:rStyle w:val="spacer"/>
              </w:rPr>
            </w:pPr>
            <w:r>
              <w:rPr>
                <w:rStyle w:val="spacer"/>
              </w:rPr>
              <w:t>4,8</w:t>
            </w:r>
          </w:p>
        </w:tc>
      </w:tr>
      <w:tr w:rsidR="002007B9" w:rsidTr="002007B9">
        <w:tc>
          <w:tcPr>
            <w:tcW w:w="3020" w:type="dxa"/>
          </w:tcPr>
          <w:p w:rsidR="002007B9" w:rsidRDefault="002007B9">
            <w:pPr>
              <w:rPr>
                <w:rStyle w:val="spacer"/>
              </w:rPr>
            </w:pPr>
            <w:r>
              <w:rPr>
                <w:rStyle w:val="spacer"/>
              </w:rPr>
              <w:t>South Corea</w:t>
            </w:r>
          </w:p>
        </w:tc>
        <w:tc>
          <w:tcPr>
            <w:tcW w:w="1086" w:type="dxa"/>
          </w:tcPr>
          <w:p w:rsidR="002007B9" w:rsidRDefault="002007B9" w:rsidP="002007B9">
            <w:pPr>
              <w:jc w:val="right"/>
              <w:rPr>
                <w:rStyle w:val="spacer"/>
              </w:rPr>
            </w:pPr>
            <w:r>
              <w:rPr>
                <w:rStyle w:val="spacer"/>
              </w:rPr>
              <w:t>3,5</w:t>
            </w:r>
          </w:p>
        </w:tc>
        <w:tc>
          <w:tcPr>
            <w:tcW w:w="992" w:type="dxa"/>
          </w:tcPr>
          <w:p w:rsidR="002007B9" w:rsidRDefault="002007B9" w:rsidP="002007B9">
            <w:pPr>
              <w:jc w:val="right"/>
              <w:rPr>
                <w:rStyle w:val="spacer"/>
              </w:rPr>
            </w:pPr>
            <w:r>
              <w:rPr>
                <w:rStyle w:val="spacer"/>
              </w:rPr>
              <w:t>3,4</w:t>
            </w:r>
          </w:p>
        </w:tc>
      </w:tr>
      <w:tr w:rsidR="002007B9" w:rsidTr="002007B9">
        <w:tc>
          <w:tcPr>
            <w:tcW w:w="3020" w:type="dxa"/>
          </w:tcPr>
          <w:p w:rsidR="002007B9" w:rsidRDefault="002007B9">
            <w:pPr>
              <w:rPr>
                <w:rStyle w:val="spacer"/>
              </w:rPr>
            </w:pPr>
            <w:r>
              <w:rPr>
                <w:rStyle w:val="spacer"/>
              </w:rPr>
              <w:t>India</w:t>
            </w:r>
          </w:p>
        </w:tc>
        <w:tc>
          <w:tcPr>
            <w:tcW w:w="1086" w:type="dxa"/>
          </w:tcPr>
          <w:p w:rsidR="002007B9" w:rsidRDefault="002007B9" w:rsidP="002007B9">
            <w:pPr>
              <w:jc w:val="right"/>
              <w:rPr>
                <w:rStyle w:val="spacer"/>
              </w:rPr>
            </w:pPr>
            <w:r>
              <w:rPr>
                <w:rStyle w:val="spacer"/>
              </w:rPr>
              <w:t>2,6</w:t>
            </w:r>
          </w:p>
        </w:tc>
        <w:tc>
          <w:tcPr>
            <w:tcW w:w="992" w:type="dxa"/>
          </w:tcPr>
          <w:p w:rsidR="002007B9" w:rsidRDefault="002007B9" w:rsidP="002007B9">
            <w:pPr>
              <w:jc w:val="right"/>
              <w:rPr>
                <w:rStyle w:val="spacer"/>
              </w:rPr>
            </w:pPr>
            <w:r>
              <w:rPr>
                <w:rStyle w:val="spacer"/>
              </w:rPr>
              <w:t>3,2</w:t>
            </w:r>
          </w:p>
        </w:tc>
      </w:tr>
      <w:tr w:rsidR="002007B9" w:rsidTr="002007B9">
        <w:tc>
          <w:tcPr>
            <w:tcW w:w="3020" w:type="dxa"/>
          </w:tcPr>
          <w:p w:rsidR="002007B9" w:rsidRDefault="002007B9">
            <w:pPr>
              <w:rPr>
                <w:rStyle w:val="spacer"/>
              </w:rPr>
            </w:pPr>
            <w:r>
              <w:rPr>
                <w:rStyle w:val="spacer"/>
              </w:rPr>
              <w:t>Singapore</w:t>
            </w:r>
          </w:p>
        </w:tc>
        <w:tc>
          <w:tcPr>
            <w:tcW w:w="1086" w:type="dxa"/>
          </w:tcPr>
          <w:p w:rsidR="002007B9" w:rsidRDefault="002007B9" w:rsidP="002007B9">
            <w:pPr>
              <w:jc w:val="right"/>
              <w:rPr>
                <w:rStyle w:val="spacer"/>
              </w:rPr>
            </w:pPr>
            <w:r>
              <w:rPr>
                <w:rStyle w:val="spacer"/>
              </w:rPr>
              <w:t>2,6</w:t>
            </w:r>
          </w:p>
        </w:tc>
        <w:tc>
          <w:tcPr>
            <w:tcW w:w="992" w:type="dxa"/>
          </w:tcPr>
          <w:p w:rsidR="002007B9" w:rsidRDefault="002007B9" w:rsidP="002007B9">
            <w:pPr>
              <w:jc w:val="right"/>
              <w:rPr>
                <w:rStyle w:val="spacer"/>
              </w:rPr>
            </w:pPr>
            <w:r>
              <w:rPr>
                <w:rStyle w:val="spacer"/>
              </w:rPr>
              <w:t>2,4</w:t>
            </w:r>
          </w:p>
        </w:tc>
      </w:tr>
      <w:tr w:rsidR="002007B9" w:rsidTr="002007B9">
        <w:tc>
          <w:tcPr>
            <w:tcW w:w="3020" w:type="dxa"/>
          </w:tcPr>
          <w:p w:rsidR="002007B9" w:rsidRDefault="002007B9">
            <w:pPr>
              <w:rPr>
                <w:rStyle w:val="spacer"/>
              </w:rPr>
            </w:pPr>
            <w:r>
              <w:rPr>
                <w:rStyle w:val="spacer"/>
              </w:rPr>
              <w:t>Total</w:t>
            </w:r>
          </w:p>
        </w:tc>
        <w:tc>
          <w:tcPr>
            <w:tcW w:w="1086" w:type="dxa"/>
          </w:tcPr>
          <w:p w:rsidR="002007B9" w:rsidRDefault="002007B9" w:rsidP="002007B9">
            <w:pPr>
              <w:jc w:val="right"/>
              <w:rPr>
                <w:rStyle w:val="spacer"/>
              </w:rPr>
            </w:pPr>
            <w:r>
              <w:rPr>
                <w:rStyle w:val="spacer"/>
              </w:rPr>
              <w:fldChar w:fldCharType="begin"/>
            </w:r>
            <w:r>
              <w:rPr>
                <w:rStyle w:val="spacer"/>
              </w:rPr>
              <w:instrText xml:space="preserve"> =SUM(ABOVE) </w:instrText>
            </w:r>
            <w:r>
              <w:rPr>
                <w:rStyle w:val="spacer"/>
              </w:rPr>
              <w:fldChar w:fldCharType="separate"/>
            </w:r>
            <w:r>
              <w:rPr>
                <w:rStyle w:val="spacer"/>
                <w:noProof/>
              </w:rPr>
              <w:t>70,1</w:t>
            </w:r>
            <w:r>
              <w:rPr>
                <w:rStyle w:val="spacer"/>
              </w:rPr>
              <w:fldChar w:fldCharType="end"/>
            </w:r>
          </w:p>
        </w:tc>
        <w:tc>
          <w:tcPr>
            <w:tcW w:w="992" w:type="dxa"/>
          </w:tcPr>
          <w:p w:rsidR="002007B9" w:rsidRDefault="002007B9" w:rsidP="002007B9">
            <w:pPr>
              <w:jc w:val="right"/>
              <w:rPr>
                <w:rStyle w:val="spacer"/>
              </w:rPr>
            </w:pPr>
            <w:r>
              <w:rPr>
                <w:rStyle w:val="spacer"/>
              </w:rPr>
              <w:fldChar w:fldCharType="begin"/>
            </w:r>
            <w:r>
              <w:rPr>
                <w:rStyle w:val="spacer"/>
              </w:rPr>
              <w:instrText xml:space="preserve"> =SUM(ABOVE) </w:instrText>
            </w:r>
            <w:r>
              <w:rPr>
                <w:rStyle w:val="spacer"/>
              </w:rPr>
              <w:fldChar w:fldCharType="separate"/>
            </w:r>
            <w:r>
              <w:rPr>
                <w:rStyle w:val="spacer"/>
                <w:noProof/>
              </w:rPr>
              <w:t>68,3</w:t>
            </w:r>
            <w:r>
              <w:rPr>
                <w:rStyle w:val="spacer"/>
              </w:rPr>
              <w:fldChar w:fldCharType="end"/>
            </w:r>
          </w:p>
        </w:tc>
      </w:tr>
    </w:tbl>
    <w:p w:rsidR="00505EE9" w:rsidRDefault="00505EE9">
      <w:pPr>
        <w:rPr>
          <w:rStyle w:val="spacer"/>
        </w:rPr>
      </w:pPr>
    </w:p>
    <w:p w:rsidR="00783598" w:rsidRDefault="00783598">
      <w:pPr>
        <w:rPr>
          <w:noProof/>
        </w:rPr>
      </w:pPr>
      <w:r w:rsidRPr="00340E4C">
        <w:rPr>
          <w:rStyle w:val="spacer"/>
        </w:rPr>
        <w:t> </w:t>
      </w:r>
    </w:p>
    <w:p w:rsidR="001F7081" w:rsidRDefault="001F7081">
      <w:pPr>
        <w:rPr>
          <w:noProof/>
        </w:rPr>
      </w:pPr>
    </w:p>
    <w:p w:rsidR="001F7081" w:rsidRPr="00340E4C" w:rsidRDefault="001F7081"/>
    <w:p w:rsidR="00783598" w:rsidRPr="00340E4C" w:rsidRDefault="00783598">
      <w:r w:rsidRPr="00340E4C">
        <w:t xml:space="preserve">Saldo zahraničního obchodu vyjadřuje </w:t>
      </w:r>
      <w:r w:rsidRPr="00340E4C">
        <w:rPr>
          <w:b/>
        </w:rPr>
        <w:t xml:space="preserve">obchodní bilance </w:t>
      </w:r>
      <w:r w:rsidRPr="00340E4C">
        <w:rPr>
          <w:bCs/>
        </w:rPr>
        <w:t>– viz dále</w:t>
      </w:r>
      <w:r w:rsidRPr="00340E4C">
        <w:t>.</w:t>
      </w:r>
    </w:p>
    <w:p w:rsidR="00783598" w:rsidRPr="00340E4C" w:rsidRDefault="00783598">
      <w:pPr>
        <w:spacing w:before="100" w:beforeAutospacing="1" w:after="100" w:afterAutospacing="1"/>
        <w:rPr>
          <w:b/>
          <w:bCs/>
          <w:u w:val="single"/>
        </w:rPr>
      </w:pPr>
      <w:r w:rsidRPr="00340E4C">
        <w:rPr>
          <w:b/>
          <w:bCs/>
          <w:u w:val="single"/>
        </w:rPr>
        <w:t>Teorie komparativních výhod</w:t>
      </w:r>
    </w:p>
    <w:p w:rsidR="00783598" w:rsidRPr="00340E4C" w:rsidRDefault="00783598">
      <w:pPr>
        <w:pStyle w:val="StandardWeb"/>
        <w:spacing w:before="100" w:beforeAutospacing="1" w:after="100" w:afterAutospacing="1"/>
        <w:jc w:val="both"/>
        <w:rPr>
          <w:szCs w:val="18"/>
        </w:rPr>
      </w:pPr>
      <w:r w:rsidRPr="00340E4C">
        <w:rPr>
          <w:b/>
          <w:bCs/>
          <w:szCs w:val="18"/>
        </w:rPr>
        <w:t xml:space="preserve">Zásada komparativní výhody </w:t>
      </w:r>
      <w:r w:rsidRPr="00340E4C">
        <w:rPr>
          <w:szCs w:val="18"/>
        </w:rPr>
        <w:t>tvrdí, že každá země se specializuje na výrobu a vývoz těch statků, které může vyrábět s relativně nižšími náklady (kde je relativně efektivnější než jiné země), naopak každá země bude dovážet ty statky, které vyrábí s relativně vyššími náklady (kde je relativně méně efektivní než jiné země). Ekonomické důvody pro mezinárodní obchod existují i tehdy, má-li jedna země absolutní výhodu při výrobě obou statků (všech), jestliže se obě země specializují na výrobu toho statku, který je pro ni relativně levnější. Jako první se teorií komparativní výhody zabýval anglický ekonom David Ricardo.</w:t>
      </w:r>
    </w:p>
    <w:p w:rsidR="00783598" w:rsidRPr="00340E4C" w:rsidRDefault="00783598">
      <w:pPr>
        <w:pStyle w:val="StandardWeb"/>
        <w:spacing w:before="100" w:beforeAutospacing="1" w:after="100" w:afterAutospacing="1"/>
        <w:jc w:val="both"/>
        <w:rPr>
          <w:szCs w:val="18"/>
        </w:rPr>
      </w:pPr>
      <w:r w:rsidRPr="00340E4C">
        <w:rPr>
          <w:b/>
          <w:bCs/>
          <w:szCs w:val="18"/>
        </w:rPr>
        <w:t xml:space="preserve">Absolutní výhoda - </w:t>
      </w:r>
      <w:r w:rsidRPr="00340E4C">
        <w:rPr>
          <w:szCs w:val="18"/>
        </w:rPr>
        <w:t>schopnost jedné země vyrábět komoditu efektivněji (tj. s větším výstupem na jednotku vstupu) než druhá země. Existence absolutní výhody však neznamená, že první země může tuto komoditu úspěšně vyvážet do druhé země (ta může mít komparativní výhodu). Strukturu mezinárodního obchodu tedy určuje komparativní výhoda a ne absolutní výhoda jedné země vůči zemi druhé.</w:t>
      </w:r>
    </w:p>
    <w:p w:rsidR="00783598" w:rsidRPr="00340E4C" w:rsidRDefault="00783598">
      <w:r w:rsidRPr="00340E4C">
        <w:rPr>
          <w:b/>
          <w:bCs/>
        </w:rPr>
        <w:t>Míra otevřenosti ekonomiky:</w:t>
      </w:r>
      <w:r w:rsidRPr="00340E4C">
        <w:t xml:space="preserve"> podíl vývozu statků na GDP.</w:t>
      </w:r>
    </w:p>
    <w:p w:rsidR="00783598" w:rsidRPr="00340E4C" w:rsidRDefault="00783598"/>
    <w:p w:rsidR="00783598" w:rsidRPr="00340E4C" w:rsidRDefault="00783598" w:rsidP="00636A7A">
      <w:pPr>
        <w:pStyle w:val="berschrift3"/>
      </w:pPr>
      <w:r w:rsidRPr="00340E4C">
        <w:t xml:space="preserve">Vliv měnového kurzu na vývoz: </w:t>
      </w:r>
    </w:p>
    <w:p w:rsidR="00783598" w:rsidRPr="00340E4C" w:rsidRDefault="00783598">
      <w:pPr>
        <w:jc w:val="both"/>
      </w:pPr>
      <w:r w:rsidRPr="00340E4C">
        <w:rPr>
          <w:b/>
        </w:rPr>
        <w:t>Pokles kurzu domácí měny zvyšuje vývoz</w:t>
      </w:r>
      <w:r w:rsidRPr="00340E4C">
        <w:t>: je-li kurz CZK/EUR 30, cena tuny pšenice 3.000,-CZK a v eurozóně 100,-EUR, získá obchodník za tunu pšenice 100 EUR, tedy právě 3.000,-CZK. Poklesne-li kurz na 40, získá obchodník prodejem tuny do zahraničí sice zase 100,-EUR, ale směnou těchto EUR na CZK získá 4.000,-CZK.</w:t>
      </w:r>
    </w:p>
    <w:p w:rsidR="00783598" w:rsidRPr="00340E4C" w:rsidRDefault="00783598">
      <w:r w:rsidRPr="00340E4C">
        <w:rPr>
          <w:b/>
        </w:rPr>
        <w:t>Analogicky růst kurzu domácí měny snižuje vývoz</w:t>
      </w:r>
      <w:r w:rsidRPr="00340E4C">
        <w:t xml:space="preserve">. </w:t>
      </w:r>
    </w:p>
    <w:p w:rsidR="00783598" w:rsidRPr="00340E4C" w:rsidRDefault="00783598"/>
    <w:p w:rsidR="00783598" w:rsidRPr="00340E4C" w:rsidRDefault="00783598" w:rsidP="00636A7A">
      <w:pPr>
        <w:pStyle w:val="berschrift3"/>
      </w:pPr>
      <w:r w:rsidRPr="00340E4C">
        <w:t>Vliv ceny na zahraniční obchod:</w:t>
      </w:r>
    </w:p>
    <w:p w:rsidR="00783598" w:rsidRPr="00340E4C" w:rsidRDefault="00783598">
      <w:pPr>
        <w:jc w:val="both"/>
      </w:pPr>
      <w:r w:rsidRPr="00340E4C">
        <w:rPr>
          <w:b/>
        </w:rPr>
        <w:t>Pokles ceny zvyšuje (ceteris paribus) vývoz</w:t>
      </w:r>
      <w:r w:rsidRPr="00340E4C">
        <w:t>: kurz CZK/EUR 30, cena pšenice 100 EUR, ale tuzemská cena klesne na 2.000,-CZK. Nákup za 2.000,-CZK, prodej na 100 EUR, směna EUR na CZK = 3.000,-CZK.</w:t>
      </w:r>
    </w:p>
    <w:p w:rsidR="00783598" w:rsidRPr="00340E4C" w:rsidRDefault="00783598">
      <w:pPr>
        <w:jc w:val="both"/>
      </w:pPr>
      <w:r w:rsidRPr="00340E4C">
        <w:rPr>
          <w:b/>
        </w:rPr>
        <w:lastRenderedPageBreak/>
        <w:t>Vzrůst ceny snižuje vývoz (zvyšuje dovoz).</w:t>
      </w:r>
      <w:r w:rsidRPr="00340E4C">
        <w:t xml:space="preserve">   </w:t>
      </w:r>
    </w:p>
    <w:p w:rsidR="00783598" w:rsidRPr="00340E4C" w:rsidRDefault="00783598"/>
    <w:p w:rsidR="00783598" w:rsidRPr="00340E4C" w:rsidRDefault="00783598" w:rsidP="00636A7A">
      <w:pPr>
        <w:pStyle w:val="berschrift3"/>
      </w:pPr>
      <w:r w:rsidRPr="00340E4C">
        <w:t>Vliv obchodního ochranářství</w:t>
      </w:r>
    </w:p>
    <w:p w:rsidR="00783598" w:rsidRPr="00340E4C" w:rsidRDefault="00783598">
      <w:pPr>
        <w:jc w:val="both"/>
      </w:pPr>
      <w:r w:rsidRPr="00340E4C">
        <w:t xml:space="preserve">Co to je obchodní ochranářství? Bariéry zahraničního obchodu údajně v zájmu povzbuzení domácí ekonomiky, například dovozní cla, necelní bariéry apod. Žijeme v době velice volného obchodu a doufejme, že to tak zůstane i v dobách hospodářských krizí. Tato situace však byla vybojována teprve v posledních desetiletích. Nelze tedy vyloučit, že se vláda může kdykoli k ochranářským opatřením vrátit. Pravda ovšem je, že naprostá většina obchodu se odehrává v rámci Evropské unie. Dovoz z mimoevropského prostoru se týká surovin, na něž je kontraproduktivní uvalovat clo. </w:t>
      </w:r>
    </w:p>
    <w:p w:rsidR="00783598" w:rsidRPr="00340E4C" w:rsidRDefault="00783598">
      <w:pPr>
        <w:jc w:val="both"/>
      </w:pPr>
      <w:r w:rsidRPr="00340E4C">
        <w:t>Jak se projeví dovozní clo, přirážka na dovozní cenu zboží? Cílem dovozního cla je snížit obchodní schodek. Clo v nejprve sníží dovoz. Nezabrání však přílivu zahraničních investic, vyvolaných obchodním schodkem. Příliv zahraničních investic zvyšuje poptávku po domácí měně, zvyšuje její kurz, a tak dále posiluje dovoz, dokud se nevyrovná dovoz s přílivem zahraničních investic.</w:t>
      </w:r>
    </w:p>
    <w:p w:rsidR="00783598" w:rsidRPr="00340E4C" w:rsidRDefault="00783598">
      <w:pPr>
        <w:jc w:val="both"/>
      </w:pPr>
      <w:r w:rsidRPr="00340E4C">
        <w:t>Odpovídající účinek mají vývozní příplatky apod.</w:t>
      </w:r>
    </w:p>
    <w:p w:rsidR="00783598" w:rsidRPr="00340E4C" w:rsidRDefault="00783598" w:rsidP="00636A7A">
      <w:pPr>
        <w:pStyle w:val="berschrift2"/>
      </w:pPr>
      <w:r w:rsidRPr="00340E4C">
        <w:t>Vnější ekonomická rovnováha</w:t>
      </w:r>
    </w:p>
    <w:p w:rsidR="00783598" w:rsidRPr="00340E4C" w:rsidRDefault="00783598">
      <w:pPr>
        <w:pStyle w:val="Textkrper"/>
      </w:pPr>
      <w:r w:rsidRPr="00340E4C">
        <w:t>Přes hranice neprochází jen zboží a platby za ně, ale i kapitál a práce a platby za ně a další platby. Proč se výrobní faktory pohybují přes hranice?</w:t>
      </w:r>
    </w:p>
    <w:p w:rsidR="00783598" w:rsidRPr="00340E4C" w:rsidRDefault="00783598" w:rsidP="001741A7">
      <w:pPr>
        <w:numPr>
          <w:ilvl w:val="0"/>
          <w:numId w:val="1"/>
        </w:numPr>
        <w:jc w:val="both"/>
      </w:pPr>
      <w:r w:rsidRPr="00340E4C">
        <w:t>očekávají za hranicemi vyšší výnos (včetně nižšího zdanění)</w:t>
      </w:r>
    </w:p>
    <w:p w:rsidR="00783598" w:rsidRPr="00340E4C" w:rsidRDefault="00783598" w:rsidP="001741A7">
      <w:pPr>
        <w:numPr>
          <w:ilvl w:val="0"/>
          <w:numId w:val="1"/>
        </w:numPr>
        <w:jc w:val="both"/>
      </w:pPr>
      <w:r w:rsidRPr="00340E4C">
        <w:t>očekávají nižší riziko</w:t>
      </w:r>
    </w:p>
    <w:p w:rsidR="00783598" w:rsidRPr="00340E4C" w:rsidRDefault="00783598" w:rsidP="001741A7">
      <w:pPr>
        <w:numPr>
          <w:ilvl w:val="0"/>
          <w:numId w:val="1"/>
        </w:numPr>
        <w:jc w:val="both"/>
      </w:pPr>
      <w:r w:rsidRPr="00340E4C">
        <w:t>očekávají výhodnější zákonný rámec (menší regulaci, menší hrozbu státního bankrotu nebo zestátnění soukromého majetku)</w:t>
      </w:r>
    </w:p>
    <w:p w:rsidR="00783598" w:rsidRPr="00340E4C" w:rsidRDefault="00783598"/>
    <w:p w:rsidR="00605BCE" w:rsidRPr="00340E4C" w:rsidRDefault="00605BCE"/>
    <w:p w:rsidR="00783598" w:rsidRPr="00340E4C" w:rsidRDefault="00783598"/>
    <w:p w:rsidR="00783598" w:rsidRPr="00340E4C" w:rsidRDefault="00783598"/>
    <w:p w:rsidR="00783598" w:rsidRPr="00340E4C" w:rsidRDefault="00783598"/>
    <w:p w:rsidR="00783598" w:rsidRPr="00340E4C" w:rsidRDefault="00783598"/>
    <w:p w:rsidR="00783598" w:rsidRPr="00340E4C" w:rsidRDefault="00783598">
      <w:r w:rsidRPr="00340E4C">
        <w:t xml:space="preserve">Finanční toky se zahraničím jako celek zachycuje </w:t>
      </w:r>
      <w:r w:rsidRPr="00340E4C">
        <w:rPr>
          <w:b/>
        </w:rPr>
        <w:t>platební bilance</w:t>
      </w:r>
      <w:r w:rsidRPr="00340E4C">
        <w:t>:</w:t>
      </w:r>
    </w:p>
    <w:p w:rsidR="00783598" w:rsidRPr="00340E4C" w:rsidRDefault="00783598"/>
    <w:p w:rsidR="00783598" w:rsidRPr="00340E4C" w:rsidRDefault="00783598">
      <w:r w:rsidRPr="00340E4C">
        <w:t>Ukázka operací v platební bilanci: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34"/>
        <w:gridCol w:w="2135"/>
        <w:gridCol w:w="2135"/>
      </w:tblGrid>
      <w:tr w:rsidR="00783598" w:rsidRPr="00340E4C">
        <w:tc>
          <w:tcPr>
            <w:tcW w:w="2808" w:type="dxa"/>
          </w:tcPr>
          <w:p w:rsidR="00783598" w:rsidRPr="00340E4C" w:rsidRDefault="00783598">
            <w:pPr>
              <w:jc w:val="center"/>
            </w:pPr>
            <w:r w:rsidRPr="00340E4C">
              <w:t>Název operace</w:t>
            </w:r>
          </w:p>
        </w:tc>
        <w:tc>
          <w:tcPr>
            <w:tcW w:w="2134" w:type="dxa"/>
          </w:tcPr>
          <w:p w:rsidR="00783598" w:rsidRPr="00340E4C" w:rsidRDefault="00783598">
            <w:pPr>
              <w:jc w:val="center"/>
            </w:pPr>
            <w:r w:rsidRPr="00340E4C">
              <w:t>Platby ze zahraničí</w:t>
            </w:r>
          </w:p>
        </w:tc>
        <w:tc>
          <w:tcPr>
            <w:tcW w:w="2135" w:type="dxa"/>
          </w:tcPr>
          <w:p w:rsidR="00783598" w:rsidRPr="00340E4C" w:rsidRDefault="00783598">
            <w:pPr>
              <w:jc w:val="center"/>
            </w:pPr>
            <w:r w:rsidRPr="00340E4C">
              <w:t>Platby do zahraničí</w:t>
            </w:r>
          </w:p>
        </w:tc>
        <w:tc>
          <w:tcPr>
            <w:tcW w:w="2135" w:type="dxa"/>
          </w:tcPr>
          <w:p w:rsidR="00783598" w:rsidRPr="00340E4C" w:rsidRDefault="00783598">
            <w:pPr>
              <w:jc w:val="center"/>
            </w:pPr>
            <w:r w:rsidRPr="00340E4C">
              <w:t>Bilance</w:t>
            </w:r>
          </w:p>
        </w:tc>
      </w:tr>
      <w:tr w:rsidR="00783598" w:rsidRPr="00340E4C">
        <w:tc>
          <w:tcPr>
            <w:tcW w:w="2808" w:type="dxa"/>
          </w:tcPr>
          <w:p w:rsidR="00783598" w:rsidRPr="00340E4C" w:rsidRDefault="00783598">
            <w:r w:rsidRPr="00340E4C">
              <w:t>Vývoz zboží v mld CZK</w:t>
            </w:r>
          </w:p>
        </w:tc>
        <w:tc>
          <w:tcPr>
            <w:tcW w:w="2134" w:type="dxa"/>
          </w:tcPr>
          <w:p w:rsidR="00783598" w:rsidRPr="00340E4C" w:rsidRDefault="00783598">
            <w:pPr>
              <w:jc w:val="right"/>
            </w:pPr>
            <w:r w:rsidRPr="00340E4C">
              <w:t>+1500</w:t>
            </w:r>
          </w:p>
        </w:tc>
        <w:tc>
          <w:tcPr>
            <w:tcW w:w="2135" w:type="dxa"/>
          </w:tcPr>
          <w:p w:rsidR="00783598" w:rsidRPr="00340E4C" w:rsidRDefault="00783598">
            <w:pPr>
              <w:jc w:val="right"/>
            </w:pPr>
          </w:p>
        </w:tc>
        <w:tc>
          <w:tcPr>
            <w:tcW w:w="2135" w:type="dxa"/>
          </w:tcPr>
          <w:p w:rsidR="00783598" w:rsidRPr="00340E4C" w:rsidRDefault="00783598">
            <w:pPr>
              <w:jc w:val="right"/>
            </w:pPr>
          </w:p>
        </w:tc>
      </w:tr>
      <w:tr w:rsidR="00783598" w:rsidRPr="00340E4C">
        <w:tc>
          <w:tcPr>
            <w:tcW w:w="2808" w:type="dxa"/>
          </w:tcPr>
          <w:p w:rsidR="00783598" w:rsidRPr="00340E4C" w:rsidRDefault="00783598">
            <w:r w:rsidRPr="00340E4C">
              <w:t>Dovoz zboží v mld CZK</w:t>
            </w:r>
          </w:p>
        </w:tc>
        <w:tc>
          <w:tcPr>
            <w:tcW w:w="2134" w:type="dxa"/>
          </w:tcPr>
          <w:p w:rsidR="00783598" w:rsidRPr="00340E4C" w:rsidRDefault="00783598">
            <w:pPr>
              <w:jc w:val="right"/>
            </w:pPr>
          </w:p>
        </w:tc>
        <w:tc>
          <w:tcPr>
            <w:tcW w:w="2135" w:type="dxa"/>
          </w:tcPr>
          <w:p w:rsidR="00783598" w:rsidRPr="00340E4C" w:rsidRDefault="00783598">
            <w:pPr>
              <w:jc w:val="right"/>
            </w:pPr>
            <w:r w:rsidRPr="00340E4C">
              <w:t>-1600</w:t>
            </w:r>
          </w:p>
        </w:tc>
        <w:tc>
          <w:tcPr>
            <w:tcW w:w="2135" w:type="dxa"/>
          </w:tcPr>
          <w:p w:rsidR="00783598" w:rsidRPr="00340E4C" w:rsidRDefault="00783598">
            <w:pPr>
              <w:jc w:val="right"/>
            </w:pPr>
          </w:p>
        </w:tc>
      </w:tr>
      <w:tr w:rsidR="00783598" w:rsidRPr="00340E4C">
        <w:tc>
          <w:tcPr>
            <w:tcW w:w="2808" w:type="dxa"/>
          </w:tcPr>
          <w:p w:rsidR="00783598" w:rsidRPr="00340E4C" w:rsidRDefault="00783598">
            <w:pPr>
              <w:rPr>
                <w:b/>
              </w:rPr>
            </w:pPr>
            <w:r w:rsidRPr="00340E4C">
              <w:rPr>
                <w:b/>
              </w:rPr>
              <w:t>A. Obchodní bilance</w:t>
            </w:r>
          </w:p>
        </w:tc>
        <w:tc>
          <w:tcPr>
            <w:tcW w:w="2134" w:type="dxa"/>
          </w:tcPr>
          <w:p w:rsidR="00783598" w:rsidRPr="00340E4C" w:rsidRDefault="00783598">
            <w:pPr>
              <w:jc w:val="right"/>
              <w:rPr>
                <w:b/>
              </w:rPr>
            </w:pPr>
          </w:p>
        </w:tc>
        <w:tc>
          <w:tcPr>
            <w:tcW w:w="2135" w:type="dxa"/>
          </w:tcPr>
          <w:p w:rsidR="00783598" w:rsidRPr="00340E4C" w:rsidRDefault="00783598">
            <w:pPr>
              <w:jc w:val="right"/>
              <w:rPr>
                <w:b/>
              </w:rPr>
            </w:pPr>
          </w:p>
        </w:tc>
        <w:tc>
          <w:tcPr>
            <w:tcW w:w="2135" w:type="dxa"/>
          </w:tcPr>
          <w:p w:rsidR="00783598" w:rsidRPr="00340E4C" w:rsidRDefault="00783598">
            <w:pPr>
              <w:jc w:val="right"/>
              <w:rPr>
                <w:b/>
              </w:rPr>
            </w:pPr>
            <w:r w:rsidRPr="00340E4C">
              <w:rPr>
                <w:b/>
              </w:rPr>
              <w:t>-100</w:t>
            </w:r>
          </w:p>
        </w:tc>
      </w:tr>
      <w:tr w:rsidR="00783598" w:rsidRPr="00340E4C">
        <w:tc>
          <w:tcPr>
            <w:tcW w:w="2808" w:type="dxa"/>
          </w:tcPr>
          <w:p w:rsidR="00783598" w:rsidRPr="00340E4C" w:rsidRDefault="00783598">
            <w:r w:rsidRPr="00340E4C">
              <w:t>Vývoz služeb v mld CZK</w:t>
            </w:r>
          </w:p>
        </w:tc>
        <w:tc>
          <w:tcPr>
            <w:tcW w:w="2134" w:type="dxa"/>
          </w:tcPr>
          <w:p w:rsidR="00783598" w:rsidRPr="00340E4C" w:rsidRDefault="00783598">
            <w:pPr>
              <w:jc w:val="right"/>
            </w:pPr>
            <w:r w:rsidRPr="00340E4C">
              <w:t>+300</w:t>
            </w:r>
          </w:p>
        </w:tc>
        <w:tc>
          <w:tcPr>
            <w:tcW w:w="2135" w:type="dxa"/>
          </w:tcPr>
          <w:p w:rsidR="00783598" w:rsidRPr="00340E4C" w:rsidRDefault="00783598">
            <w:pPr>
              <w:jc w:val="right"/>
            </w:pPr>
          </w:p>
        </w:tc>
        <w:tc>
          <w:tcPr>
            <w:tcW w:w="2135" w:type="dxa"/>
          </w:tcPr>
          <w:p w:rsidR="00783598" w:rsidRPr="00340E4C" w:rsidRDefault="00783598">
            <w:pPr>
              <w:jc w:val="right"/>
            </w:pPr>
          </w:p>
        </w:tc>
      </w:tr>
      <w:tr w:rsidR="00783598" w:rsidRPr="00340E4C">
        <w:tc>
          <w:tcPr>
            <w:tcW w:w="2808" w:type="dxa"/>
          </w:tcPr>
          <w:p w:rsidR="00783598" w:rsidRPr="00340E4C" w:rsidRDefault="00783598">
            <w:r w:rsidRPr="00340E4C">
              <w:t>Dovoz služeb v mld CZK</w:t>
            </w:r>
          </w:p>
        </w:tc>
        <w:tc>
          <w:tcPr>
            <w:tcW w:w="2134" w:type="dxa"/>
          </w:tcPr>
          <w:p w:rsidR="00783598" w:rsidRPr="00340E4C" w:rsidRDefault="00783598">
            <w:pPr>
              <w:jc w:val="right"/>
            </w:pPr>
          </w:p>
        </w:tc>
        <w:tc>
          <w:tcPr>
            <w:tcW w:w="2135" w:type="dxa"/>
          </w:tcPr>
          <w:p w:rsidR="00783598" w:rsidRPr="00340E4C" w:rsidRDefault="00783598">
            <w:pPr>
              <w:jc w:val="right"/>
            </w:pPr>
            <w:r w:rsidRPr="00340E4C">
              <w:t>-200</w:t>
            </w:r>
          </w:p>
        </w:tc>
        <w:tc>
          <w:tcPr>
            <w:tcW w:w="2135" w:type="dxa"/>
          </w:tcPr>
          <w:p w:rsidR="00783598" w:rsidRPr="00340E4C" w:rsidRDefault="00783598">
            <w:pPr>
              <w:jc w:val="right"/>
            </w:pPr>
          </w:p>
        </w:tc>
      </w:tr>
      <w:tr w:rsidR="00783598" w:rsidRPr="00340E4C">
        <w:tc>
          <w:tcPr>
            <w:tcW w:w="2808" w:type="dxa"/>
          </w:tcPr>
          <w:p w:rsidR="00783598" w:rsidRPr="00340E4C" w:rsidRDefault="00783598">
            <w:pPr>
              <w:rPr>
                <w:b/>
              </w:rPr>
            </w:pPr>
            <w:r w:rsidRPr="00340E4C">
              <w:rPr>
                <w:b/>
              </w:rPr>
              <w:t>B. Bilance služeb</w:t>
            </w:r>
          </w:p>
        </w:tc>
        <w:tc>
          <w:tcPr>
            <w:tcW w:w="2134" w:type="dxa"/>
          </w:tcPr>
          <w:p w:rsidR="00783598" w:rsidRPr="00340E4C" w:rsidRDefault="00783598">
            <w:pPr>
              <w:jc w:val="right"/>
              <w:rPr>
                <w:b/>
              </w:rPr>
            </w:pPr>
          </w:p>
        </w:tc>
        <w:tc>
          <w:tcPr>
            <w:tcW w:w="2135" w:type="dxa"/>
          </w:tcPr>
          <w:p w:rsidR="00783598" w:rsidRPr="00340E4C" w:rsidRDefault="00783598">
            <w:pPr>
              <w:jc w:val="right"/>
              <w:rPr>
                <w:b/>
              </w:rPr>
            </w:pPr>
          </w:p>
        </w:tc>
        <w:tc>
          <w:tcPr>
            <w:tcW w:w="2135" w:type="dxa"/>
          </w:tcPr>
          <w:p w:rsidR="00783598" w:rsidRPr="00340E4C" w:rsidRDefault="00783598">
            <w:pPr>
              <w:jc w:val="right"/>
              <w:rPr>
                <w:b/>
              </w:rPr>
            </w:pPr>
            <w:r w:rsidRPr="00340E4C">
              <w:rPr>
                <w:b/>
              </w:rPr>
              <w:t>+100</w:t>
            </w:r>
          </w:p>
        </w:tc>
      </w:tr>
      <w:tr w:rsidR="00783598" w:rsidRPr="00340E4C">
        <w:tc>
          <w:tcPr>
            <w:tcW w:w="2808" w:type="dxa"/>
          </w:tcPr>
          <w:p w:rsidR="00783598" w:rsidRPr="00340E4C" w:rsidRDefault="00783598">
            <w:r w:rsidRPr="00340E4C">
              <w:t>Výnosy ze zahraničí v mld</w:t>
            </w:r>
          </w:p>
        </w:tc>
        <w:tc>
          <w:tcPr>
            <w:tcW w:w="2134" w:type="dxa"/>
          </w:tcPr>
          <w:p w:rsidR="00783598" w:rsidRPr="00340E4C" w:rsidRDefault="00783598">
            <w:pPr>
              <w:jc w:val="right"/>
            </w:pPr>
            <w:r w:rsidRPr="00340E4C">
              <w:t>+100</w:t>
            </w:r>
          </w:p>
        </w:tc>
        <w:tc>
          <w:tcPr>
            <w:tcW w:w="2135" w:type="dxa"/>
          </w:tcPr>
          <w:p w:rsidR="00783598" w:rsidRPr="00340E4C" w:rsidRDefault="00783598">
            <w:pPr>
              <w:jc w:val="right"/>
            </w:pPr>
          </w:p>
        </w:tc>
        <w:tc>
          <w:tcPr>
            <w:tcW w:w="2135" w:type="dxa"/>
          </w:tcPr>
          <w:p w:rsidR="00783598" w:rsidRPr="00340E4C" w:rsidRDefault="00783598">
            <w:pPr>
              <w:jc w:val="right"/>
            </w:pPr>
          </w:p>
        </w:tc>
      </w:tr>
      <w:tr w:rsidR="00783598" w:rsidRPr="00340E4C">
        <w:tc>
          <w:tcPr>
            <w:tcW w:w="2808" w:type="dxa"/>
          </w:tcPr>
          <w:p w:rsidR="00783598" w:rsidRPr="00340E4C" w:rsidRDefault="00783598">
            <w:r w:rsidRPr="00340E4C">
              <w:t>Výnosy do zahraničí</w:t>
            </w:r>
          </w:p>
        </w:tc>
        <w:tc>
          <w:tcPr>
            <w:tcW w:w="2134" w:type="dxa"/>
          </w:tcPr>
          <w:p w:rsidR="00783598" w:rsidRPr="00340E4C" w:rsidRDefault="00783598">
            <w:pPr>
              <w:jc w:val="right"/>
            </w:pPr>
          </w:p>
        </w:tc>
        <w:tc>
          <w:tcPr>
            <w:tcW w:w="2135" w:type="dxa"/>
          </w:tcPr>
          <w:p w:rsidR="00783598" w:rsidRPr="00340E4C" w:rsidRDefault="00783598">
            <w:pPr>
              <w:jc w:val="right"/>
            </w:pPr>
            <w:r w:rsidRPr="00340E4C">
              <w:t>-300</w:t>
            </w:r>
          </w:p>
        </w:tc>
        <w:tc>
          <w:tcPr>
            <w:tcW w:w="2135" w:type="dxa"/>
          </w:tcPr>
          <w:p w:rsidR="00783598" w:rsidRPr="00340E4C" w:rsidRDefault="00783598">
            <w:pPr>
              <w:jc w:val="right"/>
            </w:pPr>
          </w:p>
        </w:tc>
      </w:tr>
      <w:tr w:rsidR="00783598" w:rsidRPr="00340E4C">
        <w:tc>
          <w:tcPr>
            <w:tcW w:w="2808" w:type="dxa"/>
          </w:tcPr>
          <w:p w:rsidR="00783598" w:rsidRPr="00340E4C" w:rsidRDefault="00783598">
            <w:pPr>
              <w:rPr>
                <w:b/>
              </w:rPr>
            </w:pPr>
            <w:r w:rsidRPr="00340E4C">
              <w:rPr>
                <w:b/>
              </w:rPr>
              <w:t>C. Bilance výnosů</w:t>
            </w:r>
          </w:p>
        </w:tc>
        <w:tc>
          <w:tcPr>
            <w:tcW w:w="2134" w:type="dxa"/>
          </w:tcPr>
          <w:p w:rsidR="00783598" w:rsidRPr="00340E4C" w:rsidRDefault="00783598">
            <w:pPr>
              <w:jc w:val="right"/>
              <w:rPr>
                <w:b/>
              </w:rPr>
            </w:pPr>
          </w:p>
        </w:tc>
        <w:tc>
          <w:tcPr>
            <w:tcW w:w="2135" w:type="dxa"/>
          </w:tcPr>
          <w:p w:rsidR="00783598" w:rsidRPr="00340E4C" w:rsidRDefault="00783598">
            <w:pPr>
              <w:jc w:val="right"/>
              <w:rPr>
                <w:b/>
              </w:rPr>
            </w:pPr>
          </w:p>
        </w:tc>
        <w:tc>
          <w:tcPr>
            <w:tcW w:w="2135" w:type="dxa"/>
          </w:tcPr>
          <w:p w:rsidR="00783598" w:rsidRPr="00340E4C" w:rsidRDefault="00783598">
            <w:pPr>
              <w:jc w:val="right"/>
              <w:rPr>
                <w:b/>
              </w:rPr>
            </w:pPr>
            <w:r w:rsidRPr="00340E4C">
              <w:rPr>
                <w:b/>
              </w:rPr>
              <w:t>-200</w:t>
            </w:r>
          </w:p>
        </w:tc>
      </w:tr>
      <w:tr w:rsidR="00783598" w:rsidRPr="00340E4C">
        <w:tc>
          <w:tcPr>
            <w:tcW w:w="2808" w:type="dxa"/>
          </w:tcPr>
          <w:p w:rsidR="00783598" w:rsidRPr="00340E4C" w:rsidRDefault="00783598">
            <w:r w:rsidRPr="00340E4C">
              <w:t>Jiné převody do zahraničí</w:t>
            </w:r>
            <w:r w:rsidRPr="00340E4C">
              <w:rPr>
                <w:rStyle w:val="Funotenzeichen"/>
              </w:rPr>
              <w:footnoteReference w:id="18"/>
            </w:r>
          </w:p>
        </w:tc>
        <w:tc>
          <w:tcPr>
            <w:tcW w:w="2134" w:type="dxa"/>
          </w:tcPr>
          <w:p w:rsidR="00783598" w:rsidRPr="00340E4C" w:rsidRDefault="00783598">
            <w:pPr>
              <w:jc w:val="right"/>
            </w:pPr>
            <w:r w:rsidRPr="00340E4C">
              <w:t>+100</w:t>
            </w:r>
          </w:p>
        </w:tc>
        <w:tc>
          <w:tcPr>
            <w:tcW w:w="2135" w:type="dxa"/>
          </w:tcPr>
          <w:p w:rsidR="00783598" w:rsidRPr="00340E4C" w:rsidRDefault="00783598">
            <w:pPr>
              <w:jc w:val="right"/>
            </w:pPr>
          </w:p>
        </w:tc>
        <w:tc>
          <w:tcPr>
            <w:tcW w:w="2135" w:type="dxa"/>
          </w:tcPr>
          <w:p w:rsidR="00783598" w:rsidRPr="00340E4C" w:rsidRDefault="00783598">
            <w:pPr>
              <w:jc w:val="right"/>
            </w:pPr>
          </w:p>
        </w:tc>
      </w:tr>
      <w:tr w:rsidR="00783598" w:rsidRPr="00340E4C">
        <w:tc>
          <w:tcPr>
            <w:tcW w:w="2808" w:type="dxa"/>
          </w:tcPr>
          <w:p w:rsidR="00783598" w:rsidRPr="00340E4C" w:rsidRDefault="00783598">
            <w:r w:rsidRPr="00340E4C">
              <w:t>Jiné převody ze zahraničí</w:t>
            </w:r>
          </w:p>
        </w:tc>
        <w:tc>
          <w:tcPr>
            <w:tcW w:w="2134" w:type="dxa"/>
          </w:tcPr>
          <w:p w:rsidR="00783598" w:rsidRPr="00340E4C" w:rsidRDefault="00783598">
            <w:pPr>
              <w:jc w:val="right"/>
            </w:pPr>
          </w:p>
        </w:tc>
        <w:tc>
          <w:tcPr>
            <w:tcW w:w="2135" w:type="dxa"/>
          </w:tcPr>
          <w:p w:rsidR="00783598" w:rsidRPr="00340E4C" w:rsidRDefault="00783598">
            <w:pPr>
              <w:jc w:val="right"/>
            </w:pPr>
            <w:r w:rsidRPr="00340E4C">
              <w:t>-100</w:t>
            </w:r>
          </w:p>
        </w:tc>
        <w:tc>
          <w:tcPr>
            <w:tcW w:w="2135" w:type="dxa"/>
          </w:tcPr>
          <w:p w:rsidR="00783598" w:rsidRPr="00340E4C" w:rsidRDefault="00783598">
            <w:pPr>
              <w:jc w:val="right"/>
            </w:pPr>
          </w:p>
        </w:tc>
      </w:tr>
      <w:tr w:rsidR="00783598" w:rsidRPr="00340E4C">
        <w:tc>
          <w:tcPr>
            <w:tcW w:w="2808" w:type="dxa"/>
          </w:tcPr>
          <w:p w:rsidR="00783598" w:rsidRPr="00340E4C" w:rsidRDefault="00783598">
            <w:pPr>
              <w:rPr>
                <w:b/>
              </w:rPr>
            </w:pPr>
            <w:r w:rsidRPr="00340E4C">
              <w:rPr>
                <w:b/>
              </w:rPr>
              <w:t>D. Bilance převodů</w:t>
            </w:r>
          </w:p>
        </w:tc>
        <w:tc>
          <w:tcPr>
            <w:tcW w:w="2134" w:type="dxa"/>
          </w:tcPr>
          <w:p w:rsidR="00783598" w:rsidRPr="00340E4C" w:rsidRDefault="00783598">
            <w:pPr>
              <w:jc w:val="right"/>
              <w:rPr>
                <w:b/>
              </w:rPr>
            </w:pPr>
          </w:p>
        </w:tc>
        <w:tc>
          <w:tcPr>
            <w:tcW w:w="2135" w:type="dxa"/>
          </w:tcPr>
          <w:p w:rsidR="00783598" w:rsidRPr="00340E4C" w:rsidRDefault="00783598">
            <w:pPr>
              <w:jc w:val="right"/>
              <w:rPr>
                <w:b/>
              </w:rPr>
            </w:pPr>
          </w:p>
        </w:tc>
        <w:tc>
          <w:tcPr>
            <w:tcW w:w="2135" w:type="dxa"/>
          </w:tcPr>
          <w:p w:rsidR="00783598" w:rsidRPr="00340E4C" w:rsidRDefault="00783598">
            <w:pPr>
              <w:jc w:val="right"/>
              <w:rPr>
                <w:b/>
              </w:rPr>
            </w:pPr>
            <w:r w:rsidRPr="00340E4C">
              <w:rPr>
                <w:b/>
              </w:rPr>
              <w:t>0</w:t>
            </w:r>
          </w:p>
        </w:tc>
      </w:tr>
      <w:tr w:rsidR="00783598" w:rsidRPr="00340E4C">
        <w:tc>
          <w:tcPr>
            <w:tcW w:w="2808" w:type="dxa"/>
          </w:tcPr>
          <w:p w:rsidR="00783598" w:rsidRPr="00340E4C" w:rsidRDefault="00783598">
            <w:pPr>
              <w:rPr>
                <w:b/>
              </w:rPr>
            </w:pPr>
            <w:r w:rsidRPr="00340E4C">
              <w:rPr>
                <w:b/>
              </w:rPr>
              <w:lastRenderedPageBreak/>
              <w:t>A+B+C+D běžný účet</w:t>
            </w:r>
          </w:p>
        </w:tc>
        <w:tc>
          <w:tcPr>
            <w:tcW w:w="2134" w:type="dxa"/>
          </w:tcPr>
          <w:p w:rsidR="00783598" w:rsidRPr="00340E4C" w:rsidRDefault="00783598">
            <w:pPr>
              <w:jc w:val="right"/>
              <w:rPr>
                <w:b/>
              </w:rPr>
            </w:pPr>
          </w:p>
        </w:tc>
        <w:tc>
          <w:tcPr>
            <w:tcW w:w="2135" w:type="dxa"/>
          </w:tcPr>
          <w:p w:rsidR="00783598" w:rsidRPr="00340E4C" w:rsidRDefault="00783598">
            <w:pPr>
              <w:jc w:val="right"/>
              <w:rPr>
                <w:b/>
              </w:rPr>
            </w:pPr>
          </w:p>
        </w:tc>
        <w:tc>
          <w:tcPr>
            <w:tcW w:w="2135" w:type="dxa"/>
          </w:tcPr>
          <w:p w:rsidR="00783598" w:rsidRPr="00340E4C" w:rsidRDefault="00783598">
            <w:pPr>
              <w:jc w:val="right"/>
              <w:rPr>
                <w:b/>
              </w:rPr>
            </w:pPr>
            <w:r w:rsidRPr="00340E4C">
              <w:rPr>
                <w:b/>
              </w:rPr>
              <w:t>-200</w:t>
            </w:r>
          </w:p>
        </w:tc>
      </w:tr>
      <w:tr w:rsidR="00783598" w:rsidRPr="00340E4C">
        <w:tc>
          <w:tcPr>
            <w:tcW w:w="2808" w:type="dxa"/>
          </w:tcPr>
          <w:p w:rsidR="00783598" w:rsidRPr="00340E4C" w:rsidRDefault="00783598">
            <w:pPr>
              <w:rPr>
                <w:b/>
              </w:rPr>
            </w:pPr>
            <w:r w:rsidRPr="00340E4C">
              <w:rPr>
                <w:b/>
              </w:rPr>
              <w:t>Změna stavu devizových rezerv</w:t>
            </w:r>
          </w:p>
        </w:tc>
        <w:tc>
          <w:tcPr>
            <w:tcW w:w="2134" w:type="dxa"/>
          </w:tcPr>
          <w:p w:rsidR="00783598" w:rsidRPr="00340E4C" w:rsidRDefault="00783598">
            <w:pPr>
              <w:jc w:val="right"/>
              <w:rPr>
                <w:b/>
              </w:rPr>
            </w:pPr>
          </w:p>
        </w:tc>
        <w:tc>
          <w:tcPr>
            <w:tcW w:w="2135" w:type="dxa"/>
          </w:tcPr>
          <w:p w:rsidR="00783598" w:rsidRPr="00340E4C" w:rsidRDefault="00783598">
            <w:pPr>
              <w:jc w:val="right"/>
              <w:rPr>
                <w:b/>
              </w:rPr>
            </w:pPr>
          </w:p>
        </w:tc>
        <w:tc>
          <w:tcPr>
            <w:tcW w:w="2135" w:type="dxa"/>
          </w:tcPr>
          <w:p w:rsidR="00783598" w:rsidRPr="00340E4C" w:rsidRDefault="00ED2731">
            <w:pPr>
              <w:jc w:val="right"/>
              <w:rPr>
                <w:b/>
              </w:rPr>
            </w:pPr>
            <w:r>
              <w:rPr>
                <w:b/>
              </w:rPr>
              <w:t>-</w:t>
            </w:r>
            <w:r w:rsidR="00783598" w:rsidRPr="00340E4C">
              <w:rPr>
                <w:b/>
              </w:rPr>
              <w:t>200</w:t>
            </w:r>
          </w:p>
        </w:tc>
      </w:tr>
    </w:tbl>
    <w:p w:rsidR="00783598" w:rsidRPr="00340E4C" w:rsidRDefault="00783598"/>
    <w:p w:rsidR="00783598" w:rsidRPr="00340E4C" w:rsidRDefault="00783598">
      <w:r w:rsidRPr="00340E4C">
        <w:t>Podvojný pohled na změny platební bilance: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83598" w:rsidRPr="00340E4C">
        <w:tc>
          <w:tcPr>
            <w:tcW w:w="4606" w:type="dxa"/>
            <w:gridSpan w:val="2"/>
          </w:tcPr>
          <w:p w:rsidR="00783598" w:rsidRPr="00340E4C" w:rsidRDefault="00783598">
            <w:pPr>
              <w:jc w:val="center"/>
              <w:rPr>
                <w:b/>
              </w:rPr>
            </w:pPr>
            <w:r w:rsidRPr="00340E4C">
              <w:rPr>
                <w:b/>
              </w:rPr>
              <w:t>Změna aktiv</w:t>
            </w:r>
          </w:p>
        </w:tc>
        <w:tc>
          <w:tcPr>
            <w:tcW w:w="4606" w:type="dxa"/>
            <w:gridSpan w:val="2"/>
          </w:tcPr>
          <w:p w:rsidR="00783598" w:rsidRPr="00340E4C" w:rsidRDefault="00783598">
            <w:pPr>
              <w:jc w:val="center"/>
              <w:rPr>
                <w:b/>
              </w:rPr>
            </w:pPr>
            <w:r w:rsidRPr="00340E4C">
              <w:rPr>
                <w:b/>
              </w:rPr>
              <w:t>Změna pasiv</w:t>
            </w:r>
          </w:p>
        </w:tc>
      </w:tr>
      <w:tr w:rsidR="00783598" w:rsidRPr="00340E4C">
        <w:trPr>
          <w:cantSplit/>
        </w:trPr>
        <w:tc>
          <w:tcPr>
            <w:tcW w:w="2303" w:type="dxa"/>
          </w:tcPr>
          <w:p w:rsidR="00783598" w:rsidRPr="00340E4C" w:rsidRDefault="00783598">
            <w:r w:rsidRPr="00340E4C">
              <w:t>Schodek obchodu</w:t>
            </w:r>
          </w:p>
        </w:tc>
        <w:tc>
          <w:tcPr>
            <w:tcW w:w="2303" w:type="dxa"/>
          </w:tcPr>
          <w:p w:rsidR="00783598" w:rsidRPr="00340E4C" w:rsidRDefault="00783598">
            <w:pPr>
              <w:jc w:val="right"/>
            </w:pPr>
            <w:r w:rsidRPr="00340E4C">
              <w:t>-100</w:t>
            </w:r>
          </w:p>
        </w:tc>
        <w:tc>
          <w:tcPr>
            <w:tcW w:w="2303" w:type="dxa"/>
            <w:vMerge w:val="restart"/>
          </w:tcPr>
          <w:p w:rsidR="00783598" w:rsidRPr="00340E4C" w:rsidRDefault="00783598">
            <w:r w:rsidRPr="00340E4C">
              <w:t>Změna stavu devizových rezerv</w:t>
            </w:r>
          </w:p>
        </w:tc>
        <w:tc>
          <w:tcPr>
            <w:tcW w:w="2303" w:type="dxa"/>
            <w:vMerge w:val="restart"/>
          </w:tcPr>
          <w:p w:rsidR="00783598" w:rsidRPr="00340E4C" w:rsidRDefault="00783598">
            <w:pPr>
              <w:jc w:val="right"/>
            </w:pPr>
            <w:r w:rsidRPr="00340E4C">
              <w:t>-200</w:t>
            </w:r>
          </w:p>
        </w:tc>
      </w:tr>
      <w:tr w:rsidR="00783598" w:rsidRPr="00340E4C">
        <w:trPr>
          <w:cantSplit/>
        </w:trPr>
        <w:tc>
          <w:tcPr>
            <w:tcW w:w="2303" w:type="dxa"/>
          </w:tcPr>
          <w:p w:rsidR="00783598" w:rsidRPr="00340E4C" w:rsidRDefault="00783598">
            <w:r w:rsidRPr="00340E4C">
              <w:t>Přebytek služeb</w:t>
            </w:r>
          </w:p>
        </w:tc>
        <w:tc>
          <w:tcPr>
            <w:tcW w:w="2303" w:type="dxa"/>
          </w:tcPr>
          <w:p w:rsidR="00783598" w:rsidRPr="00340E4C" w:rsidRDefault="00783598">
            <w:pPr>
              <w:jc w:val="right"/>
            </w:pPr>
            <w:r w:rsidRPr="00340E4C">
              <w:t>+100</w:t>
            </w:r>
          </w:p>
        </w:tc>
        <w:tc>
          <w:tcPr>
            <w:tcW w:w="2303" w:type="dxa"/>
            <w:vMerge/>
          </w:tcPr>
          <w:p w:rsidR="00783598" w:rsidRPr="00340E4C" w:rsidRDefault="00783598"/>
        </w:tc>
        <w:tc>
          <w:tcPr>
            <w:tcW w:w="2303" w:type="dxa"/>
            <w:vMerge/>
          </w:tcPr>
          <w:p w:rsidR="00783598" w:rsidRPr="00340E4C" w:rsidRDefault="00783598">
            <w:pPr>
              <w:jc w:val="right"/>
            </w:pPr>
          </w:p>
        </w:tc>
      </w:tr>
      <w:tr w:rsidR="00783598" w:rsidRPr="00340E4C">
        <w:trPr>
          <w:cantSplit/>
        </w:trPr>
        <w:tc>
          <w:tcPr>
            <w:tcW w:w="2303" w:type="dxa"/>
          </w:tcPr>
          <w:p w:rsidR="00783598" w:rsidRPr="00340E4C" w:rsidRDefault="00783598">
            <w:r w:rsidRPr="00340E4C">
              <w:t>Bilance výnosů</w:t>
            </w:r>
          </w:p>
        </w:tc>
        <w:tc>
          <w:tcPr>
            <w:tcW w:w="2303" w:type="dxa"/>
          </w:tcPr>
          <w:p w:rsidR="00783598" w:rsidRPr="00340E4C" w:rsidRDefault="00783598">
            <w:pPr>
              <w:jc w:val="right"/>
            </w:pPr>
            <w:r w:rsidRPr="00340E4C">
              <w:t>-200</w:t>
            </w:r>
          </w:p>
        </w:tc>
        <w:tc>
          <w:tcPr>
            <w:tcW w:w="2303" w:type="dxa"/>
            <w:vMerge/>
          </w:tcPr>
          <w:p w:rsidR="00783598" w:rsidRPr="00340E4C" w:rsidRDefault="00783598"/>
        </w:tc>
        <w:tc>
          <w:tcPr>
            <w:tcW w:w="2303" w:type="dxa"/>
            <w:vMerge/>
          </w:tcPr>
          <w:p w:rsidR="00783598" w:rsidRPr="00340E4C" w:rsidRDefault="00783598">
            <w:pPr>
              <w:jc w:val="right"/>
            </w:pPr>
          </w:p>
        </w:tc>
      </w:tr>
      <w:tr w:rsidR="00783598" w:rsidRPr="00340E4C">
        <w:trPr>
          <w:cantSplit/>
        </w:trPr>
        <w:tc>
          <w:tcPr>
            <w:tcW w:w="2303" w:type="dxa"/>
          </w:tcPr>
          <w:p w:rsidR="00783598" w:rsidRPr="00340E4C" w:rsidRDefault="00783598">
            <w:r w:rsidRPr="00340E4C">
              <w:t>Saldo převodů</w:t>
            </w:r>
          </w:p>
        </w:tc>
        <w:tc>
          <w:tcPr>
            <w:tcW w:w="2303" w:type="dxa"/>
          </w:tcPr>
          <w:p w:rsidR="00783598" w:rsidRPr="00340E4C" w:rsidRDefault="00783598">
            <w:pPr>
              <w:jc w:val="right"/>
            </w:pPr>
            <w:r w:rsidRPr="00340E4C">
              <w:t>0</w:t>
            </w:r>
          </w:p>
        </w:tc>
        <w:tc>
          <w:tcPr>
            <w:tcW w:w="2303" w:type="dxa"/>
            <w:vMerge/>
          </w:tcPr>
          <w:p w:rsidR="00783598" w:rsidRPr="00340E4C" w:rsidRDefault="00783598"/>
        </w:tc>
        <w:tc>
          <w:tcPr>
            <w:tcW w:w="2303" w:type="dxa"/>
            <w:vMerge/>
          </w:tcPr>
          <w:p w:rsidR="00783598" w:rsidRPr="00340E4C" w:rsidRDefault="00783598">
            <w:pPr>
              <w:jc w:val="right"/>
            </w:pPr>
          </w:p>
        </w:tc>
      </w:tr>
      <w:tr w:rsidR="00783598" w:rsidRPr="00340E4C">
        <w:tc>
          <w:tcPr>
            <w:tcW w:w="2303" w:type="dxa"/>
          </w:tcPr>
          <w:p w:rsidR="00783598" w:rsidRPr="00340E4C" w:rsidRDefault="00783598">
            <w:r w:rsidRPr="00340E4C">
              <w:t>Suma aktiv</w:t>
            </w:r>
          </w:p>
        </w:tc>
        <w:tc>
          <w:tcPr>
            <w:tcW w:w="2303" w:type="dxa"/>
          </w:tcPr>
          <w:p w:rsidR="00783598" w:rsidRPr="00340E4C" w:rsidRDefault="00783598">
            <w:pPr>
              <w:jc w:val="right"/>
            </w:pPr>
            <w:r w:rsidRPr="00340E4C">
              <w:t>-200</w:t>
            </w:r>
          </w:p>
        </w:tc>
        <w:tc>
          <w:tcPr>
            <w:tcW w:w="2303" w:type="dxa"/>
          </w:tcPr>
          <w:p w:rsidR="00783598" w:rsidRPr="00340E4C" w:rsidRDefault="00783598">
            <w:r w:rsidRPr="00340E4C">
              <w:t>Suma pasiv</w:t>
            </w:r>
          </w:p>
        </w:tc>
        <w:tc>
          <w:tcPr>
            <w:tcW w:w="2303" w:type="dxa"/>
          </w:tcPr>
          <w:p w:rsidR="00783598" w:rsidRPr="00340E4C" w:rsidRDefault="00783598">
            <w:pPr>
              <w:jc w:val="right"/>
            </w:pPr>
            <w:r w:rsidRPr="00340E4C">
              <w:t>-200</w:t>
            </w:r>
          </w:p>
        </w:tc>
      </w:tr>
    </w:tbl>
    <w:p w:rsidR="00783598" w:rsidRPr="00340E4C" w:rsidRDefault="00783598"/>
    <w:p w:rsidR="00783598" w:rsidRPr="00340E4C" w:rsidRDefault="00783598">
      <w:pPr>
        <w:jc w:val="both"/>
      </w:pPr>
      <w:r w:rsidRPr="00340E4C">
        <w:t xml:space="preserve">Vnější rovnováhy je dosaženo, když je saldo běžného účtu vyrovnáno opačným saldem finančního účtu. Pohyby jsou vyjádřeny v národní měně, plyne z nich však i devizový kurz. Protože tok vyjádřený v devizách je dán kontrakty, prostým vydělením těchto veličin získáme rovnovážný kurz dané devizy. Z čistě teoretického hlediska je tedy pro dosažení rovnováhy nejvhodnější, aby devizový kurz byl volný. Dnes nám to připadá samozřejmé, ale i naše ČNB udržovala devizový kurz koruny stabilní až do roku 1997!  </w:t>
      </w:r>
    </w:p>
    <w:p w:rsidR="00783598" w:rsidRPr="00340E4C" w:rsidRDefault="00783598">
      <w:pPr>
        <w:jc w:val="both"/>
      </w:pPr>
    </w:p>
    <w:p w:rsidR="00783598" w:rsidRPr="00340E4C" w:rsidRDefault="00783598">
      <w:pPr>
        <w:jc w:val="both"/>
      </w:pPr>
      <w:r w:rsidRPr="00340E4C">
        <w:t xml:space="preserve">Jaké </w:t>
      </w:r>
      <w:r w:rsidRPr="00340E4C">
        <w:rPr>
          <w:b/>
          <w:bCs/>
        </w:rPr>
        <w:t xml:space="preserve">příčiny </w:t>
      </w:r>
      <w:r w:rsidRPr="00340E4C">
        <w:t>může mít vnější ekonomická nerovnováha?</w:t>
      </w:r>
    </w:p>
    <w:p w:rsidR="00783598" w:rsidRPr="00340E4C" w:rsidRDefault="00783598" w:rsidP="001741A7">
      <w:pPr>
        <w:numPr>
          <w:ilvl w:val="0"/>
          <w:numId w:val="1"/>
        </w:numPr>
        <w:jc w:val="both"/>
      </w:pPr>
      <w:r w:rsidRPr="00340E4C">
        <w:t>nesoulad mezi tvorbou produktu a výdaji dané ekonomiky,</w:t>
      </w:r>
    </w:p>
    <w:p w:rsidR="00783598" w:rsidRPr="00340E4C" w:rsidRDefault="00783598" w:rsidP="001741A7">
      <w:pPr>
        <w:numPr>
          <w:ilvl w:val="0"/>
          <w:numId w:val="1"/>
        </w:numPr>
        <w:jc w:val="both"/>
      </w:pPr>
      <w:r w:rsidRPr="00340E4C">
        <w:t>kolísání nominálních měnových kurzů</w:t>
      </w:r>
    </w:p>
    <w:p w:rsidR="00783598" w:rsidRPr="00340E4C" w:rsidRDefault="00783598" w:rsidP="001741A7">
      <w:pPr>
        <w:numPr>
          <w:ilvl w:val="0"/>
          <w:numId w:val="1"/>
        </w:numPr>
        <w:jc w:val="both"/>
      </w:pPr>
      <w:r w:rsidRPr="00340E4C">
        <w:t>vládní opatření (protekcionismus, proexportní opatření apod.)</w:t>
      </w:r>
    </w:p>
    <w:p w:rsidR="00783598" w:rsidRPr="00340E4C" w:rsidRDefault="00783598" w:rsidP="001741A7">
      <w:pPr>
        <w:numPr>
          <w:ilvl w:val="0"/>
          <w:numId w:val="1"/>
        </w:numPr>
        <w:jc w:val="both"/>
      </w:pPr>
      <w:r w:rsidRPr="00340E4C">
        <w:t>změna preferencí spotřebitelů</w:t>
      </w:r>
    </w:p>
    <w:p w:rsidR="00783598" w:rsidRPr="00340E4C" w:rsidRDefault="00783598" w:rsidP="001741A7">
      <w:pPr>
        <w:numPr>
          <w:ilvl w:val="0"/>
          <w:numId w:val="1"/>
        </w:numPr>
        <w:jc w:val="both"/>
      </w:pPr>
      <w:r w:rsidRPr="00340E4C">
        <w:t>salda účtů platební bilance se navzájem nekompenzují (například deficit běžného účtu není vyrovnán dostatečným čistým přílivem kapitálu</w:t>
      </w:r>
    </w:p>
    <w:p w:rsidR="00783598" w:rsidRPr="00340E4C" w:rsidRDefault="00783598" w:rsidP="001741A7">
      <w:pPr>
        <w:numPr>
          <w:ilvl w:val="0"/>
          <w:numId w:val="1"/>
        </w:numPr>
        <w:jc w:val="both"/>
      </w:pPr>
      <w:r w:rsidRPr="00340E4C">
        <w:t>mění se likvidita a rizikovost aktiv</w:t>
      </w:r>
    </w:p>
    <w:p w:rsidR="00783598" w:rsidRPr="00340E4C" w:rsidRDefault="00783598">
      <w:pPr>
        <w:jc w:val="both"/>
      </w:pPr>
    </w:p>
    <w:p w:rsidR="00783598" w:rsidRPr="00340E4C" w:rsidRDefault="00783598">
      <w:pPr>
        <w:pStyle w:val="Textkrper"/>
      </w:pPr>
      <w:r w:rsidRPr="00340E4C">
        <w:t>Důsledky vnější ekonomické nerovnováhy:</w:t>
      </w:r>
    </w:p>
    <w:p w:rsidR="00783598" w:rsidRPr="00340E4C" w:rsidRDefault="00783598">
      <w:pPr>
        <w:jc w:val="both"/>
      </w:pPr>
      <w:r w:rsidRPr="00340E4C">
        <w:t xml:space="preserve">Čistý export: </w:t>
      </w:r>
    </w:p>
    <w:p w:rsidR="00783598" w:rsidRPr="00340E4C" w:rsidRDefault="00783598" w:rsidP="001741A7">
      <w:pPr>
        <w:numPr>
          <w:ilvl w:val="0"/>
          <w:numId w:val="1"/>
        </w:numPr>
        <w:jc w:val="both"/>
      </w:pPr>
      <w:r w:rsidRPr="00340E4C">
        <w:t>pokles zahraničního dluhu</w:t>
      </w:r>
    </w:p>
    <w:p w:rsidR="00783598" w:rsidRPr="00340E4C" w:rsidRDefault="00783598" w:rsidP="001741A7">
      <w:pPr>
        <w:numPr>
          <w:ilvl w:val="0"/>
          <w:numId w:val="1"/>
        </w:numPr>
        <w:jc w:val="both"/>
      </w:pPr>
      <w:r w:rsidRPr="00340E4C">
        <w:t>nižší užití statků v tuzemsku, než je vytvořený produkt</w:t>
      </w:r>
    </w:p>
    <w:p w:rsidR="00783598" w:rsidRPr="00340E4C" w:rsidRDefault="00783598">
      <w:pPr>
        <w:jc w:val="both"/>
      </w:pPr>
      <w:r w:rsidRPr="00340E4C">
        <w:t>Čistý import:</w:t>
      </w:r>
    </w:p>
    <w:p w:rsidR="00783598" w:rsidRPr="00340E4C" w:rsidRDefault="00783598" w:rsidP="001741A7">
      <w:pPr>
        <w:numPr>
          <w:ilvl w:val="0"/>
          <w:numId w:val="1"/>
        </w:numPr>
        <w:jc w:val="both"/>
      </w:pPr>
      <w:r w:rsidRPr="00340E4C">
        <w:t>vyšší užití statků, než je vytvořený produkt</w:t>
      </w:r>
    </w:p>
    <w:p w:rsidR="00783598" w:rsidRPr="00340E4C" w:rsidRDefault="00783598" w:rsidP="001741A7">
      <w:pPr>
        <w:numPr>
          <w:ilvl w:val="0"/>
          <w:numId w:val="1"/>
        </w:numPr>
        <w:jc w:val="both"/>
      </w:pPr>
      <w:r w:rsidRPr="00340E4C">
        <w:t>růst zahraničního dluhu</w:t>
      </w:r>
    </w:p>
    <w:p w:rsidR="00783598" w:rsidRPr="00340E4C" w:rsidRDefault="00783598">
      <w:pPr>
        <w:jc w:val="both"/>
      </w:pPr>
    </w:p>
    <w:p w:rsidR="00783598" w:rsidRPr="00340E4C" w:rsidRDefault="00783598">
      <w:pPr>
        <w:jc w:val="both"/>
        <w:rPr>
          <w:b/>
          <w:bCs/>
        </w:rPr>
      </w:pPr>
      <w:r w:rsidRPr="00340E4C">
        <w:rPr>
          <w:b/>
          <w:bCs/>
        </w:rPr>
        <w:t>Cenový mechanismus vyrovnání vnější ekonomické rovnováhy</w:t>
      </w:r>
    </w:p>
    <w:p w:rsidR="00783598" w:rsidRPr="00340E4C" w:rsidRDefault="00783598">
      <w:pPr>
        <w:pStyle w:val="Textkrper"/>
      </w:pPr>
      <w:r w:rsidRPr="00340E4C">
        <w:t>Pokud neexistuje pevný směnný kurz, vyrovná se nepoměr objemu oběživa a statků změnou cen. Čistý export postaví proti stejnému objemu peněz méně zboží a způsobí znehodnocení domácí měny a naopak.</w:t>
      </w:r>
    </w:p>
    <w:p w:rsidR="00783598" w:rsidRPr="00340E4C" w:rsidRDefault="00783598">
      <w:pPr>
        <w:jc w:val="both"/>
      </w:pPr>
    </w:p>
    <w:p w:rsidR="00783598" w:rsidRPr="00340E4C" w:rsidRDefault="00783598">
      <w:pPr>
        <w:jc w:val="both"/>
        <w:rPr>
          <w:b/>
          <w:bCs/>
        </w:rPr>
      </w:pPr>
      <w:r w:rsidRPr="00340E4C">
        <w:rPr>
          <w:b/>
          <w:bCs/>
        </w:rPr>
        <w:t>Důchodový mechanismus vyrovnání vnější ekonomické rovnováhy</w:t>
      </w:r>
    </w:p>
    <w:p w:rsidR="00783598" w:rsidRPr="00340E4C" w:rsidRDefault="00783598">
      <w:pPr>
        <w:pStyle w:val="Verzeichnis1"/>
      </w:pPr>
      <w:r w:rsidRPr="00340E4C">
        <w:t>Čistý import postaví proti stejnému důchodu více statků a způsobí zhodnocení domácí měny.</w:t>
      </w:r>
    </w:p>
    <w:p w:rsidR="00783598" w:rsidRPr="00340E4C" w:rsidRDefault="00783598"/>
    <w:p w:rsidR="00783598" w:rsidRPr="00340E4C" w:rsidRDefault="00783598">
      <w:pPr>
        <w:rPr>
          <w:b/>
          <w:bCs/>
        </w:rPr>
      </w:pPr>
      <w:r w:rsidRPr="00340E4C">
        <w:rPr>
          <w:b/>
          <w:bCs/>
        </w:rPr>
        <w:t>Kurzový mechanismus</w:t>
      </w:r>
    </w:p>
    <w:p w:rsidR="00783598" w:rsidRPr="00340E4C" w:rsidRDefault="00783598">
      <w:r w:rsidRPr="00340E4C">
        <w:t>Výše uvedené mechanismy působí v krátkém období, dokud se hladiny nevyrovnají. Finanční trhy však dlouhodobě vyrovnají situaci změnou směnného kurzu.</w:t>
      </w:r>
    </w:p>
    <w:p w:rsidR="00783598" w:rsidRPr="00340E4C" w:rsidRDefault="00783598"/>
    <w:p w:rsidR="00783598" w:rsidRPr="00340E4C" w:rsidRDefault="00783598">
      <w:pPr>
        <w:rPr>
          <w:b/>
          <w:bCs/>
        </w:rPr>
      </w:pPr>
      <w:r w:rsidRPr="00340E4C">
        <w:rPr>
          <w:b/>
          <w:bCs/>
        </w:rPr>
        <w:t>Vládní regulace</w:t>
      </w:r>
    </w:p>
    <w:p w:rsidR="00783598" w:rsidRPr="00340E4C" w:rsidRDefault="00783598">
      <w:pPr>
        <w:pStyle w:val="Textkrper"/>
      </w:pPr>
      <w:r w:rsidRPr="00340E4C">
        <w:lastRenderedPageBreak/>
        <w:t>Veřejný sektor se snaží mechanismům trhu „napomoci“ vlastními zásahy, například podporou exportu, protekcionismem (celní a necelní bariéry – viz dovoz  hovězího apod.), tlakem na nákup domácích produktů („buy american“), v případě regulovaných směných kurzů umělé operace s kurzem (v otevřené ekonomice je to obtížné).</w:t>
      </w:r>
    </w:p>
    <w:p w:rsidR="00783598" w:rsidRPr="00340E4C" w:rsidRDefault="00783598" w:rsidP="00636A7A">
      <w:pPr>
        <w:pStyle w:val="berschrift2"/>
      </w:pPr>
      <w:r w:rsidRPr="00340E4C">
        <w:t>Devizový trh</w:t>
      </w:r>
    </w:p>
    <w:p w:rsidR="00783598" w:rsidRPr="00340E4C" w:rsidRDefault="00783598">
      <w:pPr>
        <w:jc w:val="both"/>
      </w:pPr>
      <w:r w:rsidRPr="00340E4C">
        <w:t xml:space="preserve">Rozlišujeme nominální a reálný měnový kurz. </w:t>
      </w:r>
    </w:p>
    <w:p w:rsidR="00783598" w:rsidRPr="00340E4C" w:rsidRDefault="00783598" w:rsidP="00636A7A">
      <w:pPr>
        <w:pStyle w:val="berschrift3"/>
      </w:pPr>
      <w:r w:rsidRPr="00340E4C">
        <w:t xml:space="preserve">Nominální kurz je ten, jakým se směňuje tuzemská a zahraniční měna  </w:t>
      </w:r>
    </w:p>
    <w:p w:rsidR="00783598" w:rsidRPr="00340E4C" w:rsidRDefault="00783598">
      <w:pPr>
        <w:jc w:val="both"/>
      </w:pPr>
      <w:r w:rsidRPr="00340E4C">
        <w:t>Jak se mění nominální kurz? ČNB zvýší peněžní zásobu na dvojnásobek, ačkoli poptávka po penězích se nemění. Cenová hladina postupně vzroste na dvojnásobek. To zvýší dovoz. Ti, kdo k nám vyvážejí budou nabízet koruny, vzroste nabídka koruny a to povede po poklesu ceny, tj. depreciaci kurzu. Kurz by měl klesnout na polovinu. Změny nominálního kurzu jsou vyvolány změnami nominální peněžní zásoby.</w:t>
      </w:r>
    </w:p>
    <w:p w:rsidR="00783598" w:rsidRPr="00340E4C" w:rsidRDefault="00783598" w:rsidP="00636A7A">
      <w:pPr>
        <w:pStyle w:val="berschrift3"/>
      </w:pPr>
      <w:r w:rsidRPr="00340E4C">
        <w:t xml:space="preserve">Reálný kurz vznikne jako podíl ceny téhož výrobku v tuzemské a zahraniční měně </w:t>
      </w:r>
    </w:p>
    <w:p w:rsidR="00783598" w:rsidRPr="00340E4C" w:rsidRDefault="00783598">
      <w:pPr>
        <w:jc w:val="both"/>
        <w:rPr>
          <w:b/>
          <w:u w:val="single"/>
        </w:rPr>
      </w:pPr>
      <w:r w:rsidRPr="00340E4C">
        <w:rPr>
          <w:b/>
          <w:u w:val="single"/>
        </w:rPr>
        <w:t>Big Mac index:</w:t>
      </w:r>
    </w:p>
    <w:p w:rsidR="00783598" w:rsidRPr="00340E4C" w:rsidRDefault="00783598">
      <w:pPr>
        <w:pStyle w:val="StandardWeb"/>
        <w:jc w:val="both"/>
      </w:pPr>
      <w:r w:rsidRPr="00340E4C">
        <w:t>The Big Mac PPP exchange rate between two countries is obtained by dividing the price of a Big Mac in one country (in its currency) by the price of a Big Mac in another country (in its currency). This value is then compared with the actual exchange rate; if it is lower, then the first currency is under-valued (according to PPP theory) compared with the second, and conversely, if it is higher, then the first currency is over-valued.</w:t>
      </w:r>
    </w:p>
    <w:p w:rsidR="00783598" w:rsidRPr="00340E4C" w:rsidRDefault="00783598">
      <w:pPr>
        <w:pStyle w:val="StandardWeb"/>
      </w:pPr>
      <w:r w:rsidRPr="00340E4C">
        <w:t xml:space="preserve">For example, using figures in July 2008: </w:t>
      </w:r>
    </w:p>
    <w:p w:rsidR="00783598" w:rsidRPr="00340E4C" w:rsidRDefault="00783598" w:rsidP="001741A7">
      <w:pPr>
        <w:numPr>
          <w:ilvl w:val="0"/>
          <w:numId w:val="20"/>
        </w:numPr>
        <w:spacing w:before="100" w:beforeAutospacing="1" w:after="100" w:afterAutospacing="1"/>
      </w:pPr>
      <w:r w:rsidRPr="00340E4C">
        <w:t xml:space="preserve">the price of a Big Mac was $3.57 in the </w:t>
      </w:r>
      <w:hyperlink r:id="rId128" w:tooltip="United States" w:history="1">
        <w:r w:rsidRPr="00340E4C">
          <w:rPr>
            <w:rStyle w:val="Hyperlink"/>
          </w:rPr>
          <w:t>United States</w:t>
        </w:r>
      </w:hyperlink>
      <w:r w:rsidRPr="00340E4C">
        <w:t xml:space="preserve"> </w:t>
      </w:r>
    </w:p>
    <w:p w:rsidR="00783598" w:rsidRPr="00340E4C" w:rsidRDefault="00783598" w:rsidP="001741A7">
      <w:pPr>
        <w:numPr>
          <w:ilvl w:val="0"/>
          <w:numId w:val="20"/>
        </w:numPr>
        <w:spacing w:before="100" w:beforeAutospacing="1" w:after="100" w:afterAutospacing="1"/>
      </w:pPr>
      <w:r w:rsidRPr="00340E4C">
        <w:t xml:space="preserve">the price of a Big Mac was £2.29 in the United Kingdom (Britain) </w:t>
      </w:r>
    </w:p>
    <w:p w:rsidR="00783598" w:rsidRPr="00340E4C" w:rsidRDefault="00783598" w:rsidP="001741A7">
      <w:pPr>
        <w:numPr>
          <w:ilvl w:val="0"/>
          <w:numId w:val="20"/>
        </w:numPr>
        <w:spacing w:before="100" w:beforeAutospacing="1" w:after="100" w:afterAutospacing="1"/>
      </w:pPr>
      <w:r w:rsidRPr="00340E4C">
        <w:t xml:space="preserve">the implied purchasing power parity was $1.56 to £1, that is $3.57/£2.29 = 1.56 </w:t>
      </w:r>
    </w:p>
    <w:p w:rsidR="00783598" w:rsidRPr="00340E4C" w:rsidRDefault="00783598" w:rsidP="001741A7">
      <w:pPr>
        <w:numPr>
          <w:ilvl w:val="0"/>
          <w:numId w:val="20"/>
        </w:numPr>
        <w:spacing w:before="100" w:beforeAutospacing="1" w:after="100" w:afterAutospacing="1"/>
      </w:pPr>
      <w:r w:rsidRPr="00340E4C">
        <w:t xml:space="preserve">this compares with an actual exchange rate of $2.00 to £1 at the time </w:t>
      </w:r>
    </w:p>
    <w:p w:rsidR="00783598" w:rsidRPr="00340E4C" w:rsidRDefault="00783598" w:rsidP="001741A7">
      <w:pPr>
        <w:numPr>
          <w:ilvl w:val="0"/>
          <w:numId w:val="20"/>
        </w:numPr>
        <w:spacing w:before="100" w:beforeAutospacing="1" w:after="100" w:afterAutospacing="1"/>
      </w:pPr>
      <w:r w:rsidRPr="00340E4C">
        <w:t xml:space="preserve">the pound was thus overvalued against the dollar by 28% </w:t>
      </w:r>
    </w:p>
    <w:p w:rsidR="00783598" w:rsidRPr="00340E4C" w:rsidRDefault="00783598" w:rsidP="001741A7">
      <w:pPr>
        <w:numPr>
          <w:ilvl w:val="1"/>
          <w:numId w:val="20"/>
        </w:numPr>
        <w:spacing w:before="100" w:beforeAutospacing="1" w:after="100" w:afterAutospacing="1"/>
      </w:pPr>
      <w:r w:rsidRPr="00340E4C">
        <w:t xml:space="preserve">the actual exchange rate divided by implied purchasing parity → 2 divided by 1.56 = 1.28 </w:t>
      </w:r>
      <w:r w:rsidRPr="00340E4C">
        <w:rPr>
          <w:color w:val="FF0000"/>
        </w:rPr>
        <w:t xml:space="preserve"> </w:t>
      </w:r>
      <w:r w:rsidRPr="00340E4C">
        <w:t>(wikipedia)</w:t>
      </w:r>
    </w:p>
    <w:p w:rsidR="00783598" w:rsidRPr="00340E4C" w:rsidRDefault="00783598">
      <w:r w:rsidRPr="00340E4C">
        <w:t>Proč se mění reálný kurz?</w:t>
      </w:r>
    </w:p>
    <w:p w:rsidR="00783598" w:rsidRPr="00340E4C" w:rsidRDefault="00783598">
      <w:pPr>
        <w:jc w:val="both"/>
      </w:pPr>
      <w:r w:rsidRPr="00340E4C">
        <w:t xml:space="preserve">- růst investic tlačí na růst úrokové míry (roste poptávka po úsporách a to zvyšuje jejich cenu), růst úrokové míry láká zahraniční kapitál. Zahraniční kapitál investuje (vliv v platební bilanci), nakupuje tuzemská aktiva, směňuje tedy devizy za koruny, poptává koruny. Roste poptávka a ta zvyšuje cenu koruny. </w:t>
      </w:r>
    </w:p>
    <w:p w:rsidR="00783598" w:rsidRPr="00340E4C" w:rsidRDefault="00783598">
      <w:pPr>
        <w:jc w:val="both"/>
      </w:pPr>
      <w:r w:rsidRPr="00340E4C">
        <w:t>- růst schodku státního rozpočtu odčerpá národní úspory, pokles nabídky úspor prohlubuje mezeru vůči poptávce. Poptávka vyvolá růst úrokové míry. Růst úrokové míry vyvolá příliv zahraničních investic a tím opět zhodnocení měny.</w:t>
      </w:r>
    </w:p>
    <w:p w:rsidR="00783598" w:rsidRPr="00340E4C" w:rsidRDefault="00783598"/>
    <w:p w:rsidR="00783598" w:rsidRPr="00340E4C" w:rsidRDefault="00783598">
      <w:pPr>
        <w:rPr>
          <w:b/>
        </w:rPr>
      </w:pPr>
      <w:r w:rsidRPr="00340E4C">
        <w:rPr>
          <w:b/>
        </w:rPr>
        <w:t>Poznámka: Spekulativní útok na měnu</w:t>
      </w:r>
    </w:p>
    <w:p w:rsidR="00783598" w:rsidRPr="00340E4C" w:rsidRDefault="00783598">
      <w:r w:rsidRPr="00340E4C">
        <w:t>Stabilita cenové hladiny a měnového kurzu jsou základními cíli ekonomické politiky, protože stabilní a očekávatelné budoucí podmínky jsou základem efektivního rozhodování.</w:t>
      </w:r>
    </w:p>
    <w:p w:rsidR="00783598" w:rsidRPr="00340E4C" w:rsidRDefault="00783598">
      <w:pPr>
        <w:jc w:val="both"/>
      </w:pPr>
      <w:r w:rsidRPr="00340E4C">
        <w:t xml:space="preserve">Proto centrální banka podniká kroky k udržení této stability. Pokud však udržovaný kurz neodpovídá reálným tokům, mohou spekulanti dojít k závěru, že přijde pokles kurzu a spekulovat na tento pokles. Obrovský objem mezinárodního kapitálu může dokonce vyvolat </w:t>
      </w:r>
      <w:r w:rsidRPr="00340E4C">
        <w:lastRenderedPageBreak/>
        <w:t>takové finanční toky, které dosáhnou změny kurzu. Obranou proti takovému nebezpečí může být do určité míry dostatečně velká měnová unie.</w:t>
      </w:r>
    </w:p>
    <w:p w:rsidR="00783598" w:rsidRPr="00340E4C" w:rsidRDefault="00783598"/>
    <w:p w:rsidR="00783598" w:rsidRPr="00340E4C" w:rsidRDefault="00783598">
      <w:pPr>
        <w:rPr>
          <w:b/>
        </w:rPr>
      </w:pPr>
      <w:r w:rsidRPr="00340E4C">
        <w:rPr>
          <w:b/>
        </w:rPr>
        <w:t>Poznámka: Cenová elasticita vývozu a dovozu</w:t>
      </w:r>
    </w:p>
    <w:p w:rsidR="00783598" w:rsidRPr="00340E4C" w:rsidRDefault="00783598">
      <w:pPr>
        <w:jc w:val="both"/>
      </w:pPr>
      <w:r w:rsidRPr="00340E4C">
        <w:t>Cenová elasticita vývozu: změna vývozu při změn vývozní ceny o jedno procento. Snížení kurzu domácí měny povede k růstu čistého výzvu pouze tehdy, když součet cenových elasticit vývozu a dovozu je větší než jedna.</w:t>
      </w:r>
    </w:p>
    <w:p w:rsidR="00783598" w:rsidRPr="00340E4C" w:rsidRDefault="00783598"/>
    <w:p w:rsidR="00783598" w:rsidRPr="00340E4C" w:rsidRDefault="00783598"/>
    <w:p w:rsidR="00783598" w:rsidRPr="00340E4C" w:rsidRDefault="00783598"/>
    <w:p w:rsidR="00783598" w:rsidRPr="00340E4C" w:rsidRDefault="00783598">
      <w:pPr>
        <w:sectPr w:rsidR="00783598" w:rsidRPr="00340E4C">
          <w:pgSz w:w="11906" w:h="16838"/>
          <w:pgMar w:top="1417" w:right="1417" w:bottom="1417" w:left="1417" w:header="708" w:footer="708" w:gutter="0"/>
          <w:cols w:space="708"/>
          <w:docGrid w:linePitch="360"/>
        </w:sectPr>
      </w:pPr>
    </w:p>
    <w:p w:rsidR="00783598" w:rsidRPr="00340E4C" w:rsidRDefault="00783598"/>
    <w:p w:rsidR="00783598" w:rsidRPr="00340E4C" w:rsidRDefault="00783598" w:rsidP="00636A7A">
      <w:pPr>
        <w:pStyle w:val="berschrift1"/>
      </w:pPr>
      <w:bookmarkStart w:id="126" w:name="_Toc240444150"/>
      <w:bookmarkStart w:id="127" w:name="_Toc240775350"/>
      <w:bookmarkStart w:id="128" w:name="_Toc281979952"/>
      <w:bookmarkStart w:id="129" w:name="_Toc281979994"/>
      <w:bookmarkStart w:id="130" w:name="_Toc296073445"/>
      <w:bookmarkStart w:id="131" w:name="_Toc297533153"/>
      <w:bookmarkStart w:id="132" w:name="_Toc303675513"/>
      <w:bookmarkStart w:id="133" w:name="_Toc303963014"/>
      <w:bookmarkStart w:id="134" w:name="_Toc306176403"/>
      <w:bookmarkStart w:id="135" w:name="_Toc315341172"/>
      <w:bookmarkStart w:id="136" w:name="_Toc316459967"/>
      <w:bookmarkStart w:id="137" w:name="_Toc316460442"/>
      <w:bookmarkStart w:id="138" w:name="_Toc318291419"/>
      <w:bookmarkStart w:id="139" w:name="_Toc328466825"/>
      <w:bookmarkStart w:id="140" w:name="_Toc335724882"/>
      <w:bookmarkStart w:id="141" w:name="_Toc411926287"/>
      <w:bookmarkStart w:id="142" w:name="_Toc1629140"/>
      <w:r w:rsidRPr="00340E4C">
        <w:t>Nezaměstnanost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783598" w:rsidRPr="00340E4C" w:rsidRDefault="00783598" w:rsidP="00636A7A">
      <w:pPr>
        <w:pStyle w:val="berschrift2"/>
      </w:pPr>
      <w:r w:rsidRPr="00340E4C">
        <w:t>Pojetí nezaměstnanosti</w:t>
      </w:r>
    </w:p>
    <w:p w:rsidR="00783598" w:rsidRPr="00340E4C" w:rsidRDefault="00783598"/>
    <w:p w:rsidR="00783598" w:rsidRPr="00340E4C" w:rsidRDefault="00783598">
      <w:pPr>
        <w:jc w:val="both"/>
      </w:pPr>
      <w:r w:rsidRPr="00340E4C">
        <w:t>Práce je nejen jeden z výrobních faktorů, ale zaměstnanost lidí má v tržní ekonomice zásadní sociální význam. V ekonomice, kde naprostou většinu materiálních potřeb uspokojujeme nákupem zboží a nikoli jejich vlastní výrobou</w:t>
      </w:r>
      <w:r w:rsidR="00A71704">
        <w:t>,</w:t>
      </w:r>
      <w:r w:rsidRPr="00340E4C">
        <w:t xml:space="preserve"> je zásadně nutné, aby lidé měli možnost si na nákup zboží vydělat. Příjmy nevznikající na trhu jsou z definice v tržní ekonomice pouze doplňkovými.</w:t>
      </w:r>
      <w:r w:rsidR="00A71704">
        <w:t xml:space="preserve"> </w:t>
      </w:r>
    </w:p>
    <w:p w:rsidR="00783598" w:rsidRPr="00340E4C" w:rsidRDefault="00783598" w:rsidP="00636A7A">
      <w:pPr>
        <w:pStyle w:val="berschrift2"/>
      </w:pPr>
      <w:r w:rsidRPr="00340E4C">
        <w:t>Měření nezaměstnanosti</w:t>
      </w:r>
    </w:p>
    <w:p w:rsidR="00783598" w:rsidRPr="00340E4C" w:rsidRDefault="00783598">
      <w:r w:rsidRPr="00340E4C">
        <w:t xml:space="preserve">Míra nezaměstnanosti: </w:t>
      </w:r>
      <w:r w:rsidRPr="00340E4C">
        <w:rPr>
          <w:position w:val="-24"/>
        </w:rPr>
        <w:object w:dxaOrig="1060" w:dyaOrig="620">
          <v:shape id="_x0000_i1068" type="#_x0000_t75" style="width:54.75pt;height:31.5pt" o:ole="">
            <v:imagedata r:id="rId129" o:title=""/>
          </v:shape>
          <o:OLEObject Type="Embed" ProgID="Equation.3" ShapeID="_x0000_i1068" DrawAspect="Content" ObjectID="_1674728814" r:id="rId130"/>
        </w:object>
      </w:r>
    </w:p>
    <w:p w:rsidR="00783598" w:rsidRPr="00340E4C" w:rsidRDefault="00783598">
      <w:r w:rsidRPr="00340E4C">
        <w:t>U = nezaměstnaní</w:t>
      </w:r>
    </w:p>
    <w:p w:rsidR="00783598" w:rsidRPr="00340E4C" w:rsidRDefault="00783598">
      <w:r w:rsidRPr="00340E4C">
        <w:t>L = zaměstnaní</w:t>
      </w:r>
    </w:p>
    <w:p w:rsidR="00783598" w:rsidRPr="00340E4C" w:rsidRDefault="00783598"/>
    <w:tbl>
      <w:tblPr>
        <w:tblW w:w="9678" w:type="dxa"/>
        <w:tblInd w:w="-110" w:type="dxa"/>
        <w:tblLayout w:type="fixed"/>
        <w:tblCellMar>
          <w:left w:w="70" w:type="dxa"/>
          <w:right w:w="70" w:type="dxa"/>
        </w:tblCellMar>
        <w:tblLook w:val="0000" w:firstRow="0" w:lastRow="0" w:firstColumn="0" w:lastColumn="0" w:noHBand="0" w:noVBand="0"/>
      </w:tblPr>
      <w:tblGrid>
        <w:gridCol w:w="2448"/>
        <w:gridCol w:w="803"/>
        <w:gridCol w:w="331"/>
        <w:gridCol w:w="472"/>
        <w:gridCol w:w="379"/>
        <w:gridCol w:w="425"/>
        <w:gridCol w:w="425"/>
        <w:gridCol w:w="378"/>
        <w:gridCol w:w="331"/>
        <w:gridCol w:w="472"/>
        <w:gridCol w:w="95"/>
        <w:gridCol w:w="709"/>
        <w:gridCol w:w="142"/>
        <w:gridCol w:w="661"/>
        <w:gridCol w:w="47"/>
        <w:gridCol w:w="709"/>
        <w:gridCol w:w="47"/>
        <w:gridCol w:w="804"/>
      </w:tblGrid>
      <w:tr w:rsidR="0064380F" w:rsidRPr="00340E4C" w:rsidTr="0064380F">
        <w:trPr>
          <w:trHeight w:val="255"/>
        </w:trPr>
        <w:tc>
          <w:tcPr>
            <w:tcW w:w="2448" w:type="dxa"/>
            <w:tcBorders>
              <w:top w:val="nil"/>
              <w:left w:val="nil"/>
              <w:bottom w:val="nil"/>
              <w:right w:val="nil"/>
            </w:tcBorders>
            <w:noWrap/>
            <w:vAlign w:val="bottom"/>
          </w:tcPr>
          <w:p w:rsidR="0064380F" w:rsidRPr="00340E4C" w:rsidRDefault="0064380F" w:rsidP="00A12381">
            <w:pPr>
              <w:ind w:firstLineChars="100" w:firstLine="200"/>
              <w:rPr>
                <w:rFonts w:ascii="Verdana" w:eastAsia="Times New Roman" w:hAnsi="Verdana" w:cs="Arial"/>
                <w:sz w:val="20"/>
                <w:szCs w:val="20"/>
                <w:lang w:eastAsia="cs-CZ"/>
              </w:rPr>
            </w:pPr>
            <w:r w:rsidRPr="00340E4C">
              <w:rPr>
                <w:rFonts w:ascii="Verdana" w:eastAsia="Times New Roman" w:hAnsi="Verdana" w:cs="Arial"/>
                <w:sz w:val="20"/>
                <w:szCs w:val="20"/>
                <w:lang w:eastAsia="cs-CZ"/>
              </w:rPr>
              <w:t>Česká republika</w:t>
            </w:r>
          </w:p>
        </w:tc>
        <w:tc>
          <w:tcPr>
            <w:tcW w:w="1134" w:type="dxa"/>
            <w:gridSpan w:val="2"/>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851" w:type="dxa"/>
            <w:gridSpan w:val="2"/>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850" w:type="dxa"/>
            <w:gridSpan w:val="2"/>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709" w:type="dxa"/>
            <w:gridSpan w:val="2"/>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567" w:type="dxa"/>
            <w:gridSpan w:val="2"/>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851" w:type="dxa"/>
            <w:gridSpan w:val="2"/>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708" w:type="dxa"/>
            <w:gridSpan w:val="2"/>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709" w:type="dxa"/>
            <w:tcBorders>
              <w:top w:val="nil"/>
              <w:left w:val="nil"/>
              <w:bottom w:val="nil"/>
              <w:right w:val="nil"/>
            </w:tcBorders>
            <w:noWrap/>
            <w:vAlign w:val="bottom"/>
          </w:tcPr>
          <w:p w:rsidR="0064380F" w:rsidRPr="00340E4C" w:rsidRDefault="0064380F">
            <w:pPr>
              <w:rPr>
                <w:rFonts w:ascii="Verdana" w:eastAsia="Times New Roman" w:hAnsi="Verdana" w:cs="Arial"/>
                <w:sz w:val="20"/>
                <w:szCs w:val="20"/>
                <w:lang w:eastAsia="cs-CZ"/>
              </w:rPr>
            </w:pPr>
          </w:p>
        </w:tc>
        <w:tc>
          <w:tcPr>
            <w:tcW w:w="851" w:type="dxa"/>
            <w:gridSpan w:val="2"/>
            <w:tcBorders>
              <w:top w:val="nil"/>
              <w:left w:val="nil"/>
              <w:bottom w:val="nil"/>
              <w:right w:val="nil"/>
            </w:tcBorders>
          </w:tcPr>
          <w:p w:rsidR="0064380F" w:rsidRPr="00340E4C" w:rsidRDefault="0064380F">
            <w:pPr>
              <w:rPr>
                <w:rFonts w:ascii="Verdana" w:eastAsia="Times New Roman" w:hAnsi="Verdana" w:cs="Arial"/>
                <w:sz w:val="20"/>
                <w:szCs w:val="20"/>
                <w:lang w:eastAsia="cs-CZ"/>
              </w:rPr>
            </w:pPr>
          </w:p>
        </w:tc>
      </w:tr>
      <w:tr w:rsidR="0064380F" w:rsidRPr="00340E4C" w:rsidTr="0064380F">
        <w:trPr>
          <w:trHeight w:val="255"/>
        </w:trPr>
        <w:tc>
          <w:tcPr>
            <w:tcW w:w="2448" w:type="dxa"/>
            <w:tcBorders>
              <w:top w:val="single" w:sz="4" w:space="0" w:color="000000"/>
              <w:left w:val="single" w:sz="4" w:space="0" w:color="000000"/>
              <w:bottom w:val="single" w:sz="4" w:space="0" w:color="000000"/>
              <w:right w:val="single" w:sz="4" w:space="0" w:color="000000"/>
            </w:tcBorders>
            <w:shd w:val="clear" w:color="auto" w:fill="99CCFF"/>
          </w:tcPr>
          <w:p w:rsidR="0064380F" w:rsidRPr="00340E4C" w:rsidRDefault="0064380F">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 </w:t>
            </w:r>
          </w:p>
        </w:tc>
        <w:tc>
          <w:tcPr>
            <w:tcW w:w="803" w:type="dxa"/>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1993</w:t>
            </w:r>
          </w:p>
        </w:tc>
        <w:tc>
          <w:tcPr>
            <w:tcW w:w="803" w:type="dxa"/>
            <w:gridSpan w:val="2"/>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1995</w:t>
            </w:r>
          </w:p>
        </w:tc>
        <w:tc>
          <w:tcPr>
            <w:tcW w:w="804" w:type="dxa"/>
            <w:gridSpan w:val="2"/>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1997</w:t>
            </w:r>
          </w:p>
        </w:tc>
        <w:tc>
          <w:tcPr>
            <w:tcW w:w="803" w:type="dxa"/>
            <w:gridSpan w:val="2"/>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1999</w:t>
            </w:r>
          </w:p>
        </w:tc>
        <w:tc>
          <w:tcPr>
            <w:tcW w:w="803" w:type="dxa"/>
            <w:gridSpan w:val="2"/>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2001</w:t>
            </w:r>
          </w:p>
        </w:tc>
        <w:tc>
          <w:tcPr>
            <w:tcW w:w="804" w:type="dxa"/>
            <w:gridSpan w:val="2"/>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2003</w:t>
            </w:r>
          </w:p>
        </w:tc>
        <w:tc>
          <w:tcPr>
            <w:tcW w:w="803" w:type="dxa"/>
            <w:gridSpan w:val="2"/>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2005</w:t>
            </w:r>
          </w:p>
        </w:tc>
        <w:tc>
          <w:tcPr>
            <w:tcW w:w="803" w:type="dxa"/>
            <w:gridSpan w:val="3"/>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2007</w:t>
            </w:r>
          </w:p>
        </w:tc>
        <w:tc>
          <w:tcPr>
            <w:tcW w:w="804" w:type="dxa"/>
            <w:tcBorders>
              <w:top w:val="single" w:sz="4" w:space="0" w:color="000000"/>
              <w:left w:val="nil"/>
              <w:bottom w:val="single" w:sz="4" w:space="0" w:color="000000"/>
              <w:right w:val="single" w:sz="4" w:space="0" w:color="000000"/>
            </w:tcBorders>
            <w:shd w:val="clear" w:color="auto" w:fill="99CCFF"/>
          </w:tcPr>
          <w:p w:rsidR="0064380F" w:rsidRPr="00340E4C" w:rsidRDefault="0064380F">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2009</w:t>
            </w:r>
          </w:p>
        </w:tc>
      </w:tr>
      <w:tr w:rsidR="0064380F" w:rsidRPr="00340E4C" w:rsidTr="0064380F">
        <w:trPr>
          <w:trHeight w:val="510"/>
        </w:trPr>
        <w:tc>
          <w:tcPr>
            <w:tcW w:w="2448" w:type="dxa"/>
            <w:tcBorders>
              <w:top w:val="nil"/>
              <w:left w:val="single" w:sz="4" w:space="0" w:color="000000"/>
              <w:bottom w:val="single" w:sz="4" w:space="0" w:color="auto"/>
              <w:right w:val="single" w:sz="4" w:space="0" w:color="000000"/>
            </w:tcBorders>
          </w:tcPr>
          <w:p w:rsidR="0064380F" w:rsidRPr="00340E4C" w:rsidRDefault="0064380F"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HDP na 1 obyvatele, tis.</w:t>
            </w:r>
            <w:r w:rsidR="001A39DF">
              <w:rPr>
                <w:rFonts w:ascii="Verdana" w:eastAsia="Times New Roman" w:hAnsi="Verdana" w:cs="Arial"/>
                <w:sz w:val="20"/>
                <w:szCs w:val="20"/>
                <w:lang w:eastAsia="cs-CZ"/>
              </w:rPr>
              <w:t xml:space="preserve"> </w:t>
            </w:r>
            <w:r w:rsidRPr="00340E4C">
              <w:rPr>
                <w:rFonts w:ascii="Verdana" w:eastAsia="Times New Roman" w:hAnsi="Verdana" w:cs="Arial"/>
                <w:sz w:val="20"/>
                <w:szCs w:val="20"/>
                <w:lang w:eastAsia="cs-CZ"/>
              </w:rPr>
              <w:t>Kč na ob., b</w:t>
            </w:r>
            <w:r w:rsidR="00DC7147">
              <w:rPr>
                <w:rFonts w:ascii="Verdana" w:eastAsia="Times New Roman" w:hAnsi="Verdana" w:cs="Arial"/>
                <w:sz w:val="20"/>
                <w:szCs w:val="20"/>
                <w:lang w:eastAsia="cs-CZ"/>
              </w:rPr>
              <w:t>. c.</w:t>
            </w:r>
          </w:p>
        </w:tc>
        <w:tc>
          <w:tcPr>
            <w:tcW w:w="803" w:type="dxa"/>
            <w:tcBorders>
              <w:top w:val="nil"/>
              <w:left w:val="nil"/>
              <w:bottom w:val="single" w:sz="4" w:space="0" w:color="auto"/>
              <w:right w:val="single" w:sz="4" w:space="0" w:color="000000"/>
            </w:tcBorders>
          </w:tcPr>
          <w:p w:rsidR="0064380F" w:rsidRPr="00340E4C" w:rsidRDefault="0064380F">
            <w:pPr>
              <w:jc w:val="right"/>
              <w:rPr>
                <w:rFonts w:ascii="Verdana" w:eastAsia="Times New Roman" w:hAnsi="Verdana" w:cs="Arial"/>
                <w:b/>
                <w:bCs/>
                <w:sz w:val="20"/>
                <w:szCs w:val="20"/>
                <w:lang w:eastAsia="cs-CZ"/>
              </w:rPr>
            </w:pPr>
            <w:r w:rsidRPr="00340E4C">
              <w:rPr>
                <w:rFonts w:ascii="Verdana" w:eastAsia="Times New Roman" w:hAnsi="Verdana" w:cs="Arial"/>
                <w:b/>
                <w:bCs/>
                <w:sz w:val="20"/>
                <w:szCs w:val="20"/>
                <w:lang w:eastAsia="cs-CZ"/>
              </w:rPr>
              <w:t>.</w:t>
            </w:r>
          </w:p>
        </w:tc>
        <w:tc>
          <w:tcPr>
            <w:tcW w:w="803" w:type="dxa"/>
            <w:gridSpan w:val="2"/>
            <w:tcBorders>
              <w:top w:val="nil"/>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142</w:t>
            </w:r>
          </w:p>
        </w:tc>
        <w:tc>
          <w:tcPr>
            <w:tcW w:w="804" w:type="dxa"/>
            <w:gridSpan w:val="2"/>
            <w:tcBorders>
              <w:top w:val="nil"/>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176</w:t>
            </w:r>
          </w:p>
        </w:tc>
        <w:tc>
          <w:tcPr>
            <w:tcW w:w="803" w:type="dxa"/>
            <w:gridSpan w:val="2"/>
            <w:tcBorders>
              <w:top w:val="nil"/>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202</w:t>
            </w:r>
          </w:p>
        </w:tc>
        <w:tc>
          <w:tcPr>
            <w:tcW w:w="803" w:type="dxa"/>
            <w:gridSpan w:val="2"/>
            <w:tcBorders>
              <w:top w:val="nil"/>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230</w:t>
            </w:r>
          </w:p>
        </w:tc>
        <w:tc>
          <w:tcPr>
            <w:tcW w:w="804" w:type="dxa"/>
            <w:gridSpan w:val="2"/>
            <w:tcBorders>
              <w:top w:val="nil"/>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253</w:t>
            </w:r>
          </w:p>
        </w:tc>
        <w:tc>
          <w:tcPr>
            <w:tcW w:w="803" w:type="dxa"/>
            <w:gridSpan w:val="2"/>
            <w:tcBorders>
              <w:top w:val="nil"/>
              <w:left w:val="single" w:sz="4" w:space="0" w:color="auto"/>
              <w:bottom w:val="single" w:sz="4" w:space="0" w:color="auto"/>
              <w:right w:val="single" w:sz="4" w:space="0" w:color="auto"/>
            </w:tcBorders>
            <w:noWrap/>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292</w:t>
            </w:r>
          </w:p>
        </w:tc>
        <w:tc>
          <w:tcPr>
            <w:tcW w:w="803" w:type="dxa"/>
            <w:gridSpan w:val="3"/>
            <w:tcBorders>
              <w:top w:val="nil"/>
              <w:left w:val="single" w:sz="4" w:space="0" w:color="000000"/>
              <w:bottom w:val="single" w:sz="4" w:space="0" w:color="auto"/>
              <w:right w:val="single" w:sz="4" w:space="0" w:color="000000"/>
            </w:tcBorders>
            <w:noWrap/>
          </w:tcPr>
          <w:p w:rsidR="0064380F" w:rsidRPr="00A71704" w:rsidRDefault="0064380F">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342</w:t>
            </w:r>
          </w:p>
        </w:tc>
        <w:tc>
          <w:tcPr>
            <w:tcW w:w="804" w:type="dxa"/>
            <w:tcBorders>
              <w:top w:val="nil"/>
              <w:left w:val="single" w:sz="4" w:space="0" w:color="000000"/>
              <w:bottom w:val="single" w:sz="4" w:space="0" w:color="auto"/>
              <w:right w:val="single" w:sz="4" w:space="0" w:color="000000"/>
            </w:tcBorders>
          </w:tcPr>
          <w:p w:rsidR="0064380F" w:rsidRPr="00A71704" w:rsidRDefault="00A71704">
            <w:pPr>
              <w:jc w:val="right"/>
              <w:rPr>
                <w:rFonts w:ascii="Verdana" w:eastAsia="Times New Roman" w:hAnsi="Verdana" w:cs="Arial"/>
                <w:bCs/>
                <w:sz w:val="20"/>
                <w:szCs w:val="20"/>
                <w:lang w:eastAsia="cs-CZ"/>
              </w:rPr>
            </w:pPr>
            <w:r>
              <w:rPr>
                <w:rFonts w:ascii="Verdana" w:eastAsia="Times New Roman" w:hAnsi="Verdana" w:cs="Arial"/>
                <w:bCs/>
                <w:sz w:val="20"/>
                <w:szCs w:val="20"/>
                <w:lang w:eastAsia="cs-CZ"/>
              </w:rPr>
              <w:t>346</w:t>
            </w:r>
          </w:p>
        </w:tc>
      </w:tr>
      <w:tr w:rsidR="0064380F" w:rsidRPr="00340E4C" w:rsidTr="0064380F">
        <w:trPr>
          <w:trHeight w:val="255"/>
        </w:trPr>
        <w:tc>
          <w:tcPr>
            <w:tcW w:w="2448" w:type="dxa"/>
            <w:tcBorders>
              <w:top w:val="single" w:sz="4" w:space="0" w:color="auto"/>
              <w:left w:val="single" w:sz="4" w:space="0" w:color="auto"/>
              <w:bottom w:val="single" w:sz="4" w:space="0" w:color="auto"/>
              <w:right w:val="single" w:sz="4" w:space="0" w:color="000000"/>
            </w:tcBorders>
          </w:tcPr>
          <w:p w:rsidR="0064380F" w:rsidRPr="00340E4C" w:rsidRDefault="0064380F"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HDP, r/r v %, s</w:t>
            </w:r>
            <w:r w:rsidR="00DC7147">
              <w:rPr>
                <w:rFonts w:ascii="Verdana" w:eastAsia="Times New Roman" w:hAnsi="Verdana" w:cs="Arial"/>
                <w:sz w:val="20"/>
                <w:szCs w:val="20"/>
                <w:lang w:eastAsia="cs-CZ"/>
              </w:rPr>
              <w:t>. c.</w:t>
            </w:r>
          </w:p>
        </w:tc>
        <w:tc>
          <w:tcPr>
            <w:tcW w:w="803" w:type="dxa"/>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w:t>
            </w:r>
          </w:p>
        </w:tc>
        <w:tc>
          <w:tcPr>
            <w:tcW w:w="804"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-0,7</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1,3</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2,5</w:t>
            </w:r>
          </w:p>
        </w:tc>
        <w:tc>
          <w:tcPr>
            <w:tcW w:w="804"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3,6</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6,3</w:t>
            </w:r>
          </w:p>
        </w:tc>
        <w:tc>
          <w:tcPr>
            <w:tcW w:w="803" w:type="dxa"/>
            <w:gridSpan w:val="3"/>
            <w:tcBorders>
              <w:top w:val="single" w:sz="4" w:space="0" w:color="auto"/>
              <w:left w:val="single" w:sz="4" w:space="0" w:color="000000"/>
              <w:bottom w:val="single" w:sz="4" w:space="0" w:color="auto"/>
              <w:right w:val="single" w:sz="4" w:space="0" w:color="auto"/>
            </w:tcBorders>
          </w:tcPr>
          <w:p w:rsidR="0064380F" w:rsidRPr="00A71704" w:rsidRDefault="0064380F">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6,0</w:t>
            </w:r>
          </w:p>
        </w:tc>
        <w:tc>
          <w:tcPr>
            <w:tcW w:w="804" w:type="dxa"/>
            <w:tcBorders>
              <w:top w:val="single" w:sz="4" w:space="0" w:color="auto"/>
              <w:left w:val="single" w:sz="4" w:space="0" w:color="000000"/>
              <w:bottom w:val="single" w:sz="4" w:space="0" w:color="auto"/>
              <w:right w:val="single" w:sz="4" w:space="0" w:color="auto"/>
            </w:tcBorders>
          </w:tcPr>
          <w:p w:rsidR="0064380F" w:rsidRPr="00A71704" w:rsidRDefault="00A71704">
            <w:pPr>
              <w:jc w:val="right"/>
              <w:rPr>
                <w:rFonts w:ascii="Verdana" w:eastAsia="Times New Roman" w:hAnsi="Verdana" w:cs="Arial"/>
                <w:bCs/>
                <w:sz w:val="20"/>
                <w:szCs w:val="20"/>
                <w:lang w:eastAsia="cs-CZ"/>
              </w:rPr>
            </w:pPr>
            <w:r>
              <w:rPr>
                <w:rFonts w:ascii="Verdana" w:eastAsia="Times New Roman" w:hAnsi="Verdana" w:cs="Arial"/>
                <w:bCs/>
                <w:sz w:val="20"/>
                <w:szCs w:val="20"/>
                <w:lang w:eastAsia="cs-CZ"/>
              </w:rPr>
              <w:t>-4,1</w:t>
            </w:r>
          </w:p>
        </w:tc>
      </w:tr>
      <w:tr w:rsidR="0064380F" w:rsidRPr="00340E4C" w:rsidTr="0064380F">
        <w:trPr>
          <w:trHeight w:val="255"/>
        </w:trPr>
        <w:tc>
          <w:tcPr>
            <w:tcW w:w="2448" w:type="dxa"/>
            <w:tcBorders>
              <w:top w:val="single" w:sz="4" w:space="0" w:color="auto"/>
              <w:left w:val="single" w:sz="4" w:space="0" w:color="auto"/>
              <w:bottom w:val="single" w:sz="4" w:space="0" w:color="auto"/>
              <w:right w:val="single" w:sz="4" w:space="0" w:color="000000"/>
            </w:tcBorders>
          </w:tcPr>
          <w:p w:rsidR="0064380F" w:rsidRPr="00340E4C" w:rsidRDefault="0064380F">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Obecná míra nezaměstnanosti v %</w:t>
            </w:r>
          </w:p>
        </w:tc>
        <w:tc>
          <w:tcPr>
            <w:tcW w:w="803" w:type="dxa"/>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4,3</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4</w:t>
            </w:r>
          </w:p>
        </w:tc>
        <w:tc>
          <w:tcPr>
            <w:tcW w:w="804"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4,8</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8,7</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8,1</w:t>
            </w:r>
          </w:p>
        </w:tc>
        <w:tc>
          <w:tcPr>
            <w:tcW w:w="804"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7,8</w:t>
            </w:r>
          </w:p>
        </w:tc>
        <w:tc>
          <w:tcPr>
            <w:tcW w:w="803" w:type="dxa"/>
            <w:gridSpan w:val="2"/>
            <w:tcBorders>
              <w:top w:val="single" w:sz="4" w:space="0" w:color="auto"/>
              <w:left w:val="single" w:sz="4" w:space="0" w:color="auto"/>
              <w:bottom w:val="single" w:sz="4" w:space="0" w:color="auto"/>
              <w:right w:val="single" w:sz="4" w:space="0" w:color="auto"/>
            </w:tcBorders>
            <w:noWrap/>
          </w:tcPr>
          <w:p w:rsidR="0064380F" w:rsidRPr="00340E4C" w:rsidRDefault="0064380F">
            <w:pPr>
              <w:jc w:val="right"/>
              <w:rPr>
                <w:rFonts w:ascii="Arial" w:eastAsia="Times New Roman" w:hAnsi="Arial" w:cs="Arial"/>
                <w:sz w:val="20"/>
                <w:szCs w:val="20"/>
                <w:lang w:eastAsia="cs-CZ"/>
              </w:rPr>
            </w:pPr>
            <w:r w:rsidRPr="00340E4C">
              <w:rPr>
                <w:rFonts w:ascii="Arial" w:eastAsia="Times New Roman" w:hAnsi="Arial" w:cs="Arial"/>
                <w:noProof/>
                <w:sz w:val="20"/>
                <w:szCs w:val="20"/>
                <w:lang w:val="de-DE" w:eastAsia="de-DE"/>
              </w:rPr>
              <w:drawing>
                <wp:anchor distT="0" distB="0" distL="114300" distR="114300" simplePos="0" relativeHeight="251689984" behindDoc="0" locked="0" layoutInCell="1" allowOverlap="1" wp14:anchorId="0530DB8D" wp14:editId="3E636978">
                  <wp:simplePos x="0" y="0"/>
                  <wp:positionH relativeFrom="column">
                    <wp:posOffset>0</wp:posOffset>
                  </wp:positionH>
                  <wp:positionV relativeFrom="paragraph">
                    <wp:posOffset>0</wp:posOffset>
                  </wp:positionV>
                  <wp:extent cx="9525" cy="9525"/>
                  <wp:effectExtent l="0" t="0" r="0" b="0"/>
                  <wp:wrapNone/>
                  <wp:docPr id="126" name="obrázek 12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cblank"/>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340E4C">
              <w:rPr>
                <w:rFonts w:ascii="Arial" w:eastAsia="Times New Roman" w:hAnsi="Arial" w:cs="Arial"/>
                <w:sz w:val="20"/>
                <w:szCs w:val="20"/>
                <w:lang w:eastAsia="cs-CZ"/>
              </w:rPr>
              <w:t>7,9</w:t>
            </w:r>
          </w:p>
        </w:tc>
        <w:tc>
          <w:tcPr>
            <w:tcW w:w="803" w:type="dxa"/>
            <w:gridSpan w:val="3"/>
            <w:tcBorders>
              <w:top w:val="single" w:sz="4" w:space="0" w:color="auto"/>
              <w:left w:val="single" w:sz="4" w:space="0" w:color="000000"/>
              <w:bottom w:val="single" w:sz="4" w:space="0" w:color="auto"/>
              <w:right w:val="single" w:sz="4" w:space="0" w:color="auto"/>
            </w:tcBorders>
            <w:noWrap/>
          </w:tcPr>
          <w:p w:rsidR="0064380F" w:rsidRPr="00A71704" w:rsidRDefault="0064380F">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 xml:space="preserve">5,3 </w:t>
            </w:r>
          </w:p>
        </w:tc>
        <w:tc>
          <w:tcPr>
            <w:tcW w:w="804" w:type="dxa"/>
            <w:tcBorders>
              <w:top w:val="single" w:sz="4" w:space="0" w:color="auto"/>
              <w:left w:val="single" w:sz="4" w:space="0" w:color="000000"/>
              <w:bottom w:val="single" w:sz="4" w:space="0" w:color="auto"/>
              <w:right w:val="single" w:sz="4" w:space="0" w:color="auto"/>
            </w:tcBorders>
          </w:tcPr>
          <w:p w:rsidR="0064380F" w:rsidRPr="00A71704" w:rsidRDefault="00A71704">
            <w:pPr>
              <w:jc w:val="right"/>
              <w:rPr>
                <w:rFonts w:ascii="Verdana" w:eastAsia="Times New Roman" w:hAnsi="Verdana" w:cs="Arial"/>
                <w:bCs/>
                <w:sz w:val="20"/>
                <w:szCs w:val="20"/>
                <w:lang w:eastAsia="cs-CZ"/>
              </w:rPr>
            </w:pPr>
            <w:r>
              <w:rPr>
                <w:rFonts w:ascii="Verdana" w:eastAsia="Times New Roman" w:hAnsi="Verdana" w:cs="Arial"/>
                <w:bCs/>
                <w:sz w:val="20"/>
                <w:szCs w:val="20"/>
                <w:lang w:eastAsia="cs-CZ"/>
              </w:rPr>
              <w:t>6,7</w:t>
            </w:r>
          </w:p>
        </w:tc>
      </w:tr>
      <w:tr w:rsidR="0064380F" w:rsidRPr="00340E4C" w:rsidTr="0064380F">
        <w:trPr>
          <w:trHeight w:val="510"/>
        </w:trPr>
        <w:tc>
          <w:tcPr>
            <w:tcW w:w="2448" w:type="dxa"/>
            <w:tcBorders>
              <w:top w:val="single" w:sz="4" w:space="0" w:color="auto"/>
              <w:left w:val="single" w:sz="4" w:space="0" w:color="auto"/>
              <w:bottom w:val="single" w:sz="4" w:space="0" w:color="auto"/>
              <w:right w:val="single" w:sz="4" w:space="0" w:color="000000"/>
            </w:tcBorders>
          </w:tcPr>
          <w:p w:rsidR="0064380F" w:rsidRPr="00340E4C" w:rsidRDefault="0064380F" w:rsidP="00A71704">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Průměrná hrubá měsíční nominální mzda v</w:t>
            </w:r>
            <w:r w:rsidR="00A71704">
              <w:rPr>
                <w:rFonts w:ascii="Verdana" w:eastAsia="Times New Roman" w:hAnsi="Verdana" w:cs="Arial"/>
                <w:sz w:val="20"/>
                <w:szCs w:val="20"/>
                <w:lang w:eastAsia="cs-CZ"/>
              </w:rPr>
              <w:t xml:space="preserve"> tis. </w:t>
            </w:r>
            <w:r w:rsidRPr="00340E4C">
              <w:rPr>
                <w:rFonts w:ascii="Verdana" w:eastAsia="Times New Roman" w:hAnsi="Verdana" w:cs="Arial"/>
                <w:sz w:val="20"/>
                <w:szCs w:val="20"/>
                <w:lang w:eastAsia="cs-CZ"/>
              </w:rPr>
              <w:t>Kč</w:t>
            </w:r>
          </w:p>
        </w:tc>
        <w:tc>
          <w:tcPr>
            <w:tcW w:w="803" w:type="dxa"/>
            <w:tcBorders>
              <w:top w:val="single" w:sz="4" w:space="0" w:color="auto"/>
              <w:left w:val="nil"/>
              <w:bottom w:val="single" w:sz="4" w:space="0" w:color="auto"/>
              <w:right w:val="single" w:sz="4" w:space="0" w:color="000000"/>
            </w:tcBorders>
          </w:tcPr>
          <w:p w:rsidR="0064380F" w:rsidRPr="00340E4C" w:rsidRDefault="00A71704">
            <w:pPr>
              <w:jc w:val="right"/>
              <w:rPr>
                <w:rFonts w:ascii="Verdana" w:eastAsia="Times New Roman" w:hAnsi="Verdana" w:cs="Arial"/>
                <w:sz w:val="20"/>
                <w:szCs w:val="20"/>
                <w:lang w:eastAsia="cs-CZ"/>
              </w:rPr>
            </w:pPr>
            <w:r>
              <w:rPr>
                <w:rFonts w:ascii="Verdana" w:eastAsia="Times New Roman" w:hAnsi="Verdana" w:cs="Arial"/>
                <w:sz w:val="20"/>
                <w:szCs w:val="20"/>
                <w:lang w:eastAsia="cs-CZ"/>
              </w:rPr>
              <w:t>6</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rsidP="00A71704">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8</w:t>
            </w:r>
          </w:p>
        </w:tc>
        <w:tc>
          <w:tcPr>
            <w:tcW w:w="804" w:type="dxa"/>
            <w:gridSpan w:val="2"/>
            <w:tcBorders>
              <w:top w:val="single" w:sz="4" w:space="0" w:color="auto"/>
              <w:left w:val="nil"/>
              <w:bottom w:val="single" w:sz="4" w:space="0" w:color="auto"/>
              <w:right w:val="single" w:sz="4" w:space="0" w:color="000000"/>
            </w:tcBorders>
          </w:tcPr>
          <w:p w:rsidR="0064380F" w:rsidRPr="00340E4C" w:rsidRDefault="00A71704">
            <w:pPr>
              <w:jc w:val="right"/>
              <w:rPr>
                <w:rFonts w:ascii="Verdana" w:eastAsia="Times New Roman" w:hAnsi="Verdana" w:cs="Arial"/>
                <w:sz w:val="20"/>
                <w:szCs w:val="20"/>
                <w:lang w:eastAsia="cs-CZ"/>
              </w:rPr>
            </w:pPr>
            <w:r>
              <w:rPr>
                <w:rFonts w:ascii="Verdana" w:eastAsia="Times New Roman" w:hAnsi="Verdana" w:cs="Arial"/>
                <w:sz w:val="20"/>
                <w:szCs w:val="20"/>
                <w:lang w:eastAsia="cs-CZ"/>
              </w:rPr>
              <w:t>11</w:t>
            </w:r>
          </w:p>
        </w:tc>
        <w:tc>
          <w:tcPr>
            <w:tcW w:w="803" w:type="dxa"/>
            <w:gridSpan w:val="2"/>
            <w:tcBorders>
              <w:top w:val="single" w:sz="4" w:space="0" w:color="auto"/>
              <w:left w:val="nil"/>
              <w:bottom w:val="single" w:sz="4" w:space="0" w:color="auto"/>
              <w:right w:val="single" w:sz="4" w:space="0" w:color="000000"/>
            </w:tcBorders>
          </w:tcPr>
          <w:p w:rsidR="0064380F" w:rsidRPr="00340E4C" w:rsidRDefault="00A71704">
            <w:pPr>
              <w:jc w:val="right"/>
              <w:rPr>
                <w:rFonts w:ascii="Verdana" w:eastAsia="Times New Roman" w:hAnsi="Verdana" w:cs="Arial"/>
                <w:sz w:val="20"/>
                <w:szCs w:val="20"/>
                <w:lang w:eastAsia="cs-CZ"/>
              </w:rPr>
            </w:pPr>
            <w:r>
              <w:rPr>
                <w:rFonts w:ascii="Verdana" w:eastAsia="Times New Roman" w:hAnsi="Verdana" w:cs="Arial"/>
                <w:sz w:val="20"/>
                <w:szCs w:val="20"/>
                <w:lang w:eastAsia="cs-CZ"/>
              </w:rPr>
              <w:t>13</w:t>
            </w:r>
          </w:p>
        </w:tc>
        <w:tc>
          <w:tcPr>
            <w:tcW w:w="803" w:type="dxa"/>
            <w:gridSpan w:val="2"/>
            <w:tcBorders>
              <w:top w:val="single" w:sz="4" w:space="0" w:color="auto"/>
              <w:left w:val="nil"/>
              <w:bottom w:val="single" w:sz="4" w:space="0" w:color="auto"/>
              <w:right w:val="single" w:sz="4" w:space="0" w:color="000000"/>
            </w:tcBorders>
          </w:tcPr>
          <w:p w:rsidR="0064380F" w:rsidRPr="00340E4C" w:rsidRDefault="00A71704">
            <w:pPr>
              <w:jc w:val="right"/>
              <w:rPr>
                <w:rFonts w:ascii="Verdana" w:eastAsia="Times New Roman" w:hAnsi="Verdana" w:cs="Arial"/>
                <w:sz w:val="20"/>
                <w:szCs w:val="20"/>
                <w:lang w:eastAsia="cs-CZ"/>
              </w:rPr>
            </w:pPr>
            <w:r>
              <w:rPr>
                <w:rFonts w:ascii="Verdana" w:eastAsia="Times New Roman" w:hAnsi="Verdana" w:cs="Arial"/>
                <w:sz w:val="20"/>
                <w:szCs w:val="20"/>
                <w:lang w:eastAsia="cs-CZ"/>
              </w:rPr>
              <w:t>15</w:t>
            </w:r>
          </w:p>
        </w:tc>
        <w:tc>
          <w:tcPr>
            <w:tcW w:w="804" w:type="dxa"/>
            <w:gridSpan w:val="2"/>
            <w:tcBorders>
              <w:top w:val="single" w:sz="4" w:space="0" w:color="auto"/>
              <w:left w:val="nil"/>
              <w:bottom w:val="single" w:sz="4" w:space="0" w:color="auto"/>
              <w:right w:val="single" w:sz="4" w:space="0" w:color="000000"/>
            </w:tcBorders>
          </w:tcPr>
          <w:p w:rsidR="0064380F" w:rsidRPr="00340E4C" w:rsidRDefault="00A71704">
            <w:pPr>
              <w:jc w:val="right"/>
              <w:rPr>
                <w:rFonts w:ascii="Verdana" w:eastAsia="Times New Roman" w:hAnsi="Verdana" w:cs="Arial"/>
                <w:sz w:val="20"/>
                <w:szCs w:val="20"/>
                <w:lang w:eastAsia="cs-CZ"/>
              </w:rPr>
            </w:pPr>
            <w:r>
              <w:rPr>
                <w:rFonts w:ascii="Verdana" w:eastAsia="Times New Roman" w:hAnsi="Verdana" w:cs="Arial"/>
                <w:sz w:val="20"/>
                <w:szCs w:val="20"/>
                <w:lang w:eastAsia="cs-CZ"/>
              </w:rPr>
              <w:t>17</w:t>
            </w:r>
          </w:p>
        </w:tc>
        <w:tc>
          <w:tcPr>
            <w:tcW w:w="803" w:type="dxa"/>
            <w:gridSpan w:val="2"/>
            <w:tcBorders>
              <w:top w:val="single" w:sz="4" w:space="0" w:color="auto"/>
              <w:left w:val="single" w:sz="4" w:space="0" w:color="auto"/>
              <w:bottom w:val="single" w:sz="4" w:space="0" w:color="auto"/>
              <w:right w:val="nil"/>
            </w:tcBorders>
            <w:noWrap/>
          </w:tcPr>
          <w:p w:rsidR="0064380F" w:rsidRPr="00340E4C" w:rsidRDefault="0064380F" w:rsidP="00A71704">
            <w:pPr>
              <w:jc w:val="right"/>
              <w:rPr>
                <w:rFonts w:ascii="Arial" w:eastAsia="Times New Roman" w:hAnsi="Arial" w:cs="Arial"/>
                <w:sz w:val="20"/>
                <w:szCs w:val="20"/>
                <w:lang w:eastAsia="cs-CZ"/>
              </w:rPr>
            </w:pPr>
            <w:r w:rsidRPr="00340E4C">
              <w:rPr>
                <w:rFonts w:ascii="Arial" w:eastAsia="Times New Roman" w:hAnsi="Arial" w:cs="Arial"/>
                <w:noProof/>
                <w:sz w:val="20"/>
                <w:szCs w:val="20"/>
                <w:lang w:val="de-DE" w:eastAsia="de-DE"/>
              </w:rPr>
              <w:drawing>
                <wp:anchor distT="0" distB="0" distL="114300" distR="114300" simplePos="0" relativeHeight="251691008" behindDoc="0" locked="0" layoutInCell="1" allowOverlap="1" wp14:anchorId="06D1F1BF" wp14:editId="3F33D500">
                  <wp:simplePos x="0" y="0"/>
                  <wp:positionH relativeFrom="column">
                    <wp:posOffset>0</wp:posOffset>
                  </wp:positionH>
                  <wp:positionV relativeFrom="paragraph">
                    <wp:posOffset>0</wp:posOffset>
                  </wp:positionV>
                  <wp:extent cx="9525" cy="9525"/>
                  <wp:effectExtent l="0" t="0" r="0" b="0"/>
                  <wp:wrapNone/>
                  <wp:docPr id="127" name="obrázek 12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cblank"/>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00A71704">
              <w:rPr>
                <w:rFonts w:ascii="Arial" w:eastAsia="Times New Roman" w:hAnsi="Arial" w:cs="Arial"/>
                <w:sz w:val="20"/>
                <w:szCs w:val="20"/>
                <w:lang w:eastAsia="cs-CZ"/>
              </w:rPr>
              <w:t>19</w:t>
            </w:r>
          </w:p>
        </w:tc>
        <w:tc>
          <w:tcPr>
            <w:tcW w:w="803" w:type="dxa"/>
            <w:gridSpan w:val="3"/>
            <w:tcBorders>
              <w:top w:val="single" w:sz="4" w:space="0" w:color="auto"/>
              <w:left w:val="single" w:sz="4" w:space="0" w:color="000000"/>
              <w:bottom w:val="single" w:sz="4" w:space="0" w:color="auto"/>
              <w:right w:val="single" w:sz="4" w:space="0" w:color="auto"/>
            </w:tcBorders>
            <w:noWrap/>
          </w:tcPr>
          <w:p w:rsidR="0064380F" w:rsidRPr="00A71704" w:rsidRDefault="00A71704">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22</w:t>
            </w:r>
          </w:p>
        </w:tc>
        <w:tc>
          <w:tcPr>
            <w:tcW w:w="804" w:type="dxa"/>
            <w:tcBorders>
              <w:top w:val="single" w:sz="4" w:space="0" w:color="auto"/>
              <w:left w:val="single" w:sz="4" w:space="0" w:color="000000"/>
              <w:bottom w:val="single" w:sz="4" w:space="0" w:color="auto"/>
              <w:right w:val="single" w:sz="4" w:space="0" w:color="auto"/>
            </w:tcBorders>
          </w:tcPr>
          <w:p w:rsidR="0064380F" w:rsidRPr="00A71704" w:rsidRDefault="00A71704">
            <w:pPr>
              <w:jc w:val="right"/>
              <w:rPr>
                <w:rFonts w:ascii="Verdana" w:eastAsia="Times New Roman" w:hAnsi="Verdana" w:cs="Arial"/>
                <w:bCs/>
                <w:sz w:val="20"/>
                <w:szCs w:val="20"/>
                <w:lang w:eastAsia="cs-CZ"/>
              </w:rPr>
            </w:pPr>
            <w:r>
              <w:rPr>
                <w:rFonts w:ascii="Verdana" w:eastAsia="Times New Roman" w:hAnsi="Verdana" w:cs="Arial"/>
                <w:bCs/>
                <w:sz w:val="20"/>
                <w:szCs w:val="20"/>
                <w:lang w:eastAsia="cs-CZ"/>
              </w:rPr>
              <w:t>23</w:t>
            </w:r>
          </w:p>
        </w:tc>
      </w:tr>
      <w:tr w:rsidR="0064380F" w:rsidRPr="00340E4C" w:rsidTr="0064380F">
        <w:trPr>
          <w:trHeight w:val="255"/>
        </w:trPr>
        <w:tc>
          <w:tcPr>
            <w:tcW w:w="2448" w:type="dxa"/>
            <w:tcBorders>
              <w:top w:val="single" w:sz="4" w:space="0" w:color="auto"/>
              <w:left w:val="single" w:sz="4" w:space="0" w:color="auto"/>
              <w:bottom w:val="single" w:sz="4" w:space="0" w:color="auto"/>
              <w:right w:val="single" w:sz="4" w:space="0" w:color="000000"/>
            </w:tcBorders>
          </w:tcPr>
          <w:p w:rsidR="0064380F" w:rsidRPr="00340E4C" w:rsidRDefault="0064380F">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Míra inflace v % r/r, průměr</w:t>
            </w:r>
          </w:p>
        </w:tc>
        <w:tc>
          <w:tcPr>
            <w:tcW w:w="803" w:type="dxa"/>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20,8</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9,1</w:t>
            </w:r>
          </w:p>
        </w:tc>
        <w:tc>
          <w:tcPr>
            <w:tcW w:w="804"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8,5</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2,1</w:t>
            </w:r>
          </w:p>
        </w:tc>
        <w:tc>
          <w:tcPr>
            <w:tcW w:w="803"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4,7</w:t>
            </w:r>
          </w:p>
        </w:tc>
        <w:tc>
          <w:tcPr>
            <w:tcW w:w="804" w:type="dxa"/>
            <w:gridSpan w:val="2"/>
            <w:tcBorders>
              <w:top w:val="single" w:sz="4" w:space="0" w:color="auto"/>
              <w:left w:val="nil"/>
              <w:bottom w:val="single" w:sz="4" w:space="0" w:color="auto"/>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0,1</w:t>
            </w:r>
          </w:p>
        </w:tc>
        <w:tc>
          <w:tcPr>
            <w:tcW w:w="803" w:type="dxa"/>
            <w:gridSpan w:val="2"/>
            <w:tcBorders>
              <w:top w:val="single" w:sz="4" w:space="0" w:color="auto"/>
              <w:left w:val="single" w:sz="4" w:space="0" w:color="auto"/>
              <w:bottom w:val="single" w:sz="4" w:space="0" w:color="auto"/>
              <w:right w:val="single" w:sz="4" w:space="0" w:color="auto"/>
            </w:tcBorders>
            <w:noWrap/>
          </w:tcPr>
          <w:p w:rsidR="0064380F" w:rsidRPr="00340E4C" w:rsidRDefault="0064380F">
            <w:pPr>
              <w:jc w:val="right"/>
              <w:rPr>
                <w:rFonts w:ascii="Arial" w:eastAsia="Times New Roman" w:hAnsi="Arial" w:cs="Arial"/>
                <w:sz w:val="20"/>
                <w:szCs w:val="20"/>
                <w:lang w:eastAsia="cs-CZ"/>
              </w:rPr>
            </w:pPr>
            <w:r w:rsidRPr="00340E4C">
              <w:rPr>
                <w:rFonts w:ascii="Arial" w:eastAsia="Times New Roman" w:hAnsi="Arial" w:cs="Arial"/>
                <w:noProof/>
                <w:sz w:val="20"/>
                <w:szCs w:val="20"/>
                <w:lang w:val="de-DE" w:eastAsia="de-DE"/>
              </w:rPr>
              <w:drawing>
                <wp:anchor distT="0" distB="0" distL="114300" distR="114300" simplePos="0" relativeHeight="251692032" behindDoc="0" locked="0" layoutInCell="1" allowOverlap="1" wp14:anchorId="427F25B6" wp14:editId="22D68040">
                  <wp:simplePos x="0" y="0"/>
                  <wp:positionH relativeFrom="column">
                    <wp:posOffset>0</wp:posOffset>
                  </wp:positionH>
                  <wp:positionV relativeFrom="paragraph">
                    <wp:posOffset>0</wp:posOffset>
                  </wp:positionV>
                  <wp:extent cx="9525" cy="9525"/>
                  <wp:effectExtent l="0" t="0" r="0" b="0"/>
                  <wp:wrapNone/>
                  <wp:docPr id="128" name="obrázek 12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cblank"/>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340E4C">
              <w:rPr>
                <w:rFonts w:ascii="Arial" w:eastAsia="Times New Roman" w:hAnsi="Arial" w:cs="Arial"/>
                <w:sz w:val="20"/>
                <w:szCs w:val="20"/>
                <w:lang w:eastAsia="cs-CZ"/>
              </w:rPr>
              <w:t>1,9</w:t>
            </w:r>
          </w:p>
        </w:tc>
        <w:tc>
          <w:tcPr>
            <w:tcW w:w="803" w:type="dxa"/>
            <w:gridSpan w:val="3"/>
            <w:tcBorders>
              <w:top w:val="single" w:sz="4" w:space="0" w:color="auto"/>
              <w:left w:val="single" w:sz="4" w:space="0" w:color="000000"/>
              <w:bottom w:val="single" w:sz="4" w:space="0" w:color="auto"/>
              <w:right w:val="single" w:sz="4" w:space="0" w:color="auto"/>
            </w:tcBorders>
          </w:tcPr>
          <w:p w:rsidR="0064380F" w:rsidRPr="00A71704" w:rsidRDefault="0064380F">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2,8</w:t>
            </w:r>
          </w:p>
        </w:tc>
        <w:tc>
          <w:tcPr>
            <w:tcW w:w="804" w:type="dxa"/>
            <w:tcBorders>
              <w:top w:val="single" w:sz="4" w:space="0" w:color="auto"/>
              <w:left w:val="single" w:sz="4" w:space="0" w:color="000000"/>
              <w:bottom w:val="single" w:sz="4" w:space="0" w:color="auto"/>
              <w:right w:val="single" w:sz="4" w:space="0" w:color="auto"/>
            </w:tcBorders>
          </w:tcPr>
          <w:p w:rsidR="0064380F" w:rsidRPr="00A71704" w:rsidRDefault="00A71704">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1,0</w:t>
            </w:r>
          </w:p>
        </w:tc>
      </w:tr>
      <w:tr w:rsidR="0064380F" w:rsidRPr="00340E4C" w:rsidTr="0064380F">
        <w:trPr>
          <w:trHeight w:val="510"/>
        </w:trPr>
        <w:tc>
          <w:tcPr>
            <w:tcW w:w="2448" w:type="dxa"/>
            <w:tcBorders>
              <w:top w:val="single" w:sz="4" w:space="0" w:color="auto"/>
              <w:left w:val="single" w:sz="4" w:space="0" w:color="000000"/>
              <w:bottom w:val="single" w:sz="4" w:space="0" w:color="000000"/>
              <w:right w:val="single" w:sz="4" w:space="0" w:color="000000"/>
            </w:tcBorders>
          </w:tcPr>
          <w:p w:rsidR="0064380F" w:rsidRPr="00340E4C" w:rsidRDefault="0064380F">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Bilance zahraničního obchodu zbožím, mld. Kč, běžné ceny</w:t>
            </w:r>
          </w:p>
        </w:tc>
        <w:tc>
          <w:tcPr>
            <w:tcW w:w="803" w:type="dxa"/>
            <w:tcBorders>
              <w:top w:val="single" w:sz="4" w:space="0" w:color="auto"/>
              <w:left w:val="nil"/>
              <w:bottom w:val="single" w:sz="4" w:space="0" w:color="000000"/>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-4</w:t>
            </w:r>
          </w:p>
        </w:tc>
        <w:tc>
          <w:tcPr>
            <w:tcW w:w="803" w:type="dxa"/>
            <w:gridSpan w:val="2"/>
            <w:tcBorders>
              <w:top w:val="single" w:sz="4" w:space="0" w:color="auto"/>
              <w:left w:val="nil"/>
              <w:bottom w:val="single" w:sz="4" w:space="0" w:color="000000"/>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-100</w:t>
            </w:r>
          </w:p>
        </w:tc>
        <w:tc>
          <w:tcPr>
            <w:tcW w:w="804" w:type="dxa"/>
            <w:gridSpan w:val="2"/>
            <w:tcBorders>
              <w:top w:val="single" w:sz="4" w:space="0" w:color="auto"/>
              <w:left w:val="nil"/>
              <w:bottom w:val="single" w:sz="4" w:space="0" w:color="000000"/>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-150</w:t>
            </w:r>
          </w:p>
        </w:tc>
        <w:tc>
          <w:tcPr>
            <w:tcW w:w="803" w:type="dxa"/>
            <w:gridSpan w:val="2"/>
            <w:tcBorders>
              <w:top w:val="single" w:sz="4" w:space="0" w:color="auto"/>
              <w:left w:val="nil"/>
              <w:bottom w:val="single" w:sz="4" w:space="0" w:color="000000"/>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-64</w:t>
            </w:r>
          </w:p>
        </w:tc>
        <w:tc>
          <w:tcPr>
            <w:tcW w:w="803" w:type="dxa"/>
            <w:gridSpan w:val="2"/>
            <w:tcBorders>
              <w:top w:val="single" w:sz="4" w:space="0" w:color="auto"/>
              <w:left w:val="nil"/>
              <w:bottom w:val="single" w:sz="4" w:space="0" w:color="000000"/>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-117</w:t>
            </w:r>
          </w:p>
        </w:tc>
        <w:tc>
          <w:tcPr>
            <w:tcW w:w="804" w:type="dxa"/>
            <w:gridSpan w:val="2"/>
            <w:tcBorders>
              <w:top w:val="single" w:sz="4" w:space="0" w:color="auto"/>
              <w:left w:val="nil"/>
              <w:bottom w:val="single" w:sz="4" w:space="0" w:color="000000"/>
              <w:right w:val="single" w:sz="4" w:space="0" w:color="000000"/>
            </w:tcBorders>
          </w:tcPr>
          <w:p w:rsidR="0064380F" w:rsidRPr="00340E4C" w:rsidRDefault="0064380F">
            <w:pPr>
              <w:jc w:val="right"/>
              <w:rPr>
                <w:rFonts w:ascii="Verdana" w:eastAsia="Times New Roman" w:hAnsi="Verdana" w:cs="Arial"/>
                <w:sz w:val="20"/>
                <w:szCs w:val="20"/>
                <w:lang w:eastAsia="cs-CZ"/>
              </w:rPr>
            </w:pPr>
            <w:r w:rsidRPr="00340E4C">
              <w:rPr>
                <w:rFonts w:ascii="Verdana" w:eastAsia="Times New Roman" w:hAnsi="Verdana" w:cs="Arial"/>
                <w:sz w:val="20"/>
                <w:szCs w:val="20"/>
                <w:lang w:eastAsia="cs-CZ"/>
              </w:rPr>
              <w:t>-70</w:t>
            </w:r>
          </w:p>
        </w:tc>
        <w:tc>
          <w:tcPr>
            <w:tcW w:w="803" w:type="dxa"/>
            <w:gridSpan w:val="2"/>
            <w:tcBorders>
              <w:top w:val="single" w:sz="4" w:space="0" w:color="auto"/>
              <w:left w:val="single" w:sz="4" w:space="0" w:color="auto"/>
              <w:bottom w:val="single" w:sz="4" w:space="0" w:color="auto"/>
              <w:right w:val="single" w:sz="4" w:space="0" w:color="auto"/>
            </w:tcBorders>
            <w:noWrap/>
          </w:tcPr>
          <w:p w:rsidR="0064380F" w:rsidRPr="00340E4C" w:rsidRDefault="0064380F">
            <w:pPr>
              <w:jc w:val="right"/>
              <w:rPr>
                <w:rFonts w:ascii="Arial" w:eastAsia="Times New Roman" w:hAnsi="Arial" w:cs="Arial"/>
                <w:sz w:val="20"/>
                <w:szCs w:val="20"/>
                <w:lang w:eastAsia="cs-CZ"/>
              </w:rPr>
            </w:pPr>
            <w:r w:rsidRPr="00340E4C">
              <w:rPr>
                <w:rFonts w:ascii="Arial" w:eastAsia="Times New Roman" w:hAnsi="Arial" w:cs="Arial"/>
                <w:noProof/>
                <w:sz w:val="20"/>
                <w:szCs w:val="20"/>
                <w:lang w:val="de-DE" w:eastAsia="de-DE"/>
              </w:rPr>
              <w:drawing>
                <wp:anchor distT="0" distB="0" distL="114300" distR="114300" simplePos="0" relativeHeight="251693056" behindDoc="0" locked="0" layoutInCell="1" allowOverlap="1" wp14:anchorId="1A02D585" wp14:editId="79C6009E">
                  <wp:simplePos x="0" y="0"/>
                  <wp:positionH relativeFrom="column">
                    <wp:posOffset>0</wp:posOffset>
                  </wp:positionH>
                  <wp:positionV relativeFrom="paragraph">
                    <wp:posOffset>0</wp:posOffset>
                  </wp:positionV>
                  <wp:extent cx="9525" cy="19050"/>
                  <wp:effectExtent l="0" t="0" r="0" b="0"/>
                  <wp:wrapNone/>
                  <wp:docPr id="129" name="obrázek 12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cblank"/>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14:sizeRelH relativeFrom="page">
                    <wp14:pctWidth>0</wp14:pctWidth>
                  </wp14:sizeRelH>
                  <wp14:sizeRelV relativeFrom="page">
                    <wp14:pctHeight>0</wp14:pctHeight>
                  </wp14:sizeRelV>
                </wp:anchor>
              </w:drawing>
            </w:r>
            <w:r w:rsidRPr="00340E4C">
              <w:rPr>
                <w:rFonts w:ascii="Arial" w:eastAsia="Times New Roman" w:hAnsi="Arial" w:cs="Arial"/>
                <w:sz w:val="20"/>
                <w:szCs w:val="20"/>
                <w:lang w:eastAsia="cs-CZ"/>
              </w:rPr>
              <w:t>39</w:t>
            </w:r>
          </w:p>
        </w:tc>
        <w:tc>
          <w:tcPr>
            <w:tcW w:w="803" w:type="dxa"/>
            <w:gridSpan w:val="3"/>
            <w:tcBorders>
              <w:top w:val="single" w:sz="4" w:space="0" w:color="auto"/>
              <w:left w:val="single" w:sz="4" w:space="0" w:color="000000"/>
              <w:bottom w:val="single" w:sz="4" w:space="0" w:color="000000"/>
              <w:right w:val="single" w:sz="4" w:space="0" w:color="000000"/>
            </w:tcBorders>
          </w:tcPr>
          <w:p w:rsidR="0064380F" w:rsidRPr="00A71704" w:rsidRDefault="0064380F">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87,9</w:t>
            </w:r>
          </w:p>
        </w:tc>
        <w:tc>
          <w:tcPr>
            <w:tcW w:w="804" w:type="dxa"/>
            <w:tcBorders>
              <w:top w:val="single" w:sz="4" w:space="0" w:color="auto"/>
              <w:left w:val="single" w:sz="4" w:space="0" w:color="000000"/>
              <w:bottom w:val="single" w:sz="4" w:space="0" w:color="000000"/>
              <w:right w:val="single" w:sz="4" w:space="0" w:color="000000"/>
            </w:tcBorders>
          </w:tcPr>
          <w:p w:rsidR="0064380F" w:rsidRPr="00A71704" w:rsidRDefault="00A71704" w:rsidP="00A71704">
            <w:pPr>
              <w:jc w:val="right"/>
              <w:rPr>
                <w:rFonts w:ascii="Verdana" w:eastAsia="Times New Roman" w:hAnsi="Verdana" w:cs="Arial"/>
                <w:bCs/>
                <w:sz w:val="20"/>
                <w:szCs w:val="20"/>
                <w:lang w:eastAsia="cs-CZ"/>
              </w:rPr>
            </w:pPr>
            <w:r w:rsidRPr="00A71704">
              <w:rPr>
                <w:rFonts w:ascii="Verdana" w:eastAsia="Times New Roman" w:hAnsi="Verdana" w:cs="Arial"/>
                <w:bCs/>
                <w:sz w:val="20"/>
                <w:szCs w:val="20"/>
                <w:lang w:eastAsia="cs-CZ"/>
              </w:rPr>
              <w:t>31,1</w:t>
            </w:r>
          </w:p>
        </w:tc>
      </w:tr>
    </w:tbl>
    <w:p w:rsidR="00783598" w:rsidRDefault="00783598"/>
    <w:tbl>
      <w:tblPr>
        <w:tblW w:w="9678" w:type="dxa"/>
        <w:tblInd w:w="-110" w:type="dxa"/>
        <w:tblLayout w:type="fixed"/>
        <w:tblCellMar>
          <w:left w:w="70" w:type="dxa"/>
          <w:right w:w="70" w:type="dxa"/>
        </w:tblCellMar>
        <w:tblLook w:val="0000" w:firstRow="0" w:lastRow="0" w:firstColumn="0" w:lastColumn="0" w:noHBand="0" w:noVBand="0"/>
      </w:tblPr>
      <w:tblGrid>
        <w:gridCol w:w="2448"/>
        <w:gridCol w:w="803"/>
        <w:gridCol w:w="803"/>
        <w:gridCol w:w="804"/>
        <w:gridCol w:w="803"/>
        <w:gridCol w:w="803"/>
        <w:gridCol w:w="804"/>
        <w:gridCol w:w="803"/>
        <w:gridCol w:w="803"/>
        <w:gridCol w:w="804"/>
      </w:tblGrid>
      <w:tr w:rsidR="00DC7147" w:rsidRPr="00340E4C" w:rsidTr="00DC7147">
        <w:trPr>
          <w:trHeight w:val="255"/>
        </w:trPr>
        <w:tc>
          <w:tcPr>
            <w:tcW w:w="2448" w:type="dxa"/>
            <w:tcBorders>
              <w:top w:val="single" w:sz="4" w:space="0" w:color="000000"/>
              <w:left w:val="single" w:sz="4" w:space="0" w:color="000000"/>
              <w:bottom w:val="single" w:sz="4" w:space="0" w:color="000000"/>
              <w:right w:val="single" w:sz="4" w:space="0" w:color="000000"/>
            </w:tcBorders>
            <w:shd w:val="clear" w:color="auto" w:fill="99CCFF"/>
          </w:tcPr>
          <w:p w:rsidR="00DC7147" w:rsidRPr="00340E4C" w:rsidRDefault="00DC7147"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 </w:t>
            </w:r>
          </w:p>
        </w:tc>
        <w:tc>
          <w:tcPr>
            <w:tcW w:w="803"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2011</w:t>
            </w:r>
          </w:p>
        </w:tc>
        <w:tc>
          <w:tcPr>
            <w:tcW w:w="803"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2013</w:t>
            </w:r>
          </w:p>
        </w:tc>
        <w:tc>
          <w:tcPr>
            <w:tcW w:w="804"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2015</w:t>
            </w:r>
          </w:p>
        </w:tc>
        <w:tc>
          <w:tcPr>
            <w:tcW w:w="803"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2017</w:t>
            </w:r>
          </w:p>
        </w:tc>
        <w:tc>
          <w:tcPr>
            <w:tcW w:w="803"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2019</w:t>
            </w:r>
          </w:p>
        </w:tc>
        <w:tc>
          <w:tcPr>
            <w:tcW w:w="804"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2021</w:t>
            </w:r>
          </w:p>
        </w:tc>
        <w:tc>
          <w:tcPr>
            <w:tcW w:w="803"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2023</w:t>
            </w:r>
          </w:p>
        </w:tc>
        <w:tc>
          <w:tcPr>
            <w:tcW w:w="803"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2025</w:t>
            </w:r>
          </w:p>
        </w:tc>
        <w:tc>
          <w:tcPr>
            <w:tcW w:w="804" w:type="dxa"/>
            <w:tcBorders>
              <w:top w:val="single" w:sz="4" w:space="0" w:color="000000"/>
              <w:left w:val="nil"/>
              <w:bottom w:val="single" w:sz="4" w:space="0" w:color="000000"/>
              <w:right w:val="single" w:sz="4" w:space="0" w:color="000000"/>
            </w:tcBorders>
            <w:shd w:val="clear" w:color="auto" w:fill="99CCFF"/>
          </w:tcPr>
          <w:p w:rsidR="00DC7147" w:rsidRPr="00340E4C" w:rsidRDefault="00DC7147" w:rsidP="00DC7147">
            <w:pPr>
              <w:jc w:val="center"/>
              <w:rPr>
                <w:rFonts w:ascii="Verdana" w:eastAsia="Times New Roman" w:hAnsi="Verdana" w:cs="Arial"/>
                <w:b/>
                <w:bCs/>
                <w:sz w:val="20"/>
                <w:szCs w:val="20"/>
                <w:lang w:eastAsia="cs-CZ"/>
              </w:rPr>
            </w:pPr>
            <w:r>
              <w:rPr>
                <w:rFonts w:ascii="Verdana" w:eastAsia="Times New Roman" w:hAnsi="Verdana" w:cs="Arial"/>
                <w:b/>
                <w:bCs/>
                <w:sz w:val="20"/>
                <w:szCs w:val="20"/>
                <w:lang w:eastAsia="cs-CZ"/>
              </w:rPr>
              <w:t>2027</w:t>
            </w:r>
          </w:p>
        </w:tc>
      </w:tr>
      <w:tr w:rsidR="00DC7147" w:rsidRPr="00A71704" w:rsidTr="00DC7147">
        <w:trPr>
          <w:trHeight w:val="510"/>
        </w:trPr>
        <w:tc>
          <w:tcPr>
            <w:tcW w:w="2448" w:type="dxa"/>
            <w:tcBorders>
              <w:top w:val="nil"/>
              <w:left w:val="single" w:sz="4" w:space="0" w:color="000000"/>
              <w:bottom w:val="single" w:sz="4" w:space="0" w:color="auto"/>
              <w:right w:val="single" w:sz="4" w:space="0" w:color="000000"/>
            </w:tcBorders>
          </w:tcPr>
          <w:p w:rsidR="00DC7147" w:rsidRPr="00340E4C" w:rsidRDefault="00DC7147"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HDP na 1 obyvatele, tis.</w:t>
            </w:r>
            <w:r>
              <w:rPr>
                <w:rFonts w:ascii="Verdana" w:eastAsia="Times New Roman" w:hAnsi="Verdana" w:cs="Arial"/>
                <w:sz w:val="20"/>
                <w:szCs w:val="20"/>
                <w:lang w:eastAsia="cs-CZ"/>
              </w:rPr>
              <w:t xml:space="preserve"> </w:t>
            </w:r>
            <w:r w:rsidRPr="00340E4C">
              <w:rPr>
                <w:rFonts w:ascii="Verdana" w:eastAsia="Times New Roman" w:hAnsi="Verdana" w:cs="Arial"/>
                <w:sz w:val="20"/>
                <w:szCs w:val="20"/>
                <w:lang w:eastAsia="cs-CZ"/>
              </w:rPr>
              <w:t>Kč na ob., b</w:t>
            </w:r>
            <w:r>
              <w:rPr>
                <w:rFonts w:ascii="Verdana" w:eastAsia="Times New Roman" w:hAnsi="Verdana" w:cs="Arial"/>
                <w:sz w:val="20"/>
                <w:szCs w:val="20"/>
                <w:lang w:eastAsia="cs-CZ"/>
              </w:rPr>
              <w:t>. c.</w:t>
            </w:r>
          </w:p>
        </w:tc>
        <w:tc>
          <w:tcPr>
            <w:tcW w:w="803" w:type="dxa"/>
            <w:tcBorders>
              <w:top w:val="nil"/>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b/>
                <w:bCs/>
                <w:sz w:val="20"/>
                <w:szCs w:val="20"/>
                <w:lang w:eastAsia="cs-CZ"/>
              </w:rPr>
            </w:pPr>
            <w:r>
              <w:rPr>
                <w:rFonts w:ascii="Verdana" w:eastAsia="Times New Roman" w:hAnsi="Verdana" w:cs="Arial"/>
                <w:b/>
                <w:bCs/>
                <w:sz w:val="20"/>
                <w:szCs w:val="20"/>
                <w:lang w:eastAsia="cs-CZ"/>
              </w:rPr>
              <w:t>384</w:t>
            </w:r>
          </w:p>
        </w:tc>
        <w:tc>
          <w:tcPr>
            <w:tcW w:w="803" w:type="dxa"/>
            <w:tcBorders>
              <w:top w:val="nil"/>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390</w:t>
            </w:r>
          </w:p>
        </w:tc>
        <w:tc>
          <w:tcPr>
            <w:tcW w:w="804" w:type="dxa"/>
            <w:tcBorders>
              <w:top w:val="nil"/>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436</w:t>
            </w:r>
          </w:p>
        </w:tc>
        <w:tc>
          <w:tcPr>
            <w:tcW w:w="803" w:type="dxa"/>
            <w:tcBorders>
              <w:top w:val="nil"/>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477</w:t>
            </w:r>
          </w:p>
        </w:tc>
        <w:tc>
          <w:tcPr>
            <w:tcW w:w="803" w:type="dxa"/>
            <w:tcBorders>
              <w:top w:val="nil"/>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nil"/>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nil"/>
              <w:left w:val="single" w:sz="4" w:space="0" w:color="auto"/>
              <w:bottom w:val="single" w:sz="4" w:space="0" w:color="auto"/>
              <w:right w:val="single" w:sz="4" w:space="0" w:color="auto"/>
            </w:tcBorders>
            <w:noWrap/>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nil"/>
              <w:left w:val="single" w:sz="4" w:space="0" w:color="000000"/>
              <w:bottom w:val="single" w:sz="4" w:space="0" w:color="auto"/>
              <w:right w:val="single" w:sz="4" w:space="0" w:color="000000"/>
            </w:tcBorders>
            <w:noWrap/>
          </w:tcPr>
          <w:p w:rsidR="00DC7147" w:rsidRPr="00A71704" w:rsidRDefault="00DC7147" w:rsidP="00DC7147">
            <w:pPr>
              <w:jc w:val="right"/>
              <w:rPr>
                <w:rFonts w:ascii="Verdana" w:eastAsia="Times New Roman" w:hAnsi="Verdana" w:cs="Arial"/>
                <w:bCs/>
                <w:sz w:val="20"/>
                <w:szCs w:val="20"/>
                <w:lang w:eastAsia="cs-CZ"/>
              </w:rPr>
            </w:pPr>
          </w:p>
        </w:tc>
        <w:tc>
          <w:tcPr>
            <w:tcW w:w="804" w:type="dxa"/>
            <w:tcBorders>
              <w:top w:val="nil"/>
              <w:left w:val="single" w:sz="4" w:space="0" w:color="000000"/>
              <w:bottom w:val="single" w:sz="4" w:space="0" w:color="auto"/>
              <w:right w:val="single" w:sz="4" w:space="0" w:color="000000"/>
            </w:tcBorders>
          </w:tcPr>
          <w:p w:rsidR="00DC7147" w:rsidRPr="00A71704" w:rsidRDefault="00DC7147" w:rsidP="00DC7147">
            <w:pPr>
              <w:jc w:val="right"/>
              <w:rPr>
                <w:rFonts w:ascii="Verdana" w:eastAsia="Times New Roman" w:hAnsi="Verdana" w:cs="Arial"/>
                <w:bCs/>
                <w:sz w:val="20"/>
                <w:szCs w:val="20"/>
                <w:lang w:eastAsia="cs-CZ"/>
              </w:rPr>
            </w:pPr>
          </w:p>
        </w:tc>
      </w:tr>
      <w:tr w:rsidR="00DC7147" w:rsidRPr="00A71704" w:rsidTr="00DC7147">
        <w:trPr>
          <w:trHeight w:val="255"/>
        </w:trPr>
        <w:tc>
          <w:tcPr>
            <w:tcW w:w="2448" w:type="dxa"/>
            <w:tcBorders>
              <w:top w:val="single" w:sz="4" w:space="0" w:color="auto"/>
              <w:left w:val="single" w:sz="4" w:space="0" w:color="auto"/>
              <w:bottom w:val="single" w:sz="4" w:space="0" w:color="auto"/>
              <w:right w:val="single" w:sz="4" w:space="0" w:color="000000"/>
            </w:tcBorders>
          </w:tcPr>
          <w:p w:rsidR="00DC7147" w:rsidRPr="00340E4C" w:rsidRDefault="00DC7147"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HDP, r/r v %, stálé ceny</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1,8</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-0,5</w:t>
            </w:r>
          </w:p>
        </w:tc>
        <w:tc>
          <w:tcPr>
            <w:tcW w:w="804"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5,3</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4,4</w:t>
            </w:r>
          </w:p>
        </w:tc>
        <w:tc>
          <w:tcPr>
            <w:tcW w:w="803"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single" w:sz="4" w:space="0" w:color="000000"/>
              <w:bottom w:val="single" w:sz="4" w:space="0" w:color="auto"/>
              <w:right w:val="single" w:sz="4" w:space="0" w:color="auto"/>
            </w:tcBorders>
          </w:tcPr>
          <w:p w:rsidR="00DC7147" w:rsidRPr="00A71704" w:rsidRDefault="00DC7147" w:rsidP="00DC7147">
            <w:pPr>
              <w:jc w:val="right"/>
              <w:rPr>
                <w:rFonts w:ascii="Verdana" w:eastAsia="Times New Roman" w:hAnsi="Verdana" w:cs="Arial"/>
                <w:bCs/>
                <w:sz w:val="20"/>
                <w:szCs w:val="20"/>
                <w:lang w:eastAsia="cs-CZ"/>
              </w:rPr>
            </w:pPr>
          </w:p>
        </w:tc>
        <w:tc>
          <w:tcPr>
            <w:tcW w:w="804" w:type="dxa"/>
            <w:tcBorders>
              <w:top w:val="single" w:sz="4" w:space="0" w:color="auto"/>
              <w:left w:val="single" w:sz="4" w:space="0" w:color="000000"/>
              <w:bottom w:val="single" w:sz="4" w:space="0" w:color="auto"/>
              <w:right w:val="single" w:sz="4" w:space="0" w:color="auto"/>
            </w:tcBorders>
          </w:tcPr>
          <w:p w:rsidR="00DC7147" w:rsidRPr="00A71704" w:rsidRDefault="00DC7147" w:rsidP="00DC7147">
            <w:pPr>
              <w:jc w:val="right"/>
              <w:rPr>
                <w:rFonts w:ascii="Verdana" w:eastAsia="Times New Roman" w:hAnsi="Verdana" w:cs="Arial"/>
                <w:bCs/>
                <w:sz w:val="20"/>
                <w:szCs w:val="20"/>
                <w:lang w:eastAsia="cs-CZ"/>
              </w:rPr>
            </w:pPr>
          </w:p>
        </w:tc>
      </w:tr>
      <w:tr w:rsidR="00DC7147" w:rsidRPr="00A71704" w:rsidTr="00DC7147">
        <w:trPr>
          <w:trHeight w:val="255"/>
        </w:trPr>
        <w:tc>
          <w:tcPr>
            <w:tcW w:w="2448" w:type="dxa"/>
            <w:tcBorders>
              <w:top w:val="single" w:sz="4" w:space="0" w:color="auto"/>
              <w:left w:val="single" w:sz="4" w:space="0" w:color="auto"/>
              <w:bottom w:val="single" w:sz="4" w:space="0" w:color="auto"/>
              <w:right w:val="single" w:sz="4" w:space="0" w:color="000000"/>
            </w:tcBorders>
          </w:tcPr>
          <w:p w:rsidR="00DC7147" w:rsidRPr="00340E4C" w:rsidRDefault="00DC7147"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Obecná míra nezaměstnanosti v %</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6,7</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7,0</w:t>
            </w:r>
          </w:p>
        </w:tc>
        <w:tc>
          <w:tcPr>
            <w:tcW w:w="804"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5,0</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2,9</w:t>
            </w:r>
          </w:p>
        </w:tc>
        <w:tc>
          <w:tcPr>
            <w:tcW w:w="803"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single" w:sz="4" w:space="0" w:color="auto"/>
              <w:bottom w:val="single" w:sz="4" w:space="0" w:color="auto"/>
              <w:right w:val="single" w:sz="4" w:space="0" w:color="auto"/>
            </w:tcBorders>
            <w:noWrap/>
          </w:tcPr>
          <w:p w:rsidR="00DC7147" w:rsidRPr="00340E4C" w:rsidRDefault="00DC7147" w:rsidP="00DC7147">
            <w:pPr>
              <w:jc w:val="right"/>
              <w:rPr>
                <w:rFonts w:ascii="Arial" w:eastAsia="Times New Roman" w:hAnsi="Arial" w:cs="Arial"/>
                <w:sz w:val="20"/>
                <w:szCs w:val="20"/>
                <w:lang w:eastAsia="cs-CZ"/>
              </w:rPr>
            </w:pPr>
          </w:p>
        </w:tc>
        <w:tc>
          <w:tcPr>
            <w:tcW w:w="803" w:type="dxa"/>
            <w:tcBorders>
              <w:top w:val="single" w:sz="4" w:space="0" w:color="auto"/>
              <w:left w:val="single" w:sz="4" w:space="0" w:color="000000"/>
              <w:bottom w:val="single" w:sz="4" w:space="0" w:color="auto"/>
              <w:right w:val="single" w:sz="4" w:space="0" w:color="auto"/>
            </w:tcBorders>
            <w:noWrap/>
          </w:tcPr>
          <w:p w:rsidR="00DC7147" w:rsidRPr="00A71704" w:rsidRDefault="00DC7147" w:rsidP="00DC7147">
            <w:pPr>
              <w:jc w:val="right"/>
              <w:rPr>
                <w:rFonts w:ascii="Verdana" w:eastAsia="Times New Roman" w:hAnsi="Verdana" w:cs="Arial"/>
                <w:bCs/>
                <w:sz w:val="20"/>
                <w:szCs w:val="20"/>
                <w:lang w:eastAsia="cs-CZ"/>
              </w:rPr>
            </w:pPr>
          </w:p>
        </w:tc>
        <w:tc>
          <w:tcPr>
            <w:tcW w:w="804" w:type="dxa"/>
            <w:tcBorders>
              <w:top w:val="single" w:sz="4" w:space="0" w:color="auto"/>
              <w:left w:val="single" w:sz="4" w:space="0" w:color="000000"/>
              <w:bottom w:val="single" w:sz="4" w:space="0" w:color="auto"/>
              <w:right w:val="single" w:sz="4" w:space="0" w:color="auto"/>
            </w:tcBorders>
          </w:tcPr>
          <w:p w:rsidR="00DC7147" w:rsidRPr="00A71704" w:rsidRDefault="00DC7147" w:rsidP="00DC7147">
            <w:pPr>
              <w:jc w:val="right"/>
              <w:rPr>
                <w:rFonts w:ascii="Verdana" w:eastAsia="Times New Roman" w:hAnsi="Verdana" w:cs="Arial"/>
                <w:bCs/>
                <w:sz w:val="20"/>
                <w:szCs w:val="20"/>
                <w:lang w:eastAsia="cs-CZ"/>
              </w:rPr>
            </w:pPr>
          </w:p>
        </w:tc>
      </w:tr>
      <w:tr w:rsidR="00DC7147" w:rsidRPr="00A71704" w:rsidTr="00DC7147">
        <w:trPr>
          <w:trHeight w:val="510"/>
        </w:trPr>
        <w:tc>
          <w:tcPr>
            <w:tcW w:w="2448" w:type="dxa"/>
            <w:tcBorders>
              <w:top w:val="single" w:sz="4" w:space="0" w:color="auto"/>
              <w:left w:val="single" w:sz="4" w:space="0" w:color="auto"/>
              <w:bottom w:val="single" w:sz="4" w:space="0" w:color="auto"/>
              <w:right w:val="single" w:sz="4" w:space="0" w:color="000000"/>
            </w:tcBorders>
          </w:tcPr>
          <w:p w:rsidR="00DC7147" w:rsidRPr="00340E4C" w:rsidRDefault="00DC7147"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Průměrná hrubá měsíční nominální mzda v</w:t>
            </w:r>
            <w:r>
              <w:rPr>
                <w:rFonts w:ascii="Verdana" w:eastAsia="Times New Roman" w:hAnsi="Verdana" w:cs="Arial"/>
                <w:sz w:val="20"/>
                <w:szCs w:val="20"/>
                <w:lang w:eastAsia="cs-CZ"/>
              </w:rPr>
              <w:t xml:space="preserve"> tis. </w:t>
            </w:r>
            <w:r w:rsidRPr="00340E4C">
              <w:rPr>
                <w:rFonts w:ascii="Verdana" w:eastAsia="Times New Roman" w:hAnsi="Verdana" w:cs="Arial"/>
                <w:sz w:val="20"/>
                <w:szCs w:val="20"/>
                <w:lang w:eastAsia="cs-CZ"/>
              </w:rPr>
              <w:t>Kč</w:t>
            </w:r>
          </w:p>
        </w:tc>
        <w:tc>
          <w:tcPr>
            <w:tcW w:w="803"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29</w:t>
            </w:r>
          </w:p>
        </w:tc>
        <w:tc>
          <w:tcPr>
            <w:tcW w:w="803"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single" w:sz="4" w:space="0" w:color="auto"/>
              <w:bottom w:val="single" w:sz="4" w:space="0" w:color="auto"/>
              <w:right w:val="nil"/>
            </w:tcBorders>
            <w:noWrap/>
          </w:tcPr>
          <w:p w:rsidR="00DC7147" w:rsidRPr="00340E4C" w:rsidRDefault="00DC7147" w:rsidP="00DC7147">
            <w:pPr>
              <w:jc w:val="right"/>
              <w:rPr>
                <w:rFonts w:ascii="Arial" w:eastAsia="Times New Roman" w:hAnsi="Arial" w:cs="Arial"/>
                <w:sz w:val="20"/>
                <w:szCs w:val="20"/>
                <w:lang w:eastAsia="cs-CZ"/>
              </w:rPr>
            </w:pPr>
          </w:p>
        </w:tc>
        <w:tc>
          <w:tcPr>
            <w:tcW w:w="803" w:type="dxa"/>
            <w:tcBorders>
              <w:top w:val="single" w:sz="4" w:space="0" w:color="auto"/>
              <w:left w:val="single" w:sz="4" w:space="0" w:color="000000"/>
              <w:bottom w:val="single" w:sz="4" w:space="0" w:color="auto"/>
              <w:right w:val="single" w:sz="4" w:space="0" w:color="auto"/>
            </w:tcBorders>
            <w:noWrap/>
          </w:tcPr>
          <w:p w:rsidR="00DC7147" w:rsidRPr="00A71704" w:rsidRDefault="00DC7147" w:rsidP="00DC7147">
            <w:pPr>
              <w:jc w:val="right"/>
              <w:rPr>
                <w:rFonts w:ascii="Verdana" w:eastAsia="Times New Roman" w:hAnsi="Verdana" w:cs="Arial"/>
                <w:bCs/>
                <w:sz w:val="20"/>
                <w:szCs w:val="20"/>
                <w:lang w:eastAsia="cs-CZ"/>
              </w:rPr>
            </w:pPr>
          </w:p>
        </w:tc>
        <w:tc>
          <w:tcPr>
            <w:tcW w:w="804" w:type="dxa"/>
            <w:tcBorders>
              <w:top w:val="single" w:sz="4" w:space="0" w:color="auto"/>
              <w:left w:val="single" w:sz="4" w:space="0" w:color="000000"/>
              <w:bottom w:val="single" w:sz="4" w:space="0" w:color="auto"/>
              <w:right w:val="single" w:sz="4" w:space="0" w:color="auto"/>
            </w:tcBorders>
          </w:tcPr>
          <w:p w:rsidR="00DC7147" w:rsidRPr="00A71704" w:rsidRDefault="00DC7147" w:rsidP="00DC7147">
            <w:pPr>
              <w:jc w:val="right"/>
              <w:rPr>
                <w:rFonts w:ascii="Verdana" w:eastAsia="Times New Roman" w:hAnsi="Verdana" w:cs="Arial"/>
                <w:bCs/>
                <w:sz w:val="20"/>
                <w:szCs w:val="20"/>
                <w:lang w:eastAsia="cs-CZ"/>
              </w:rPr>
            </w:pPr>
          </w:p>
        </w:tc>
      </w:tr>
      <w:tr w:rsidR="00DC7147" w:rsidRPr="00A71704" w:rsidTr="00DC7147">
        <w:trPr>
          <w:trHeight w:val="255"/>
        </w:trPr>
        <w:tc>
          <w:tcPr>
            <w:tcW w:w="2448" w:type="dxa"/>
            <w:tcBorders>
              <w:top w:val="single" w:sz="4" w:space="0" w:color="auto"/>
              <w:left w:val="single" w:sz="4" w:space="0" w:color="auto"/>
              <w:bottom w:val="single" w:sz="4" w:space="0" w:color="auto"/>
              <w:right w:val="single" w:sz="4" w:space="0" w:color="000000"/>
            </w:tcBorders>
          </w:tcPr>
          <w:p w:rsidR="00DC7147" w:rsidRPr="00340E4C" w:rsidRDefault="00DC7147"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Míra inflace v % r/r, průměr</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1,9</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1,4</w:t>
            </w:r>
          </w:p>
        </w:tc>
        <w:tc>
          <w:tcPr>
            <w:tcW w:w="804"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0,3</w:t>
            </w:r>
          </w:p>
        </w:tc>
        <w:tc>
          <w:tcPr>
            <w:tcW w:w="803" w:type="dxa"/>
            <w:tcBorders>
              <w:top w:val="single" w:sz="4" w:space="0" w:color="auto"/>
              <w:left w:val="nil"/>
              <w:bottom w:val="single" w:sz="4" w:space="0" w:color="auto"/>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2,5</w:t>
            </w:r>
          </w:p>
        </w:tc>
        <w:tc>
          <w:tcPr>
            <w:tcW w:w="803"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single" w:sz="4" w:space="0" w:color="auto"/>
              <w:left w:val="nil"/>
              <w:bottom w:val="single" w:sz="4" w:space="0" w:color="auto"/>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single" w:sz="4" w:space="0" w:color="auto"/>
              <w:bottom w:val="single" w:sz="4" w:space="0" w:color="auto"/>
              <w:right w:val="single" w:sz="4" w:space="0" w:color="auto"/>
            </w:tcBorders>
            <w:noWrap/>
          </w:tcPr>
          <w:p w:rsidR="00DC7147" w:rsidRPr="00340E4C" w:rsidRDefault="00DC7147" w:rsidP="00DC7147">
            <w:pPr>
              <w:jc w:val="right"/>
              <w:rPr>
                <w:rFonts w:ascii="Arial" w:eastAsia="Times New Roman" w:hAnsi="Arial" w:cs="Arial"/>
                <w:sz w:val="20"/>
                <w:szCs w:val="20"/>
                <w:lang w:eastAsia="cs-CZ"/>
              </w:rPr>
            </w:pPr>
          </w:p>
        </w:tc>
        <w:tc>
          <w:tcPr>
            <w:tcW w:w="803" w:type="dxa"/>
            <w:tcBorders>
              <w:top w:val="single" w:sz="4" w:space="0" w:color="auto"/>
              <w:left w:val="single" w:sz="4" w:space="0" w:color="000000"/>
              <w:bottom w:val="single" w:sz="4" w:space="0" w:color="auto"/>
              <w:right w:val="single" w:sz="4" w:space="0" w:color="auto"/>
            </w:tcBorders>
          </w:tcPr>
          <w:p w:rsidR="00DC7147" w:rsidRPr="00A71704" w:rsidRDefault="00DC7147" w:rsidP="00DC7147">
            <w:pPr>
              <w:jc w:val="right"/>
              <w:rPr>
                <w:rFonts w:ascii="Verdana" w:eastAsia="Times New Roman" w:hAnsi="Verdana" w:cs="Arial"/>
                <w:bCs/>
                <w:sz w:val="20"/>
                <w:szCs w:val="20"/>
                <w:lang w:eastAsia="cs-CZ"/>
              </w:rPr>
            </w:pPr>
          </w:p>
        </w:tc>
        <w:tc>
          <w:tcPr>
            <w:tcW w:w="804" w:type="dxa"/>
            <w:tcBorders>
              <w:top w:val="single" w:sz="4" w:space="0" w:color="auto"/>
              <w:left w:val="single" w:sz="4" w:space="0" w:color="000000"/>
              <w:bottom w:val="single" w:sz="4" w:space="0" w:color="auto"/>
              <w:right w:val="single" w:sz="4" w:space="0" w:color="auto"/>
            </w:tcBorders>
          </w:tcPr>
          <w:p w:rsidR="00DC7147" w:rsidRPr="00A71704" w:rsidRDefault="00DC7147" w:rsidP="00DC7147">
            <w:pPr>
              <w:jc w:val="right"/>
              <w:rPr>
                <w:rFonts w:ascii="Verdana" w:eastAsia="Times New Roman" w:hAnsi="Verdana" w:cs="Arial"/>
                <w:bCs/>
                <w:sz w:val="20"/>
                <w:szCs w:val="20"/>
                <w:lang w:eastAsia="cs-CZ"/>
              </w:rPr>
            </w:pPr>
          </w:p>
        </w:tc>
      </w:tr>
      <w:tr w:rsidR="00DC7147" w:rsidRPr="00A71704" w:rsidTr="00DC7147">
        <w:trPr>
          <w:trHeight w:val="510"/>
        </w:trPr>
        <w:tc>
          <w:tcPr>
            <w:tcW w:w="2448" w:type="dxa"/>
            <w:tcBorders>
              <w:top w:val="single" w:sz="4" w:space="0" w:color="auto"/>
              <w:left w:val="single" w:sz="4" w:space="0" w:color="000000"/>
              <w:bottom w:val="single" w:sz="4" w:space="0" w:color="000000"/>
              <w:right w:val="single" w:sz="4" w:space="0" w:color="000000"/>
            </w:tcBorders>
          </w:tcPr>
          <w:p w:rsidR="00DC7147" w:rsidRPr="00340E4C" w:rsidRDefault="00DC7147" w:rsidP="00DC7147">
            <w:pPr>
              <w:rPr>
                <w:rFonts w:ascii="Verdana" w:eastAsia="Times New Roman" w:hAnsi="Verdana" w:cs="Arial"/>
                <w:sz w:val="20"/>
                <w:szCs w:val="20"/>
                <w:lang w:eastAsia="cs-CZ"/>
              </w:rPr>
            </w:pPr>
            <w:r w:rsidRPr="00340E4C">
              <w:rPr>
                <w:rFonts w:ascii="Verdana" w:eastAsia="Times New Roman" w:hAnsi="Verdana" w:cs="Arial"/>
                <w:sz w:val="20"/>
                <w:szCs w:val="20"/>
                <w:lang w:eastAsia="cs-CZ"/>
              </w:rPr>
              <w:t>Bilance zahraničního obchodu zbožím, mld. Kč, běžné ceny</w:t>
            </w:r>
          </w:p>
        </w:tc>
        <w:tc>
          <w:tcPr>
            <w:tcW w:w="803" w:type="dxa"/>
            <w:tcBorders>
              <w:top w:val="single" w:sz="4" w:space="0" w:color="auto"/>
              <w:left w:val="nil"/>
              <w:bottom w:val="single" w:sz="4" w:space="0" w:color="000000"/>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nil"/>
              <w:bottom w:val="single" w:sz="4" w:space="0" w:color="000000"/>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single" w:sz="4" w:space="0" w:color="auto"/>
              <w:left w:val="nil"/>
              <w:bottom w:val="single" w:sz="4" w:space="0" w:color="000000"/>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nil"/>
              <w:bottom w:val="single" w:sz="4" w:space="0" w:color="000000"/>
              <w:right w:val="single" w:sz="4" w:space="0" w:color="000000"/>
            </w:tcBorders>
          </w:tcPr>
          <w:p w:rsidR="00DC7147" w:rsidRPr="00340E4C" w:rsidRDefault="006E4DAF" w:rsidP="00DC7147">
            <w:pPr>
              <w:jc w:val="right"/>
              <w:rPr>
                <w:rFonts w:ascii="Verdana" w:eastAsia="Times New Roman" w:hAnsi="Verdana" w:cs="Arial"/>
                <w:sz w:val="20"/>
                <w:szCs w:val="20"/>
                <w:lang w:eastAsia="cs-CZ"/>
              </w:rPr>
            </w:pPr>
            <w:r>
              <w:rPr>
                <w:rFonts w:ascii="Verdana" w:eastAsia="Times New Roman" w:hAnsi="Verdana" w:cs="Arial"/>
                <w:sz w:val="20"/>
                <w:szCs w:val="20"/>
                <w:lang w:eastAsia="cs-CZ"/>
              </w:rPr>
              <w:t>443</w:t>
            </w:r>
          </w:p>
        </w:tc>
        <w:tc>
          <w:tcPr>
            <w:tcW w:w="803" w:type="dxa"/>
            <w:tcBorders>
              <w:top w:val="single" w:sz="4" w:space="0" w:color="auto"/>
              <w:left w:val="nil"/>
              <w:bottom w:val="single" w:sz="4" w:space="0" w:color="000000"/>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4" w:type="dxa"/>
            <w:tcBorders>
              <w:top w:val="single" w:sz="4" w:space="0" w:color="auto"/>
              <w:left w:val="nil"/>
              <w:bottom w:val="single" w:sz="4" w:space="0" w:color="000000"/>
              <w:right w:val="single" w:sz="4" w:space="0" w:color="000000"/>
            </w:tcBorders>
          </w:tcPr>
          <w:p w:rsidR="00DC7147" w:rsidRPr="00340E4C" w:rsidRDefault="00DC7147" w:rsidP="00DC7147">
            <w:pPr>
              <w:jc w:val="right"/>
              <w:rPr>
                <w:rFonts w:ascii="Verdana" w:eastAsia="Times New Roman" w:hAnsi="Verdana" w:cs="Arial"/>
                <w:sz w:val="20"/>
                <w:szCs w:val="20"/>
                <w:lang w:eastAsia="cs-CZ"/>
              </w:rPr>
            </w:pPr>
          </w:p>
        </w:tc>
        <w:tc>
          <w:tcPr>
            <w:tcW w:w="803" w:type="dxa"/>
            <w:tcBorders>
              <w:top w:val="single" w:sz="4" w:space="0" w:color="auto"/>
              <w:left w:val="single" w:sz="4" w:space="0" w:color="auto"/>
              <w:bottom w:val="single" w:sz="4" w:space="0" w:color="auto"/>
              <w:right w:val="single" w:sz="4" w:space="0" w:color="auto"/>
            </w:tcBorders>
            <w:noWrap/>
          </w:tcPr>
          <w:p w:rsidR="00DC7147" w:rsidRPr="00340E4C" w:rsidRDefault="00DC7147" w:rsidP="00DC7147">
            <w:pPr>
              <w:jc w:val="right"/>
              <w:rPr>
                <w:rFonts w:ascii="Arial" w:eastAsia="Times New Roman" w:hAnsi="Arial" w:cs="Arial"/>
                <w:sz w:val="20"/>
                <w:szCs w:val="20"/>
                <w:lang w:eastAsia="cs-CZ"/>
              </w:rPr>
            </w:pPr>
          </w:p>
        </w:tc>
        <w:tc>
          <w:tcPr>
            <w:tcW w:w="803" w:type="dxa"/>
            <w:tcBorders>
              <w:top w:val="single" w:sz="4" w:space="0" w:color="auto"/>
              <w:left w:val="single" w:sz="4" w:space="0" w:color="000000"/>
              <w:bottom w:val="single" w:sz="4" w:space="0" w:color="000000"/>
              <w:right w:val="single" w:sz="4" w:space="0" w:color="000000"/>
            </w:tcBorders>
          </w:tcPr>
          <w:p w:rsidR="00DC7147" w:rsidRPr="00A71704" w:rsidRDefault="00DC7147" w:rsidP="00DC7147">
            <w:pPr>
              <w:jc w:val="right"/>
              <w:rPr>
                <w:rFonts w:ascii="Verdana" w:eastAsia="Times New Roman" w:hAnsi="Verdana" w:cs="Arial"/>
                <w:bCs/>
                <w:sz w:val="20"/>
                <w:szCs w:val="20"/>
                <w:lang w:eastAsia="cs-CZ"/>
              </w:rPr>
            </w:pPr>
          </w:p>
        </w:tc>
        <w:tc>
          <w:tcPr>
            <w:tcW w:w="804" w:type="dxa"/>
            <w:tcBorders>
              <w:top w:val="single" w:sz="4" w:space="0" w:color="auto"/>
              <w:left w:val="single" w:sz="4" w:space="0" w:color="000000"/>
              <w:bottom w:val="single" w:sz="4" w:space="0" w:color="000000"/>
              <w:right w:val="single" w:sz="4" w:space="0" w:color="000000"/>
            </w:tcBorders>
          </w:tcPr>
          <w:p w:rsidR="00DC7147" w:rsidRPr="00A71704" w:rsidRDefault="00DC7147" w:rsidP="00DC7147">
            <w:pPr>
              <w:jc w:val="right"/>
              <w:rPr>
                <w:rFonts w:ascii="Verdana" w:eastAsia="Times New Roman" w:hAnsi="Verdana" w:cs="Arial"/>
                <w:bCs/>
                <w:sz w:val="20"/>
                <w:szCs w:val="20"/>
                <w:lang w:eastAsia="cs-CZ"/>
              </w:rPr>
            </w:pPr>
          </w:p>
        </w:tc>
      </w:tr>
    </w:tbl>
    <w:p w:rsidR="00DC7147" w:rsidRPr="00340E4C" w:rsidRDefault="00DC7147"/>
    <w:p w:rsidR="00783598" w:rsidRPr="00340E4C" w:rsidRDefault="00783598"/>
    <w:p w:rsidR="00783598" w:rsidRPr="00340E4C" w:rsidRDefault="00783598">
      <w:pPr>
        <w:jc w:val="both"/>
      </w:pPr>
    </w:p>
    <w:tbl>
      <w:tblPr>
        <w:tblW w:w="5418" w:type="dxa"/>
        <w:tblCellMar>
          <w:left w:w="70" w:type="dxa"/>
          <w:right w:w="70" w:type="dxa"/>
        </w:tblCellMar>
        <w:tblLook w:val="04A0" w:firstRow="1" w:lastRow="0" w:firstColumn="1" w:lastColumn="0" w:noHBand="0" w:noVBand="1"/>
      </w:tblPr>
      <w:tblGrid>
        <w:gridCol w:w="2180"/>
        <w:gridCol w:w="860"/>
        <w:gridCol w:w="229"/>
        <w:gridCol w:w="2218"/>
      </w:tblGrid>
      <w:tr w:rsidR="006E4DAF" w:rsidRPr="006E4DAF" w:rsidTr="006E4DAF">
        <w:trPr>
          <w:trHeight w:val="300"/>
        </w:trPr>
        <w:tc>
          <w:tcPr>
            <w:tcW w:w="3040" w:type="dxa"/>
            <w:gridSpan w:val="2"/>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b/>
                <w:bCs/>
                <w:sz w:val="20"/>
                <w:szCs w:val="20"/>
              </w:rPr>
            </w:pPr>
            <w:r w:rsidRPr="006E4DAF">
              <w:rPr>
                <w:rFonts w:ascii="Arial" w:eastAsia="Times New Roman" w:hAnsi="Arial" w:cs="Arial"/>
                <w:b/>
                <w:bCs/>
                <w:sz w:val="20"/>
                <w:szCs w:val="20"/>
              </w:rPr>
              <w:lastRenderedPageBreak/>
              <w:t>MEZINÁRODNÍ SROVNÁNÍ</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b/>
                <w:bCs/>
                <w:sz w:val="20"/>
                <w:szCs w:val="20"/>
              </w:rPr>
            </w:pP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i/>
                <w:iCs/>
                <w:sz w:val="20"/>
                <w:szCs w:val="20"/>
              </w:rPr>
            </w:pPr>
            <w:r w:rsidRPr="006E4DAF">
              <w:rPr>
                <w:rFonts w:ascii="Arial" w:eastAsia="Times New Roman" w:hAnsi="Arial" w:cs="Arial"/>
                <w:b/>
                <w:bCs/>
                <w:i/>
                <w:iCs/>
                <w:sz w:val="20"/>
                <w:szCs w:val="20"/>
              </w:rPr>
              <w:t>INTERNATIONAL COMPARISONS</w:t>
            </w:r>
          </w:p>
        </w:tc>
      </w:tr>
      <w:tr w:rsidR="006E4DAF" w:rsidRPr="006E4DAF" w:rsidTr="006E4DAF">
        <w:trPr>
          <w:trHeight w:val="300"/>
        </w:trPr>
        <w:tc>
          <w:tcPr>
            <w:tcW w:w="3040" w:type="dxa"/>
            <w:gridSpan w:val="2"/>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b/>
                <w:bCs/>
                <w:sz w:val="20"/>
                <w:szCs w:val="20"/>
              </w:rPr>
            </w:pPr>
            <w:r w:rsidRPr="006E4DAF">
              <w:rPr>
                <w:rFonts w:ascii="Arial" w:eastAsia="Times New Roman" w:hAnsi="Arial" w:cs="Arial"/>
                <w:b/>
                <w:bCs/>
                <w:sz w:val="20"/>
                <w:szCs w:val="20"/>
              </w:rPr>
              <w:t>30</w:t>
            </w:r>
            <w:r w:rsidRPr="006E4DAF">
              <w:rPr>
                <w:rFonts w:ascii="Arial" w:eastAsia="Times New Roman" w:hAnsi="Arial" w:cs="Arial"/>
                <w:sz w:val="20"/>
                <w:szCs w:val="20"/>
              </w:rPr>
              <w:t>-10.</w:t>
            </w:r>
            <w:r w:rsidRPr="006E4DAF">
              <w:rPr>
                <w:rFonts w:ascii="Arial" w:eastAsia="Times New Roman" w:hAnsi="Arial" w:cs="Arial"/>
                <w:b/>
                <w:bCs/>
                <w:sz w:val="20"/>
                <w:szCs w:val="20"/>
              </w:rPr>
              <w:t xml:space="preserve"> Míra nezaměstnanosti</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b/>
                <w:bCs/>
                <w:sz w:val="20"/>
                <w:szCs w:val="20"/>
              </w:rPr>
            </w:pPr>
          </w:p>
        </w:tc>
        <w:tc>
          <w:tcPr>
            <w:tcW w:w="2218" w:type="dxa"/>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r>
      <w:tr w:rsidR="006E4DAF" w:rsidRPr="006E4DAF" w:rsidTr="006E4DAF">
        <w:trPr>
          <w:trHeight w:val="300"/>
        </w:trPr>
        <w:tc>
          <w:tcPr>
            <w:tcW w:w="3040" w:type="dxa"/>
            <w:gridSpan w:val="2"/>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i/>
                <w:iCs/>
                <w:sz w:val="20"/>
                <w:szCs w:val="20"/>
              </w:rPr>
            </w:pPr>
            <w:r w:rsidRPr="006E4DAF">
              <w:rPr>
                <w:rFonts w:ascii="Arial" w:eastAsia="Times New Roman" w:hAnsi="Arial" w:cs="Arial"/>
                <w:i/>
                <w:iCs/>
                <w:sz w:val="20"/>
                <w:szCs w:val="20"/>
              </w:rPr>
              <w:t xml:space="preserve">           Unemployment rate</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i/>
                <w:iCs/>
                <w:sz w:val="20"/>
                <w:szCs w:val="20"/>
              </w:rPr>
            </w:pPr>
          </w:p>
        </w:tc>
        <w:tc>
          <w:tcPr>
            <w:tcW w:w="2218" w:type="dxa"/>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r>
      <w:tr w:rsidR="006E4DAF" w:rsidRPr="006E4DAF" w:rsidTr="006E4DAF">
        <w:trPr>
          <w:trHeight w:val="300"/>
        </w:trPr>
        <w:tc>
          <w:tcPr>
            <w:tcW w:w="218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r w:rsidRPr="006E4DAF">
              <w:rPr>
                <w:rFonts w:ascii="Arial" w:eastAsia="Times New Roman" w:hAnsi="Arial" w:cs="Arial"/>
                <w:sz w:val="16"/>
                <w:szCs w:val="16"/>
              </w:rPr>
              <w:t>Pramen: Eurostat 31.7. 2018</w:t>
            </w:r>
          </w:p>
        </w:tc>
        <w:tc>
          <w:tcPr>
            <w:tcW w:w="86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p>
        </w:tc>
        <w:tc>
          <w:tcPr>
            <w:tcW w:w="160" w:type="dxa"/>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i/>
                <w:iCs/>
                <w:sz w:val="16"/>
                <w:szCs w:val="16"/>
              </w:rPr>
            </w:pPr>
            <w:r w:rsidRPr="006E4DAF">
              <w:rPr>
                <w:rFonts w:ascii="Arial" w:eastAsia="Times New Roman" w:hAnsi="Arial" w:cs="Arial"/>
                <w:i/>
                <w:iCs/>
                <w:sz w:val="16"/>
                <w:szCs w:val="16"/>
              </w:rPr>
              <w:t>Source: Eurostat, 31 July 2018</w:t>
            </w:r>
          </w:p>
        </w:tc>
      </w:tr>
      <w:tr w:rsidR="006E4DAF" w:rsidRPr="006E4DAF" w:rsidTr="006E4DAF">
        <w:trPr>
          <w:trHeight w:val="300"/>
        </w:trPr>
        <w:tc>
          <w:tcPr>
            <w:tcW w:w="218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r w:rsidRPr="006E4DAF">
              <w:rPr>
                <w:rFonts w:ascii="Arial" w:eastAsia="Times New Roman" w:hAnsi="Arial" w:cs="Arial"/>
                <w:sz w:val="16"/>
                <w:szCs w:val="16"/>
              </w:rPr>
              <w:t>v procentech</w:t>
            </w:r>
          </w:p>
        </w:tc>
        <w:tc>
          <w:tcPr>
            <w:tcW w:w="86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p>
        </w:tc>
        <w:tc>
          <w:tcPr>
            <w:tcW w:w="160" w:type="dxa"/>
            <w:tcBorders>
              <w:top w:val="nil"/>
              <w:left w:val="nil"/>
              <w:bottom w:val="single" w:sz="8" w:space="0" w:color="auto"/>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i/>
                <w:iCs/>
                <w:sz w:val="16"/>
                <w:szCs w:val="16"/>
              </w:rPr>
            </w:pPr>
            <w:r w:rsidRPr="006E4DAF">
              <w:rPr>
                <w:rFonts w:ascii="Arial" w:eastAsia="Times New Roman" w:hAnsi="Arial" w:cs="Arial"/>
                <w:i/>
                <w:iCs/>
                <w:sz w:val="16"/>
                <w:szCs w:val="16"/>
              </w:rPr>
              <w:t>Percentage</w:t>
            </w:r>
          </w:p>
        </w:tc>
      </w:tr>
      <w:tr w:rsidR="006E4DAF" w:rsidRPr="006E4DAF" w:rsidTr="006E4DAF">
        <w:trPr>
          <w:trHeight w:val="375"/>
        </w:trPr>
        <w:tc>
          <w:tcPr>
            <w:tcW w:w="2180" w:type="dxa"/>
            <w:tcBorders>
              <w:top w:val="single" w:sz="8" w:space="0" w:color="auto"/>
              <w:left w:val="nil"/>
              <w:bottom w:val="single" w:sz="8" w:space="0" w:color="auto"/>
              <w:right w:val="single" w:sz="4" w:space="0" w:color="auto"/>
            </w:tcBorders>
            <w:shd w:val="clear" w:color="auto" w:fill="auto"/>
            <w:noWrap/>
            <w:vAlign w:val="center"/>
            <w:hideMark/>
          </w:tcPr>
          <w:p w:rsidR="006E4DAF" w:rsidRPr="006E4DAF" w:rsidRDefault="006E4DAF" w:rsidP="006E4DAF">
            <w:pPr>
              <w:jc w:val="center"/>
              <w:rPr>
                <w:rFonts w:ascii="Arial" w:eastAsia="Times New Roman" w:hAnsi="Arial" w:cs="Arial"/>
                <w:sz w:val="16"/>
                <w:szCs w:val="16"/>
              </w:rPr>
            </w:pPr>
            <w:r w:rsidRPr="006E4DAF">
              <w:rPr>
                <w:rFonts w:ascii="Arial" w:eastAsia="Times New Roman" w:hAnsi="Arial" w:cs="Arial"/>
                <w:sz w:val="16"/>
                <w:szCs w:val="16"/>
              </w:rPr>
              <w:t>Země/</w:t>
            </w:r>
            <w:r w:rsidRPr="006E4DAF">
              <w:rPr>
                <w:rFonts w:ascii="Arial" w:eastAsia="Times New Roman" w:hAnsi="Arial" w:cs="Arial"/>
                <w:i/>
                <w:iCs/>
                <w:sz w:val="16"/>
                <w:szCs w:val="16"/>
              </w:rPr>
              <w:t>Countries</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rsidR="006E4DAF" w:rsidRPr="006E4DAF" w:rsidRDefault="006E4DAF" w:rsidP="006E4DAF">
            <w:pPr>
              <w:jc w:val="center"/>
              <w:rPr>
                <w:rFonts w:ascii="Arial" w:eastAsia="Times New Roman" w:hAnsi="Arial" w:cs="Arial"/>
                <w:sz w:val="16"/>
                <w:szCs w:val="16"/>
              </w:rPr>
            </w:pPr>
            <w:r w:rsidRPr="006E4DAF">
              <w:rPr>
                <w:rFonts w:ascii="Arial" w:eastAsia="Times New Roman" w:hAnsi="Arial" w:cs="Arial"/>
                <w:sz w:val="16"/>
                <w:szCs w:val="16"/>
              </w:rPr>
              <w:t>2005</w:t>
            </w:r>
          </w:p>
        </w:tc>
        <w:tc>
          <w:tcPr>
            <w:tcW w:w="2378" w:type="dxa"/>
            <w:gridSpan w:val="2"/>
            <w:tcBorders>
              <w:top w:val="single" w:sz="8" w:space="0" w:color="auto"/>
              <w:left w:val="nil"/>
              <w:bottom w:val="single" w:sz="8" w:space="0" w:color="auto"/>
              <w:right w:val="nil"/>
            </w:tcBorders>
            <w:shd w:val="clear" w:color="auto" w:fill="auto"/>
            <w:noWrap/>
            <w:vAlign w:val="center"/>
            <w:hideMark/>
          </w:tcPr>
          <w:p w:rsidR="006E4DAF" w:rsidRPr="006E4DAF" w:rsidRDefault="006E4DAF" w:rsidP="006E4DAF">
            <w:pPr>
              <w:jc w:val="center"/>
              <w:rPr>
                <w:rFonts w:ascii="Arial" w:eastAsia="Times New Roman" w:hAnsi="Arial" w:cs="Arial"/>
                <w:sz w:val="16"/>
                <w:szCs w:val="16"/>
              </w:rPr>
            </w:pPr>
            <w:r w:rsidRPr="006E4DAF">
              <w:rPr>
                <w:rFonts w:ascii="Arial" w:eastAsia="Times New Roman" w:hAnsi="Arial" w:cs="Arial"/>
                <w:sz w:val="16"/>
                <w:szCs w:val="16"/>
              </w:rPr>
              <w:t>2017</w:t>
            </w:r>
          </w:p>
        </w:tc>
      </w:tr>
      <w:tr w:rsidR="006E4DAF" w:rsidRPr="006E4DAF" w:rsidTr="006E4DAF">
        <w:trPr>
          <w:trHeight w:val="300"/>
        </w:trPr>
        <w:tc>
          <w:tcPr>
            <w:tcW w:w="218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b/>
                <w:bCs/>
                <w:sz w:val="16"/>
                <w:szCs w:val="16"/>
              </w:rPr>
            </w:pPr>
            <w:r w:rsidRPr="006E4DAF">
              <w:rPr>
                <w:rFonts w:ascii="Arial" w:eastAsia="Times New Roman" w:hAnsi="Arial" w:cs="Arial"/>
                <w:b/>
                <w:bCs/>
                <w:sz w:val="16"/>
                <w:szCs w:val="16"/>
              </w:rPr>
              <w:t>EU 28</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rPr>
              <w:t xml:space="preserve">9,0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rPr>
              <w:t xml:space="preserve">7,6 </w:t>
            </w:r>
          </w:p>
        </w:tc>
      </w:tr>
      <w:tr w:rsidR="006E4DAF" w:rsidRPr="006E4DAF" w:rsidTr="006E4DAF">
        <w:trPr>
          <w:trHeight w:val="30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1"/>
              <w:rPr>
                <w:rFonts w:ascii="Arial" w:eastAsia="Times New Roman" w:hAnsi="Arial" w:cs="Arial"/>
                <w:b/>
                <w:bCs/>
                <w:sz w:val="16"/>
                <w:szCs w:val="16"/>
              </w:rPr>
            </w:pPr>
            <w:r w:rsidRPr="006E4DAF">
              <w:rPr>
                <w:rFonts w:ascii="Arial" w:eastAsia="Times New Roman" w:hAnsi="Arial" w:cs="Arial"/>
                <w:b/>
                <w:bCs/>
                <w:sz w:val="16"/>
                <w:szCs w:val="16"/>
              </w:rPr>
              <w:t xml:space="preserve">Eurozóna 19 / </w:t>
            </w:r>
            <w:r w:rsidRPr="006E4DAF">
              <w:rPr>
                <w:rFonts w:ascii="Arial" w:eastAsia="Times New Roman" w:hAnsi="Arial" w:cs="Arial"/>
                <w:b/>
                <w:bCs/>
                <w:i/>
                <w:iCs/>
                <w:sz w:val="16"/>
                <w:szCs w:val="16"/>
              </w:rPr>
              <w:t>EA19</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rPr>
              <w:t xml:space="preserve">9,1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rPr>
              <w:t xml:space="preserve">9,1 </w:t>
            </w:r>
          </w:p>
        </w:tc>
      </w:tr>
      <w:tr w:rsidR="006E4DAF" w:rsidRPr="006E4DAF" w:rsidTr="006E4DAF">
        <w:trPr>
          <w:trHeight w:val="240"/>
        </w:trPr>
        <w:tc>
          <w:tcPr>
            <w:tcW w:w="218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r w:rsidRPr="006E4DAF">
              <w:rPr>
                <w:rFonts w:ascii="Arial" w:eastAsia="Times New Roman" w:hAnsi="Arial" w:cs="Arial"/>
                <w:sz w:val="16"/>
                <w:szCs w:val="16"/>
              </w:rPr>
              <w:t>v tom:</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rPr>
              <w:t>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Belgie</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8,5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1)</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7,1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Bulharsko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10,1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6,2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1"/>
              <w:rPr>
                <w:rFonts w:ascii="Arial" w:eastAsia="Times New Roman" w:hAnsi="Arial" w:cs="Arial"/>
                <w:b/>
                <w:bCs/>
                <w:sz w:val="16"/>
                <w:szCs w:val="16"/>
              </w:rPr>
            </w:pPr>
            <w:r w:rsidRPr="006E4DAF">
              <w:rPr>
                <w:rFonts w:ascii="Arial" w:eastAsia="Times New Roman" w:hAnsi="Arial" w:cs="Arial"/>
                <w:b/>
                <w:bCs/>
                <w:sz w:val="16"/>
                <w:szCs w:val="16"/>
              </w:rPr>
              <w:t xml:space="preserve">Česká republika </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rPr>
              <w:t xml:space="preserve">7,9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rPr>
              <w:t xml:space="preserve">2,9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Dánsko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4,8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5,7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Estonsko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8,0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5,8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 xml:space="preserve">Finsko </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8,4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8,6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Francie</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8,9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9,4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Chorvatsko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13,0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11,1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Irsko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4,4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6,7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Itálie</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7,7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11,2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Kypr</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5,3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11,1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Litva</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8,3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7,1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Lotyšsko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10,0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8,7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Lucembursko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4,6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5,6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Maďarsko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7,2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4,2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Malta</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6,9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4,6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Německo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11,2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3,8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Nizozemsko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5,9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4,9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Polsko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17,9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4,9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Portugalsko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8,8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9,0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Rakousko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5,6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5,5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Rumunsko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7,1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4,9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Řecko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10,0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21,5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Slovensko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16,4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8,1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Slovinsko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6,5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6,6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Španělsko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9,2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17,2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Švédsko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7,7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6,7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Velká Británie</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4,8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4,4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b/>
                <w:bCs/>
                <w:sz w:val="16"/>
                <w:szCs w:val="16"/>
              </w:rPr>
            </w:pPr>
            <w:r w:rsidRPr="006E4DAF">
              <w:rPr>
                <w:rFonts w:ascii="Arial" w:eastAsia="Times New Roman" w:hAnsi="Arial" w:cs="Arial"/>
                <w:b/>
                <w:bCs/>
                <w:sz w:val="16"/>
                <w:szCs w:val="16"/>
              </w:rPr>
              <w:t>Ostatní/</w:t>
            </w:r>
            <w:r w:rsidRPr="006E4DAF">
              <w:rPr>
                <w:rFonts w:ascii="Arial" w:eastAsia="Times New Roman" w:hAnsi="Arial" w:cs="Arial"/>
                <w:b/>
                <w:bCs/>
                <w:i/>
                <w:iCs/>
                <w:sz w:val="16"/>
                <w:szCs w:val="16"/>
              </w:rPr>
              <w:t xml:space="preserve">Other </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r w:rsidRPr="006E4DAF">
              <w:rPr>
                <w:rFonts w:ascii="Arial" w:eastAsia="Times New Roman" w:hAnsi="Arial" w:cs="Arial"/>
                <w:b/>
                <w:bCs/>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b/>
                <w:bCs/>
                <w:sz w:val="16"/>
                <w:szCs w:val="16"/>
              </w:rPr>
            </w:pP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Island</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2,6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2,8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Japonsko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4,4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2,8 </w:t>
            </w:r>
          </w:p>
        </w:tc>
      </w:tr>
      <w:tr w:rsidR="006E4DAF" w:rsidRPr="006E4DAF" w:rsidTr="006E4DAF">
        <w:trPr>
          <w:trHeight w:val="270"/>
        </w:trPr>
        <w:tc>
          <w:tcPr>
            <w:tcW w:w="2180" w:type="dxa"/>
            <w:tcBorders>
              <w:top w:val="nil"/>
              <w:left w:val="nil"/>
              <w:bottom w:val="nil"/>
              <w:right w:val="nil"/>
            </w:tcBorders>
            <w:shd w:val="clear" w:color="auto" w:fill="auto"/>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Makedonie</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center"/>
              <w:rPr>
                <w:rFonts w:ascii="Arial" w:eastAsia="Times New Roman" w:hAnsi="Arial" w:cs="Arial"/>
                <w:sz w:val="16"/>
                <w:szCs w:val="16"/>
              </w:rPr>
            </w:pPr>
            <w:r w:rsidRPr="006E4DAF">
              <w:rPr>
                <w:rFonts w:ascii="Arial" w:eastAsia="Times New Roman" w:hAnsi="Arial" w:cs="Arial"/>
                <w:sz w:val="16"/>
                <w:szCs w:val="16"/>
              </w:rPr>
              <w:t>.</w:t>
            </w:r>
          </w:p>
        </w:tc>
        <w:tc>
          <w:tcPr>
            <w:tcW w:w="160" w:type="dxa"/>
            <w:tcBorders>
              <w:top w:val="nil"/>
              <w:left w:val="nil"/>
              <w:bottom w:val="nil"/>
              <w:right w:val="nil"/>
            </w:tcBorders>
            <w:shd w:val="clear" w:color="auto" w:fill="auto"/>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center"/>
              <w:rPr>
                <w:rFonts w:ascii="Arial" w:eastAsia="Times New Roman" w:hAnsi="Arial" w:cs="Arial"/>
                <w:sz w:val="16"/>
                <w:szCs w:val="16"/>
              </w:rPr>
            </w:pPr>
            <w:r w:rsidRPr="006E4DAF">
              <w:rPr>
                <w:rFonts w:ascii="Arial" w:eastAsia="Times New Roman" w:hAnsi="Arial" w:cs="Arial"/>
                <w:sz w:val="16"/>
                <w:szCs w:val="16"/>
              </w:rPr>
              <w:t>.</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Norsko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4,5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4,2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Spojené státy</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5,1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4,4 </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Švýcarsko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center"/>
              <w:rPr>
                <w:rFonts w:ascii="Arial" w:eastAsia="Times New Roman" w:hAnsi="Arial" w:cs="Arial"/>
                <w:sz w:val="16"/>
                <w:szCs w:val="16"/>
              </w:rPr>
            </w:pPr>
            <w:r w:rsidRPr="006E4DAF">
              <w:rPr>
                <w:rFonts w:ascii="Arial" w:eastAsia="Times New Roman" w:hAnsi="Arial" w:cs="Arial"/>
                <w:sz w:val="16"/>
                <w:szCs w:val="16"/>
              </w:rPr>
              <w:t>.</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center"/>
              <w:rPr>
                <w:rFonts w:ascii="Arial" w:eastAsia="Times New Roman" w:hAnsi="Arial" w:cs="Arial"/>
                <w:sz w:val="16"/>
                <w:szCs w:val="16"/>
              </w:rPr>
            </w:pPr>
            <w:r w:rsidRPr="006E4DAF">
              <w:rPr>
                <w:rFonts w:ascii="Arial" w:eastAsia="Times New Roman" w:hAnsi="Arial" w:cs="Arial"/>
                <w:sz w:val="16"/>
                <w:szCs w:val="16"/>
              </w:rPr>
              <w:t>.</w:t>
            </w:r>
          </w:p>
        </w:tc>
      </w:tr>
      <w:tr w:rsidR="006E4DAF" w:rsidRPr="006E4DAF" w:rsidTr="006E4DAF">
        <w:trPr>
          <w:trHeight w:val="270"/>
        </w:trPr>
        <w:tc>
          <w:tcPr>
            <w:tcW w:w="2180" w:type="dxa"/>
            <w:tcBorders>
              <w:top w:val="nil"/>
              <w:left w:val="nil"/>
              <w:bottom w:val="nil"/>
              <w:right w:val="nil"/>
            </w:tcBorders>
            <w:shd w:val="clear" w:color="auto" w:fill="auto"/>
            <w:noWrap/>
            <w:vAlign w:val="bottom"/>
            <w:hideMark/>
          </w:tcPr>
          <w:p w:rsidR="006E4DAF" w:rsidRPr="006E4DAF" w:rsidRDefault="006E4DAF" w:rsidP="006E4DAF">
            <w:pPr>
              <w:ind w:firstLineChars="100" w:firstLine="160"/>
              <w:rPr>
                <w:rFonts w:ascii="Arial" w:eastAsia="Times New Roman" w:hAnsi="Arial" w:cs="Arial"/>
                <w:sz w:val="16"/>
                <w:szCs w:val="16"/>
              </w:rPr>
            </w:pPr>
            <w:r w:rsidRPr="006E4DAF">
              <w:rPr>
                <w:rFonts w:ascii="Arial" w:eastAsia="Times New Roman" w:hAnsi="Arial" w:cs="Arial"/>
                <w:sz w:val="16"/>
                <w:szCs w:val="16"/>
              </w:rPr>
              <w:t>Turecko</w:t>
            </w:r>
          </w:p>
        </w:tc>
        <w:tc>
          <w:tcPr>
            <w:tcW w:w="860" w:type="dxa"/>
            <w:tcBorders>
              <w:top w:val="nil"/>
              <w:left w:val="single" w:sz="4" w:space="0" w:color="auto"/>
              <w:bottom w:val="nil"/>
              <w:right w:val="single" w:sz="4" w:space="0" w:color="auto"/>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9,5 </w:t>
            </w:r>
          </w:p>
        </w:tc>
        <w:tc>
          <w:tcPr>
            <w:tcW w:w="16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vertAlign w:val="superscript"/>
              </w:rPr>
              <w:t> </w:t>
            </w:r>
          </w:p>
        </w:tc>
        <w:tc>
          <w:tcPr>
            <w:tcW w:w="2218"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r w:rsidRPr="006E4DAF">
              <w:rPr>
                <w:rFonts w:ascii="Arial" w:eastAsia="Times New Roman" w:hAnsi="Arial" w:cs="Arial"/>
                <w:sz w:val="16"/>
                <w:szCs w:val="16"/>
              </w:rPr>
              <w:t xml:space="preserve">10,9 </w:t>
            </w:r>
          </w:p>
        </w:tc>
      </w:tr>
      <w:tr w:rsidR="006E4DAF" w:rsidRPr="006E4DAF" w:rsidTr="006E4DAF">
        <w:trPr>
          <w:trHeight w:val="143"/>
        </w:trPr>
        <w:tc>
          <w:tcPr>
            <w:tcW w:w="2180" w:type="dxa"/>
            <w:tcBorders>
              <w:top w:val="nil"/>
              <w:left w:val="nil"/>
              <w:bottom w:val="nil"/>
              <w:right w:val="nil"/>
            </w:tcBorders>
            <w:shd w:val="clear" w:color="auto" w:fill="auto"/>
            <w:noWrap/>
            <w:vAlign w:val="bottom"/>
            <w:hideMark/>
          </w:tcPr>
          <w:p w:rsidR="006E4DAF" w:rsidRPr="006E4DAF" w:rsidRDefault="006E4DAF" w:rsidP="006E4DAF">
            <w:pPr>
              <w:jc w:val="right"/>
              <w:rPr>
                <w:rFonts w:ascii="Arial" w:eastAsia="Times New Roman" w:hAnsi="Arial" w:cs="Arial"/>
                <w:sz w:val="16"/>
                <w:szCs w:val="16"/>
              </w:rPr>
            </w:pPr>
          </w:p>
        </w:tc>
        <w:tc>
          <w:tcPr>
            <w:tcW w:w="860" w:type="dxa"/>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c>
          <w:tcPr>
            <w:tcW w:w="160" w:type="dxa"/>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c>
          <w:tcPr>
            <w:tcW w:w="2218" w:type="dxa"/>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r>
      <w:tr w:rsidR="006E4DAF" w:rsidRPr="006E4DAF" w:rsidTr="006E4DAF">
        <w:trPr>
          <w:trHeight w:val="278"/>
        </w:trPr>
        <w:tc>
          <w:tcPr>
            <w:tcW w:w="218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r w:rsidRPr="006E4DAF">
              <w:rPr>
                <w:rFonts w:ascii="Arial" w:eastAsia="Times New Roman" w:hAnsi="Arial" w:cs="Arial"/>
                <w:sz w:val="16"/>
                <w:szCs w:val="16"/>
                <w:vertAlign w:val="superscript"/>
              </w:rPr>
              <w:t xml:space="preserve">1) </w:t>
            </w:r>
            <w:r w:rsidRPr="006E4DAF">
              <w:rPr>
                <w:rFonts w:ascii="Arial" w:eastAsia="Times New Roman" w:hAnsi="Arial" w:cs="Arial"/>
                <w:sz w:val="16"/>
                <w:szCs w:val="16"/>
              </w:rPr>
              <w:t>přerušení časové řady</w:t>
            </w:r>
          </w:p>
        </w:tc>
        <w:tc>
          <w:tcPr>
            <w:tcW w:w="86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p>
        </w:tc>
        <w:tc>
          <w:tcPr>
            <w:tcW w:w="2378" w:type="dxa"/>
            <w:gridSpan w:val="2"/>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r>
      <w:tr w:rsidR="006E4DAF" w:rsidRPr="006E4DAF" w:rsidTr="006E4DAF">
        <w:trPr>
          <w:trHeight w:val="278"/>
        </w:trPr>
        <w:tc>
          <w:tcPr>
            <w:tcW w:w="218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r w:rsidRPr="006E4DAF">
              <w:rPr>
                <w:rFonts w:ascii="Arial" w:eastAsia="Times New Roman" w:hAnsi="Arial" w:cs="Arial"/>
                <w:sz w:val="16"/>
                <w:szCs w:val="16"/>
                <w:vertAlign w:val="superscript"/>
              </w:rPr>
              <w:t>2)</w:t>
            </w:r>
            <w:r w:rsidRPr="006E4DAF">
              <w:rPr>
                <w:rFonts w:ascii="Arial" w:eastAsia="Times New Roman" w:hAnsi="Arial" w:cs="Arial"/>
                <w:sz w:val="16"/>
                <w:szCs w:val="16"/>
              </w:rPr>
              <w:t xml:space="preserve"> odlišná definice</w:t>
            </w:r>
          </w:p>
        </w:tc>
        <w:tc>
          <w:tcPr>
            <w:tcW w:w="860" w:type="dxa"/>
            <w:tcBorders>
              <w:top w:val="nil"/>
              <w:left w:val="nil"/>
              <w:bottom w:val="nil"/>
              <w:right w:val="nil"/>
            </w:tcBorders>
            <w:shd w:val="clear" w:color="auto" w:fill="auto"/>
            <w:noWrap/>
            <w:vAlign w:val="bottom"/>
            <w:hideMark/>
          </w:tcPr>
          <w:p w:rsidR="006E4DAF" w:rsidRPr="006E4DAF" w:rsidRDefault="006E4DAF" w:rsidP="006E4DAF">
            <w:pPr>
              <w:rPr>
                <w:rFonts w:ascii="Arial" w:eastAsia="Times New Roman" w:hAnsi="Arial" w:cs="Arial"/>
                <w:sz w:val="16"/>
                <w:szCs w:val="16"/>
              </w:rPr>
            </w:pPr>
          </w:p>
        </w:tc>
        <w:tc>
          <w:tcPr>
            <w:tcW w:w="2378" w:type="dxa"/>
            <w:gridSpan w:val="2"/>
            <w:tcBorders>
              <w:top w:val="nil"/>
              <w:left w:val="nil"/>
              <w:bottom w:val="nil"/>
              <w:right w:val="nil"/>
            </w:tcBorders>
            <w:shd w:val="clear" w:color="auto" w:fill="auto"/>
            <w:noWrap/>
            <w:vAlign w:val="bottom"/>
            <w:hideMark/>
          </w:tcPr>
          <w:p w:rsidR="006E4DAF" w:rsidRPr="006E4DAF" w:rsidRDefault="006E4DAF" w:rsidP="006E4DAF">
            <w:pPr>
              <w:rPr>
                <w:rFonts w:eastAsia="Times New Roman"/>
                <w:sz w:val="20"/>
                <w:szCs w:val="20"/>
              </w:rPr>
            </w:pPr>
          </w:p>
        </w:tc>
      </w:tr>
    </w:tbl>
    <w:p w:rsidR="00783598" w:rsidRPr="00340E4C" w:rsidRDefault="00783598">
      <w:pPr>
        <w:jc w:val="both"/>
      </w:pPr>
    </w:p>
    <w:p w:rsidR="00783598" w:rsidRPr="00340E4C" w:rsidRDefault="00783598">
      <w:pPr>
        <w:jc w:val="both"/>
      </w:pPr>
      <w:r w:rsidRPr="00340E4C">
        <w:rPr>
          <w:b/>
        </w:rPr>
        <w:lastRenderedPageBreak/>
        <w:t>Proč je u mladých lidí vyšší míra nezaměstnanosti</w:t>
      </w:r>
      <w:r w:rsidRPr="00340E4C">
        <w:t>: nemají závazky, které by je nutily setrvávat v práci a hledají, jaká práce by jim nejvíce vyhovovala a často mají ještě příjem od rodičů, nebo jim rodiče alespoň neúčtují životní náklady.</w:t>
      </w:r>
    </w:p>
    <w:p w:rsidR="00783598" w:rsidRPr="00340E4C" w:rsidRDefault="00783598"/>
    <w:p w:rsidR="00783598" w:rsidRPr="00340E4C" w:rsidRDefault="00783598">
      <w:pPr>
        <w:jc w:val="both"/>
      </w:pPr>
      <w:r w:rsidRPr="00340E4C">
        <w:rPr>
          <w:b/>
        </w:rPr>
        <w:t>Proč je v Evropské unii vyšší nezaměstnanost než v USA</w:t>
      </w:r>
      <w:r w:rsidRPr="00340E4C">
        <w:t xml:space="preserve">: </w:t>
      </w:r>
    </w:p>
    <w:p w:rsidR="00783598" w:rsidRPr="00340E4C" w:rsidRDefault="00783598">
      <w:pPr>
        <w:jc w:val="both"/>
      </w:pPr>
      <w:r w:rsidRPr="00340E4C">
        <w:t xml:space="preserve">způsobuje to méně pružný trh práce v důsledku nepružného pracovního zákonodárství. V řadě odvětví vzniká mzda nikoli ve vztahu individuální poptávky a nabídky, nýbrž vyjednáváním odborů s managementem, někdy i odtrženým od vlastnictví.  </w:t>
      </w:r>
    </w:p>
    <w:p w:rsidR="00783598" w:rsidRPr="00340E4C" w:rsidRDefault="00783598"/>
    <w:p w:rsidR="00783598" w:rsidRPr="00340E4C" w:rsidRDefault="00783598">
      <w:r w:rsidRPr="00340E4C">
        <w:t xml:space="preserve">Co je příčinou změn nezaměstnanosti například i mezi zeměmi Evropské unie: změny sociální politiky (UK – vývoj - Thatcherová, Německo po sjednocení) </w:t>
      </w:r>
    </w:p>
    <w:p w:rsidR="00783598" w:rsidRPr="00340E4C" w:rsidRDefault="00783598" w:rsidP="00636A7A">
      <w:pPr>
        <w:pStyle w:val="berschrift2"/>
      </w:pPr>
      <w:r w:rsidRPr="00340E4C">
        <w:t>Druhy nezaměstnanosti</w:t>
      </w:r>
    </w:p>
    <w:p w:rsidR="00783598" w:rsidRPr="00340E4C" w:rsidRDefault="00783598">
      <w:r w:rsidRPr="00340E4C">
        <w:t>Nezaměstnanost má tři trvalé složky:</w:t>
      </w:r>
    </w:p>
    <w:p w:rsidR="00783598" w:rsidRPr="00340E4C" w:rsidRDefault="00783598" w:rsidP="001741A7">
      <w:pPr>
        <w:numPr>
          <w:ilvl w:val="0"/>
          <w:numId w:val="22"/>
        </w:numPr>
      </w:pPr>
      <w:r w:rsidRPr="00340E4C">
        <w:rPr>
          <w:b/>
        </w:rPr>
        <w:t>Frikční</w:t>
      </w:r>
      <w:r w:rsidRPr="00340E4C">
        <w:t xml:space="preserve"> (vyhledávací) nezaměstnanost – lidé z různých důvodů odcházejí z pracovních míst a hledají si jiné a trvá nějakou dobu,než si je najdou</w:t>
      </w:r>
    </w:p>
    <w:p w:rsidR="00783598" w:rsidRPr="00340E4C" w:rsidRDefault="00783598" w:rsidP="001741A7">
      <w:pPr>
        <w:numPr>
          <w:ilvl w:val="0"/>
          <w:numId w:val="22"/>
        </w:numPr>
        <w:jc w:val="both"/>
      </w:pPr>
      <w:r w:rsidRPr="00340E4C">
        <w:rPr>
          <w:b/>
        </w:rPr>
        <w:t>Strukturální</w:t>
      </w:r>
      <w:r w:rsidRPr="00340E4C">
        <w:t xml:space="preserve"> nezaměstnanost – je vyvolána poklesem jedněch odvětví a růstem jiných. Pracovníci musejí mezi těmito odvětvími přecházet. Zpravidla nejsou zanikající a vznikající odvětví na jednom místě a jejich požadavky na kvalifikační profily se liší. Kolik jenom let trvá strukturální nezaměstnanost ve venkovských oblastech bruntálska nebo v důsledku poklesu těžkého průmyslu v Ostravě nebo obecně v celé České republice textilní, oděvní a v poslední době i sklářský průmysl. Rostoucí odvětví IT, finanční služby a služby obecně. </w:t>
      </w:r>
    </w:p>
    <w:p w:rsidR="00783598" w:rsidRPr="00340E4C" w:rsidRDefault="00783598">
      <w:pPr>
        <w:jc w:val="both"/>
      </w:pPr>
    </w:p>
    <w:p w:rsidR="00783598" w:rsidRPr="00340E4C" w:rsidRDefault="00783598" w:rsidP="001741A7">
      <w:pPr>
        <w:numPr>
          <w:ilvl w:val="0"/>
          <w:numId w:val="22"/>
        </w:numPr>
      </w:pPr>
      <w:r w:rsidRPr="00340E4C">
        <w:rPr>
          <w:b/>
        </w:rPr>
        <w:t xml:space="preserve">Dobrovolná </w:t>
      </w:r>
      <w:r w:rsidRPr="00340E4C">
        <w:t xml:space="preserve">nezaměstnanost – jsou lidé bez práce, kteří z různých důvodů nemají o práci zájem. Zpravidla žijí ze sociálních dávek a často pracují nelegálně </w:t>
      </w:r>
    </w:p>
    <w:p w:rsidR="00783598" w:rsidRPr="00340E4C" w:rsidRDefault="00783598"/>
    <w:p w:rsidR="00783598" w:rsidRPr="00340E4C" w:rsidRDefault="00783598" w:rsidP="001741A7">
      <w:pPr>
        <w:numPr>
          <w:ilvl w:val="0"/>
          <w:numId w:val="22"/>
        </w:numPr>
        <w:jc w:val="both"/>
      </w:pPr>
      <w:r w:rsidRPr="00340E4C">
        <w:t xml:space="preserve">čtvrtou složkou je nezaměstnanost </w:t>
      </w:r>
      <w:r w:rsidRPr="00340E4C">
        <w:rPr>
          <w:b/>
        </w:rPr>
        <w:t>cyklická</w:t>
      </w:r>
      <w:r w:rsidRPr="00340E4C">
        <w:t xml:space="preserve">, vyvolaná poklesem produkce a tedy i zaměstnanosti v některých fázích hospodářského cyklu. Zvláštním druhem cyklické nezaměstnanosti je nezaměstnanost sezónní. Statistikové usilují při sledování dlouhých řad o to, aby data od sezónních vlivů „očistili“. </w:t>
      </w:r>
    </w:p>
    <w:p w:rsidR="00783598" w:rsidRPr="00340E4C" w:rsidRDefault="00783598"/>
    <w:p w:rsidR="00783598" w:rsidRPr="00340E4C" w:rsidRDefault="00783598">
      <w:pPr>
        <w:jc w:val="both"/>
      </w:pPr>
      <w:r w:rsidRPr="00340E4C">
        <w:rPr>
          <w:b/>
        </w:rPr>
        <w:t>Klasická ekonomie tvrdí</w:t>
      </w:r>
      <w:r w:rsidRPr="00340E4C">
        <w:t>, že dlouhodobě existuje pouze dobrovolná nezaměstnanost, protože trh se pohybem ceny (tedy mzdy) sám vrátí k rovnováze.</w:t>
      </w:r>
    </w:p>
    <w:p w:rsidR="00783598" w:rsidRPr="00340E4C" w:rsidRDefault="00783598">
      <w:pPr>
        <w:jc w:val="both"/>
        <w:rPr>
          <w:b/>
        </w:rPr>
      </w:pPr>
      <w:r w:rsidRPr="00340E4C">
        <w:rPr>
          <w:b/>
        </w:rPr>
        <w:t xml:space="preserve">Keynesiánská teorie </w:t>
      </w:r>
      <w:r w:rsidRPr="00340E4C">
        <w:t>vysvětluje vznik nedobrovolné nezaměstnanosti takto:</w:t>
      </w:r>
      <w:r w:rsidRPr="00340E4C">
        <w:rPr>
          <w:b/>
        </w:rPr>
        <w:t xml:space="preserve"> </w:t>
      </w:r>
    </w:p>
    <w:p w:rsidR="00783598" w:rsidRPr="00340E4C" w:rsidRDefault="00783598">
      <w:pPr>
        <w:autoSpaceDE w:val="0"/>
        <w:autoSpaceDN w:val="0"/>
        <w:adjustRightInd w:val="0"/>
        <w:jc w:val="both"/>
        <w:rPr>
          <w:rFonts w:eastAsia="Times New Roman"/>
          <w:lang w:eastAsia="cs-CZ"/>
        </w:rPr>
      </w:pPr>
      <w:r w:rsidRPr="00340E4C">
        <w:rPr>
          <w:rFonts w:eastAsia="Times New Roman"/>
          <w:lang w:eastAsia="cs-CZ"/>
        </w:rPr>
        <w:t>- v krátkém období jsou nominální mzdy fixní. Klesne-li v recesi produkce, klesnou i investice, v důsledku toho klesne AD, a proto klesnou ceny. Reálná mzda, protože je fixní, v důsledku toho vzroste a způsobí pokles poptávky po práci. Nabídka zůstává neměnná a tím převyšuje poptávku a dochází k nedobrovolné nezaměstnanosti. Lidé cht</w:t>
      </w:r>
      <w:r w:rsidRPr="00340E4C">
        <w:rPr>
          <w:rFonts w:ascii="TimesNewRoman" w:eastAsia="TimesNewRoman" w:cs="TimesNewRoman"/>
          <w:lang w:eastAsia="cs-CZ"/>
        </w:rPr>
        <w:t>ě</w:t>
      </w:r>
      <w:r w:rsidRPr="00340E4C">
        <w:rPr>
          <w:rFonts w:eastAsia="Times New Roman"/>
          <w:lang w:eastAsia="cs-CZ"/>
        </w:rPr>
        <w:t>jí pracovat, ale místo nenajdou.</w:t>
      </w:r>
    </w:p>
    <w:p w:rsidR="00783598" w:rsidRPr="00340E4C" w:rsidRDefault="00783598">
      <w:pPr>
        <w:autoSpaceDE w:val="0"/>
        <w:autoSpaceDN w:val="0"/>
        <w:adjustRightInd w:val="0"/>
        <w:jc w:val="both"/>
        <w:rPr>
          <w:rFonts w:eastAsia="Times New Roman"/>
          <w:lang w:eastAsia="cs-CZ"/>
        </w:rPr>
      </w:pPr>
      <w:r w:rsidRPr="00340E4C">
        <w:rPr>
          <w:rFonts w:eastAsia="Times New Roman"/>
          <w:lang w:eastAsia="cs-CZ"/>
        </w:rPr>
        <w:t xml:space="preserve">Rozdíl mezi teoriemi je tedy v tomto případě pouze v tom, jak rychle a účinně probíhá přizpůsobení ceny objemu nabídky a poptávky.  </w:t>
      </w:r>
    </w:p>
    <w:p w:rsidR="00783598" w:rsidRPr="00340E4C" w:rsidRDefault="00783598">
      <w:pPr>
        <w:autoSpaceDE w:val="0"/>
        <w:autoSpaceDN w:val="0"/>
        <w:adjustRightInd w:val="0"/>
        <w:jc w:val="both"/>
      </w:pPr>
    </w:p>
    <w:p w:rsidR="00783598" w:rsidRPr="00340E4C" w:rsidRDefault="00783598" w:rsidP="00636A7A">
      <w:pPr>
        <w:pStyle w:val="berschrift2"/>
      </w:pPr>
      <w:r w:rsidRPr="00340E4C">
        <w:t>Trh práce</w:t>
      </w:r>
    </w:p>
    <w:p w:rsidR="00783598" w:rsidRPr="00340E4C" w:rsidRDefault="00783598"/>
    <w:p w:rsidR="00783598" w:rsidRPr="00340E4C" w:rsidRDefault="00783598">
      <w:pPr>
        <w:jc w:val="both"/>
      </w:pPr>
      <w:r w:rsidRPr="00340E4C">
        <w:t>Trh práce je nedokonalým trhem:</w:t>
      </w:r>
    </w:p>
    <w:p w:rsidR="00783598" w:rsidRPr="00340E4C" w:rsidRDefault="00783598" w:rsidP="001741A7">
      <w:pPr>
        <w:numPr>
          <w:ilvl w:val="0"/>
          <w:numId w:val="21"/>
        </w:numPr>
        <w:jc w:val="both"/>
      </w:pPr>
      <w:r w:rsidRPr="00340E4C">
        <w:t>obchodovaný produkt je heterogenní a poptávka je velmi diferencovaná v místě a v požadavcích,</w:t>
      </w:r>
    </w:p>
    <w:p w:rsidR="00783598" w:rsidRPr="00340E4C" w:rsidRDefault="00783598" w:rsidP="001741A7">
      <w:pPr>
        <w:numPr>
          <w:ilvl w:val="0"/>
          <w:numId w:val="21"/>
        </w:numPr>
        <w:jc w:val="both"/>
      </w:pPr>
      <w:r w:rsidRPr="00340E4C">
        <w:t>účastníci trhu mají neúplné informace,</w:t>
      </w:r>
    </w:p>
    <w:p w:rsidR="00783598" w:rsidRPr="00340E4C" w:rsidRDefault="00783598" w:rsidP="001741A7">
      <w:pPr>
        <w:numPr>
          <w:ilvl w:val="0"/>
          <w:numId w:val="21"/>
        </w:numPr>
        <w:jc w:val="both"/>
      </w:pPr>
      <w:r w:rsidRPr="00340E4C">
        <w:lastRenderedPageBreak/>
        <w:t>v některých dobách a sektorech se vyskytují silné tendence k monopolizaci nabídky (monopson)</w:t>
      </w:r>
    </w:p>
    <w:p w:rsidR="00783598" w:rsidRPr="00340E4C" w:rsidRDefault="00783598" w:rsidP="001741A7">
      <w:pPr>
        <w:numPr>
          <w:ilvl w:val="0"/>
          <w:numId w:val="21"/>
        </w:numPr>
        <w:jc w:val="both"/>
      </w:pPr>
      <w:r w:rsidRPr="00340E4C">
        <w:t xml:space="preserve">trh práce je poznamenán zásahy veřejné sféry (pracovní zákonodárství, podpora v nezaměstnanosti, regulace přeshraničního pohybu pracovní síly, kvalifikaci pracovní síle poskytuje veřejné školství často odtržené od poptávky. </w:t>
      </w:r>
    </w:p>
    <w:p w:rsidR="00783598" w:rsidRPr="00340E4C" w:rsidRDefault="00783598">
      <w:pPr>
        <w:jc w:val="both"/>
      </w:pPr>
    </w:p>
    <w:p w:rsidR="00783598" w:rsidRPr="00340E4C" w:rsidRDefault="00783598">
      <w:pPr>
        <w:jc w:val="both"/>
        <w:rPr>
          <w:b/>
        </w:rPr>
      </w:pPr>
      <w:r w:rsidRPr="00340E4C">
        <w:rPr>
          <w:b/>
        </w:rPr>
        <w:t>Poznámka: Přirozená míra nezaměstnanosti:</w:t>
      </w:r>
    </w:p>
    <w:p w:rsidR="00783598" w:rsidRPr="00340E4C" w:rsidRDefault="00783598">
      <w:pPr>
        <w:jc w:val="both"/>
      </w:pPr>
    </w:p>
    <w:p w:rsidR="00783598" w:rsidRPr="00340E4C" w:rsidRDefault="00783598">
      <w:pPr>
        <w:jc w:val="both"/>
      </w:pPr>
      <w:r w:rsidRPr="00340E4C">
        <w:t>Existuje určitý počet zaměstnaných L a určitý počet nezaměstnaných U (unemploye</w:t>
      </w:r>
      <w:r w:rsidR="00ED2731">
        <w:t>d</w:t>
      </w:r>
      <w:r w:rsidRPr="00340E4C">
        <w:t>).</w:t>
      </w:r>
    </w:p>
    <w:p w:rsidR="00783598" w:rsidRPr="00340E4C" w:rsidRDefault="00783598">
      <w:pPr>
        <w:jc w:val="both"/>
      </w:pPr>
      <w:r w:rsidRPr="00340E4C">
        <w:t>Mezi těmito dvěma skupinami probíhá pohyb:</w:t>
      </w:r>
    </w:p>
    <w:p w:rsidR="00783598" w:rsidRPr="00340E4C" w:rsidRDefault="00783598">
      <w:pPr>
        <w:jc w:val="both"/>
      </w:pPr>
      <w:r w:rsidRPr="00340E4C">
        <w:t>- zaměstnanci odcházejí z pracovního místa. Podíl těchto odcházejících na celkovém počtu zaměstnaných nazýváme „mírou ztráty práce“.</w:t>
      </w:r>
    </w:p>
    <w:p w:rsidR="00783598" w:rsidRPr="00340E4C" w:rsidRDefault="00783598">
      <w:pPr>
        <w:jc w:val="both"/>
      </w:pPr>
      <w:r w:rsidRPr="00340E4C">
        <w:t xml:space="preserve">- nezaměstnaní nacházejí práci. Podíl těchto přicházejících mezi zaměstnané na nezaměstnaných se nazývá „mírou nalézání práce“. </w:t>
      </w:r>
    </w:p>
    <w:p w:rsidR="00ED2731" w:rsidRDefault="00783598">
      <w:pPr>
        <w:jc w:val="both"/>
      </w:pPr>
      <w:r w:rsidRPr="00340E4C">
        <w:t xml:space="preserve">Pokud se obě míry rovnají, je trh práce v rovnováze a </w:t>
      </w:r>
      <w:r w:rsidRPr="00340E4C">
        <w:rPr>
          <w:b/>
        </w:rPr>
        <w:t>míra nezaměstnanosti je přirozená</w:t>
      </w:r>
      <w:r w:rsidRPr="00340E4C">
        <w:t xml:space="preserve">. </w:t>
      </w:r>
    </w:p>
    <w:p w:rsidR="00ED2731" w:rsidRDefault="00ED2731">
      <w:pPr>
        <w:jc w:val="both"/>
      </w:pPr>
    </w:p>
    <w:p w:rsidR="00ED2731" w:rsidRDefault="00ED2731">
      <w:pPr>
        <w:jc w:val="both"/>
      </w:pPr>
      <w:r>
        <w:t>Výpočet přirozené míry nezaměstnanosti:</w:t>
      </w:r>
    </w:p>
    <w:p w:rsidR="00ED2731" w:rsidRPr="00ED2731" w:rsidRDefault="00ED2731">
      <w:pPr>
        <w:jc w:val="both"/>
      </w:pPr>
      <m:oMathPara>
        <m:oMath>
          <m:r>
            <w:rPr>
              <w:rFonts w:ascii="Cambria Math" w:hAnsi="Cambria Math"/>
            </w:rPr>
            <m:t>z×E=n×U</m:t>
          </m:r>
        </m:oMath>
      </m:oMathPara>
    </w:p>
    <w:p w:rsidR="00ED2731" w:rsidRDefault="00ED2731">
      <w:pPr>
        <w:jc w:val="both"/>
      </w:pPr>
      <w:r>
        <w:t>Kde:</w:t>
      </w:r>
    </w:p>
    <w:p w:rsidR="00ED2731" w:rsidRDefault="00ED2731">
      <w:pPr>
        <w:jc w:val="both"/>
      </w:pPr>
      <w:r>
        <w:tab/>
        <w:t>z = podíl zaměstnaných, kteří ztratili práci na zaměstnaných celkem</w:t>
      </w:r>
    </w:p>
    <w:p w:rsidR="00ED2731" w:rsidRDefault="00ED2731" w:rsidP="00ED2731">
      <w:pPr>
        <w:ind w:left="1416" w:hanging="707"/>
        <w:jc w:val="both"/>
      </w:pPr>
      <w:r>
        <w:t>E = počet zaměstnaných = PS – U, tj. PS = počet práceschopných celkem, U = počet nezaměstnaných</w:t>
      </w:r>
    </w:p>
    <w:p w:rsidR="00ED2731" w:rsidRDefault="00ED2731" w:rsidP="00ED2731">
      <w:pPr>
        <w:ind w:left="1416" w:hanging="707"/>
        <w:jc w:val="both"/>
      </w:pPr>
      <w:r>
        <w:t>n = podíl nezaměstnaných, kteří nalezli práci, z nezaměstnaných celkem</w:t>
      </w:r>
    </w:p>
    <w:p w:rsidR="00ED2731" w:rsidRDefault="00ED2731" w:rsidP="00ED2731">
      <w:pPr>
        <w:ind w:left="1416" w:hanging="707"/>
        <w:jc w:val="both"/>
      </w:pPr>
      <w:r>
        <w:t>U = počet nezaměstnaných</w:t>
      </w:r>
    </w:p>
    <w:p w:rsidR="00ED2731" w:rsidRDefault="00ED2731" w:rsidP="00ED2731">
      <w:pPr>
        <w:ind w:left="1416" w:hanging="1416"/>
        <w:jc w:val="both"/>
      </w:pPr>
      <w:r>
        <w:t>Z rovnice můžeme odvodit:</w:t>
      </w:r>
    </w:p>
    <w:p w:rsidR="00ED2731" w:rsidRPr="00ED2731" w:rsidRDefault="00ED2731" w:rsidP="00ED2731">
      <w:pPr>
        <w:ind w:left="1416" w:hanging="1416"/>
        <w:jc w:val="both"/>
      </w:pPr>
      <m:oMathPara>
        <m:oMath>
          <m:r>
            <w:rPr>
              <w:rFonts w:ascii="Cambria Math" w:hAnsi="Cambria Math"/>
            </w:rPr>
            <m:t>z</m:t>
          </m:r>
          <m:d>
            <m:dPr>
              <m:ctrlPr>
                <w:rPr>
                  <w:rFonts w:ascii="Cambria Math" w:hAnsi="Cambria Math"/>
                  <w:i/>
                </w:rPr>
              </m:ctrlPr>
            </m:dPr>
            <m:e>
              <m:r>
                <w:rPr>
                  <w:rFonts w:ascii="Cambria Math" w:hAnsi="Cambria Math"/>
                </w:rPr>
                <m:t>PS-U</m:t>
              </m:r>
            </m:e>
          </m:d>
          <m:r>
            <w:rPr>
              <w:rFonts w:ascii="Cambria Math" w:hAnsi="Cambria Math"/>
            </w:rPr>
            <m:t>=n×U</m:t>
          </m:r>
        </m:oMath>
      </m:oMathPara>
    </w:p>
    <w:p w:rsidR="00ED2731" w:rsidRPr="00ED2731" w:rsidRDefault="00ED2731" w:rsidP="00ED2731">
      <w:pPr>
        <w:ind w:left="1416" w:hanging="1416"/>
        <w:jc w:val="both"/>
      </w:pPr>
      <m:oMathPara>
        <m:oMath>
          <m:r>
            <w:rPr>
              <w:rFonts w:ascii="Cambria Math" w:hAnsi="Cambria Math"/>
            </w:rPr>
            <m:t>z×PS=n×U+z×U</m:t>
          </m:r>
        </m:oMath>
      </m:oMathPara>
    </w:p>
    <w:p w:rsidR="00ED2731" w:rsidRPr="00ED2731" w:rsidRDefault="00ED2731" w:rsidP="00ED2731">
      <w:pPr>
        <w:ind w:left="1416" w:hanging="1416"/>
        <w:jc w:val="both"/>
      </w:pPr>
      <m:oMathPara>
        <m:oMath>
          <m:r>
            <w:rPr>
              <w:rFonts w:ascii="Cambria Math" w:hAnsi="Cambria Math"/>
            </w:rPr>
            <m:t>z×PS=(n-z)×U</m:t>
          </m:r>
        </m:oMath>
      </m:oMathPara>
    </w:p>
    <w:p w:rsidR="00ED2731" w:rsidRDefault="006647E4" w:rsidP="00ED2731">
      <w:pPr>
        <w:ind w:left="1416" w:hanging="1416"/>
        <w:jc w:val="both"/>
      </w:pPr>
      <m:oMathPara>
        <m:oMath>
          <m:f>
            <m:fPr>
              <m:ctrlPr>
                <w:rPr>
                  <w:rFonts w:ascii="Cambria Math" w:hAnsi="Cambria Math"/>
                  <w:i/>
                </w:rPr>
              </m:ctrlPr>
            </m:fPr>
            <m:num>
              <m:r>
                <w:rPr>
                  <w:rFonts w:ascii="Cambria Math" w:hAnsi="Cambria Math"/>
                </w:rPr>
                <m:t>z</m:t>
              </m:r>
            </m:num>
            <m:den>
              <m:r>
                <w:rPr>
                  <w:rFonts w:ascii="Cambria Math" w:hAnsi="Cambria Math"/>
                </w:rPr>
                <m:t>n+z</m:t>
              </m:r>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PS</m:t>
              </m:r>
            </m:den>
          </m:f>
        </m:oMath>
      </m:oMathPara>
    </w:p>
    <w:p w:rsidR="00ED2731" w:rsidRDefault="00ED2731" w:rsidP="00ED2731">
      <w:pPr>
        <w:ind w:left="1416" w:hanging="707"/>
        <w:jc w:val="both"/>
      </w:pPr>
      <w:r>
        <w:t xml:space="preserve"> </w:t>
      </w:r>
    </w:p>
    <w:p w:rsidR="00ED2731" w:rsidRDefault="00ED2731">
      <w:pPr>
        <w:jc w:val="both"/>
      </w:pPr>
    </w:p>
    <w:p w:rsidR="00783598" w:rsidRPr="00340E4C" w:rsidRDefault="00783598">
      <w:pPr>
        <w:jc w:val="both"/>
      </w:pPr>
      <w:r w:rsidRPr="00340E4C">
        <w:t xml:space="preserve">Pokud se míry nerovnají, pohybuje se míra nezaměstnanosti na zdravém trhu tak dlouho jedním směrem, až dosáhne své přirozené míry. </w:t>
      </w:r>
    </w:p>
    <w:p w:rsidR="00783598" w:rsidRPr="00340E4C" w:rsidRDefault="00783598">
      <w:pPr>
        <w:jc w:val="both"/>
      </w:pPr>
      <w:r w:rsidRPr="00340E4C">
        <w:t>Přirozená míra nezaměstnanosti se mění v závislosti na různých faktorech:</w:t>
      </w:r>
    </w:p>
    <w:p w:rsidR="00783598" w:rsidRPr="00340E4C" w:rsidRDefault="00783598">
      <w:pPr>
        <w:jc w:val="both"/>
      </w:pPr>
      <w:r w:rsidRPr="00340E4C">
        <w:t>- technologické změny vyvolávají změnu poměru v užívání výrobních faktorů K/L,</w:t>
      </w:r>
    </w:p>
    <w:p w:rsidR="00783598" w:rsidRPr="00340E4C" w:rsidRDefault="00783598">
      <w:pPr>
        <w:jc w:val="both"/>
      </w:pPr>
      <w:r w:rsidRPr="00340E4C">
        <w:t xml:space="preserve">- sociální síť ovlivňuje míru nalézání práce. Čím vyšší a delší je podpora v nezaměstnanosti, tím je v dlouhodobém pohledu menší snaha o nalézání práce a tím i nižší míra nalézání práce. Určitý vliv na přirozenou míru nezaměstnanosti má i „aktivní politika nezaměstnanosti“ </w:t>
      </w:r>
      <w:r w:rsidR="00ED2731">
        <w:t>-</w:t>
      </w:r>
      <w:r w:rsidRPr="00340E4C">
        <w:t xml:space="preserve"> </w:t>
      </w:r>
    </w:p>
    <w:p w:rsidR="00783598" w:rsidRPr="00340E4C" w:rsidRDefault="00783598">
      <w:pPr>
        <w:jc w:val="both"/>
      </w:pPr>
    </w:p>
    <w:p w:rsidR="00783598" w:rsidRPr="00340E4C" w:rsidRDefault="00783598">
      <w:pPr>
        <w:jc w:val="both"/>
        <w:rPr>
          <w:b/>
          <w:lang w:eastAsia="cs-CZ"/>
        </w:rPr>
      </w:pPr>
      <w:r w:rsidRPr="00340E4C">
        <w:rPr>
          <w:b/>
          <w:lang w:eastAsia="cs-CZ"/>
        </w:rPr>
        <w:t>Poznámka: Aktivní politika zaměstnanosti 2007 (z ročenky MPSV 2007)</w:t>
      </w:r>
    </w:p>
    <w:p w:rsidR="00783598" w:rsidRPr="00340E4C" w:rsidRDefault="00783598">
      <w:pPr>
        <w:jc w:val="both"/>
        <w:rPr>
          <w:lang w:eastAsia="cs-CZ"/>
        </w:rPr>
      </w:pPr>
      <w:r w:rsidRPr="00340E4C">
        <w:rPr>
          <w:lang w:eastAsia="cs-CZ"/>
        </w:rPr>
        <w:t>Základem pro realizaci aktivní politiky zaměstnanosti (APZ) na jednotlivých úřadech práce jsou „Programy realizace APZ na rok 2007“. Programy byly zpracovány na základě analýzy trhu práce v jednotlivých okresech a naplňování cílů APZ stanovených Správou služeb zaměstnanosti pro příslušný rok.</w:t>
      </w:r>
    </w:p>
    <w:p w:rsidR="00783598" w:rsidRPr="00340E4C" w:rsidRDefault="00783598">
      <w:pPr>
        <w:jc w:val="both"/>
        <w:rPr>
          <w:color w:val="000080"/>
          <w:lang w:eastAsia="cs-CZ"/>
        </w:rPr>
      </w:pPr>
      <w:r w:rsidRPr="00340E4C">
        <w:rPr>
          <w:lang w:eastAsia="cs-CZ"/>
        </w:rPr>
        <w:t>V roce 2007 bylo v rámci APZ nově vytvořeno činil 29 013 pracovních míst, což znamenalo pokles oproti stejnému období roku 2006 o 32,9 %. Nejvíce bylo vytvořeno společensky účelných pracovních míst SÚPM (nově vytvořených míst a vyhrazených míst u zaměstnavatelů, jako i míst vytvořených za účelem samostatné výdělečné činnosti uchazeče o zaměstnání) – 16 094, to je více než polovina</w:t>
      </w:r>
      <w:r w:rsidRPr="00340E4C">
        <w:rPr>
          <w:color w:val="000080"/>
          <w:lang w:eastAsia="cs-CZ"/>
        </w:rPr>
        <w:t xml:space="preserve"> míst APZ. </w:t>
      </w:r>
    </w:p>
    <w:p w:rsidR="00783598" w:rsidRPr="00340E4C" w:rsidRDefault="00783598">
      <w:pPr>
        <w:jc w:val="both"/>
        <w:rPr>
          <w:lang w:eastAsia="cs-CZ"/>
        </w:rPr>
      </w:pPr>
      <w:r w:rsidRPr="00340E4C">
        <w:rPr>
          <w:lang w:eastAsia="cs-CZ"/>
        </w:rPr>
        <w:lastRenderedPageBreak/>
        <w:t>Na druhém místě v počtu vytvořených pracovních míst se umístila místa v rámci veřejně prospěšných prací (VPP) – 11 747. V rámci chráněných pracovních dílen (CHPD) a chráněných pracovních míst (CHPM), včetně samostatné výdělečné činnosti osob se zdravotním postižením (CHPM - SVČ OZP), bylo vytvořeno 624 nových míst.</w:t>
      </w:r>
    </w:p>
    <w:p w:rsidR="00783598" w:rsidRPr="00340E4C" w:rsidRDefault="00783598">
      <w:pPr>
        <w:jc w:val="both"/>
        <w:rPr>
          <w:lang w:eastAsia="cs-CZ"/>
        </w:rPr>
      </w:pPr>
      <w:r w:rsidRPr="00340E4C">
        <w:rPr>
          <w:lang w:eastAsia="cs-CZ"/>
        </w:rPr>
        <w:t>V roce 2007 bylo zařazeno na nástroje APZ a rekvalifikace celkem 133 464 uchazečů o zaměstnání a zaměstnanců. Nejvíce byly využívány rekvalifikace, uchazeči o zaměstnání zařazení do rekvalifikací (53 846 osob) tvořili 40,3 % všech uchazečů, resp. zaměstnanců, umístěných na některý z nástrojů APZ. Druhým nejvyužívanějším nástrojem byla společensky účelná pracovní místa (SÚPM), přičemž podíl zařazených uchazečů o zaměstnání představuje 12,5 % a dále veřejně prospěšné práce (VPP), zde bylo umístěno 9,3 % uchazečů o zaměstnání. V rámci projektů ESF bylo zařazeno 37 655 osob, tj. 28,2 % z celkového počtu podpořených osob v rámci nástrojů APZ a rekvalifikace.</w:t>
      </w:r>
    </w:p>
    <w:p w:rsidR="00783598" w:rsidRPr="008F6023" w:rsidRDefault="008F6023">
      <w:pPr>
        <w:jc w:val="both"/>
      </w:pPr>
      <w:r w:rsidRPr="008F6023">
        <w:t xml:space="preserve">Po sloučení úřadů práce do jednoho velkého celostátního úřadu a pod tlakem deficitu státního rozpočtu </w:t>
      </w:r>
      <w:r>
        <w:t>stát nadále podporuje vznik pracovních míst podstatně méně.</w:t>
      </w:r>
    </w:p>
    <w:p w:rsidR="008F6023" w:rsidRPr="00340E4C" w:rsidRDefault="008F6023">
      <w:pPr>
        <w:jc w:val="both"/>
        <w:rPr>
          <w:color w:val="FF0000"/>
        </w:rPr>
      </w:pPr>
    </w:p>
    <w:p w:rsidR="00783598" w:rsidRPr="00340E4C" w:rsidRDefault="00783598" w:rsidP="00636A7A">
      <w:pPr>
        <w:pStyle w:val="berschrift3"/>
      </w:pPr>
      <w:r w:rsidRPr="00340E4C">
        <w:t>Phillipsova křivka</w:t>
      </w:r>
      <w:r w:rsidR="00636A7A">
        <w:t xml:space="preserve"> a nezaměstnanost</w:t>
      </w:r>
    </w:p>
    <w:p w:rsidR="00783598" w:rsidRPr="00340E4C" w:rsidRDefault="00783598"/>
    <w:p w:rsidR="00783598" w:rsidRPr="00340E4C" w:rsidRDefault="00783598">
      <w:r w:rsidRPr="00340E4C">
        <w:t xml:space="preserve">Udává vztah nezaměstnanosti – tj. </w:t>
      </w:r>
      <w:r w:rsidR="005B783A" w:rsidRPr="00340E4C">
        <w:t>p</w:t>
      </w:r>
      <w:r w:rsidRPr="00340E4C">
        <w:t>optávky po práci a ceny práce – mzdy, více viz kapitola Inflace.</w:t>
      </w:r>
      <w:r w:rsidR="000F5DEB">
        <w:t xml:space="preserve"> Její prokazatelnost je sporná. </w:t>
      </w:r>
    </w:p>
    <w:p w:rsidR="00585090" w:rsidRPr="00340E4C" w:rsidRDefault="0033114D">
      <w:pPr>
        <w:jc w:val="both"/>
      </w:pPr>
      <w:r w:rsidRPr="00340E4C">
        <w:rPr>
          <w:noProof/>
          <w:lang w:val="de-DE" w:eastAsia="de-DE"/>
        </w:rPr>
        <w:drawing>
          <wp:anchor distT="0" distB="0" distL="114300" distR="114300" simplePos="0" relativeHeight="251694080" behindDoc="0" locked="0" layoutInCell="1" allowOverlap="1" wp14:anchorId="5AE8AB8E" wp14:editId="2B0A479F">
            <wp:simplePos x="0" y="0"/>
            <wp:positionH relativeFrom="column">
              <wp:posOffset>-4445</wp:posOffset>
            </wp:positionH>
            <wp:positionV relativeFrom="paragraph">
              <wp:posOffset>1270</wp:posOffset>
            </wp:positionV>
            <wp:extent cx="5648400" cy="4590000"/>
            <wp:effectExtent l="0" t="0" r="0" b="1270"/>
            <wp:wrapSquare wrapText="bothSides"/>
            <wp:docPr id="159" name="obrázek 159" descr="Philipsus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hilipsus6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648400" cy="459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5090" w:rsidRDefault="00585090">
      <w:pPr>
        <w:jc w:val="both"/>
      </w:pPr>
    </w:p>
    <w:p w:rsidR="008F6023" w:rsidRDefault="008F6023">
      <w:pPr>
        <w:jc w:val="both"/>
      </w:pPr>
      <w:r>
        <w:t>Phillipsova křivka zkoumá vztah mezi inflací a nezaměstnaností.</w:t>
      </w:r>
      <w:r w:rsidR="000F5DEB">
        <w:t xml:space="preserve"> Blíže viz kapitola o inflaci.</w:t>
      </w:r>
    </w:p>
    <w:p w:rsidR="008F6023" w:rsidRDefault="008F6023">
      <w:pPr>
        <w:jc w:val="both"/>
      </w:pPr>
      <w:r>
        <w:t>Existuje i závislost změny nezaměstnanosti a přírůstku GDP.  Říkáme ji Okunův zákon:</w:t>
      </w:r>
    </w:p>
    <w:p w:rsidR="008F6023" w:rsidRDefault="008F6023">
      <w:pPr>
        <w:jc w:val="both"/>
      </w:pPr>
    </w:p>
    <w:p w:rsidR="008F6023" w:rsidRPr="008F6023" w:rsidRDefault="006647E4">
      <w:pPr>
        <w:jc w:val="both"/>
      </w:pPr>
      <m:oMathPara>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num>
            <m:den>
              <m:r>
                <w:rPr>
                  <w:rFonts w:ascii="Cambria Math" w:hAnsi="Cambria Math"/>
                </w:rPr>
                <m:t>y</m:t>
              </m:r>
            </m:den>
          </m:f>
          <m:r>
            <w:rPr>
              <w:rFonts w:ascii="Cambria Math" w:hAnsi="Cambria Math"/>
            </w:rPr>
            <m:t>=c(</m:t>
          </m:r>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-u)</m:t>
          </m:r>
        </m:oMath>
      </m:oMathPara>
    </w:p>
    <w:p w:rsidR="008F6023" w:rsidRDefault="008F6023">
      <w:pPr>
        <w:jc w:val="both"/>
      </w:pPr>
    </w:p>
    <w:p w:rsidR="008F6023" w:rsidRPr="008F6023" w:rsidRDefault="006647E4">
      <w:pPr>
        <w:jc w:val="both"/>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=potenciální produkt, y=skutečný pr</m:t>
          </m:r>
          <m:r>
            <w:rPr>
              <w:rFonts w:ascii="Cambria Math" w:hAnsi="Cambria Math"/>
            </w:rPr>
            <m:t xml:space="preserve">odukt, </m:t>
          </m:r>
          <m:sSup>
            <m:sSupPr>
              <m:ctrlPr>
                <w:rPr>
                  <w:rFonts w:ascii="Cambria Math" w:hAnsi="Cambria Math"/>
                  <w:i/>
                </w:rPr>
              </m:ctrlPr>
            </m:sSupPr>
            <m:e>
              <m:r>
                <w:rPr>
                  <w:rFonts w:ascii="Cambria Math" w:hAnsi="Cambria Math"/>
                </w:rPr>
                <m:t xml:space="preserve"> u</m:t>
              </m:r>
            </m:e>
            <m:sup>
              <m:r>
                <w:rPr>
                  <w:rFonts w:ascii="Cambria Math" w:hAnsi="Cambria Math"/>
                </w:rPr>
                <m:t>*</m:t>
              </m:r>
            </m:sup>
          </m:sSup>
          <m:r>
            <w:rPr>
              <w:rFonts w:ascii="Cambria Math" w:hAnsi="Cambria Math"/>
            </w:rPr>
            <m:t>=přir. míra nezaměstnanosti,  u=skutečná míra nezaměstnanosti</m:t>
          </m:r>
        </m:oMath>
      </m:oMathPara>
    </w:p>
    <w:p w:rsidR="008F6023" w:rsidRPr="008F6023" w:rsidRDefault="008F6023">
      <w:pPr>
        <w:jc w:val="both"/>
      </w:pPr>
      <w:r>
        <w:t xml:space="preserve"> </w:t>
      </w:r>
    </w:p>
    <w:p w:rsidR="008F6023" w:rsidRDefault="008F6023">
      <w:pPr>
        <w:jc w:val="both"/>
      </w:pPr>
    </w:p>
    <w:p w:rsidR="008F6023" w:rsidRPr="008F6023" w:rsidRDefault="008F6023">
      <w:pPr>
        <w:jc w:val="both"/>
        <w:sectPr w:rsidR="008F6023" w:rsidRPr="008F6023">
          <w:pgSz w:w="11906" w:h="16838"/>
          <w:pgMar w:top="1417" w:right="1417" w:bottom="1417" w:left="1417" w:header="708" w:footer="708" w:gutter="0"/>
          <w:cols w:space="708"/>
          <w:docGrid w:linePitch="360"/>
        </w:sectPr>
      </w:pPr>
      <w:r>
        <w:t xml:space="preserve">V praxi to znamená, že přírůstek GDP způsobuje pokles nezaměstnanosti. Například empiricky vychází vztah: </w:t>
      </w:r>
      <m:oMath>
        <m:r>
          <w:rPr>
            <w:rFonts w:ascii="Cambria Math" w:hAnsi="Cambria Math"/>
          </w:rPr>
          <m:t>-∆u=1-</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y</m:t>
        </m:r>
      </m:oMath>
      <w:r w:rsidR="000F5DEB">
        <w:t>, neboli když vzroste Y o 3%, klesne nezaměstnanost o jeden bod (např. z 10% na 9%).</w:t>
      </w:r>
    </w:p>
    <w:p w:rsidR="00783598" w:rsidRPr="00340E4C" w:rsidRDefault="00783598"/>
    <w:p w:rsidR="00783598" w:rsidRPr="00340E4C" w:rsidRDefault="00783598" w:rsidP="00636A7A">
      <w:pPr>
        <w:pStyle w:val="berschrift1"/>
      </w:pPr>
      <w:bookmarkStart w:id="143" w:name="_Toc240444151"/>
      <w:bookmarkStart w:id="144" w:name="_Toc240775351"/>
      <w:bookmarkStart w:id="145" w:name="_Toc281979953"/>
      <w:bookmarkStart w:id="146" w:name="_Toc281979995"/>
      <w:bookmarkStart w:id="147" w:name="_Toc296073446"/>
      <w:bookmarkStart w:id="148" w:name="_Toc297533154"/>
      <w:bookmarkStart w:id="149" w:name="_Toc303675514"/>
      <w:bookmarkStart w:id="150" w:name="_Toc303963015"/>
      <w:bookmarkStart w:id="151" w:name="_Toc306176404"/>
      <w:bookmarkStart w:id="152" w:name="_Toc315341173"/>
      <w:bookmarkStart w:id="153" w:name="_Toc316459968"/>
      <w:bookmarkStart w:id="154" w:name="_Toc316460443"/>
      <w:bookmarkStart w:id="155" w:name="_Toc318291420"/>
      <w:bookmarkStart w:id="156" w:name="_Toc328466826"/>
      <w:bookmarkStart w:id="157" w:name="_Toc335724883"/>
      <w:bookmarkStart w:id="158" w:name="_Toc411926288"/>
      <w:bookmarkStart w:id="159" w:name="_Toc1629141"/>
      <w:r w:rsidRPr="00340E4C">
        <w:t>Inflace</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783598" w:rsidRPr="00340E4C" w:rsidRDefault="00783598">
      <w:r w:rsidRPr="00340E4C">
        <w:rPr>
          <w:b/>
        </w:rPr>
        <w:t>Definice</w:t>
      </w:r>
      <w:r w:rsidRPr="00340E4C">
        <w:t>: inflace je stav, kdy peněžní zásoba převyšuje poptávku po penězích.</w:t>
      </w:r>
    </w:p>
    <w:p w:rsidR="00783598" w:rsidRPr="00340E4C" w:rsidRDefault="00783598">
      <w:pPr>
        <w:jc w:val="both"/>
      </w:pPr>
      <w:r w:rsidRPr="00340E4C">
        <w:t>Z dynamického pohledu je míra inflace dána rozdílem mezi tempem růstu nominální peněžní zásoby</w:t>
      </w:r>
      <w:r w:rsidR="00DE7CBC">
        <w:t xml:space="preserve"> a reálné potřeby</w:t>
      </w:r>
      <w:r w:rsidRPr="00340E4C">
        <w:t>. Peněžní zásoba se neustále vyvíjí, emisní banka musí reagovat na potřeby směny.</w:t>
      </w:r>
    </w:p>
    <w:p w:rsidR="00783598" w:rsidRPr="00340E4C" w:rsidRDefault="00783598"/>
    <w:p w:rsidR="00783598" w:rsidRPr="00340E4C" w:rsidRDefault="00783598">
      <w:pPr>
        <w:jc w:val="both"/>
      </w:pPr>
      <w:r w:rsidRPr="00340E4C">
        <w:t>V dlouhém období kopíruje růst reálné poptávky po penězích růst reálného produktu – ceteris paribus (například při konstantní rychlosti oběhu peněz).</w:t>
      </w:r>
    </w:p>
    <w:p w:rsidR="00783598" w:rsidRPr="00340E4C" w:rsidRDefault="00783598">
      <w:pPr>
        <w:jc w:val="both"/>
      </w:pPr>
      <w:r w:rsidRPr="00340E4C">
        <w:t>V krátkém období kolísá poptávka po penězích v důsledku změn úrokové míry.</w:t>
      </w:r>
    </w:p>
    <w:p w:rsidR="00783598" w:rsidRPr="00340E4C" w:rsidRDefault="00783598">
      <w:pPr>
        <w:jc w:val="both"/>
      </w:pPr>
    </w:p>
    <w:p w:rsidR="00783598" w:rsidRPr="00340E4C" w:rsidRDefault="00783598">
      <w:pPr>
        <w:jc w:val="both"/>
      </w:pPr>
      <w:r w:rsidRPr="00340E4C">
        <w:t>Opakem inflace je deflace.</w:t>
      </w:r>
    </w:p>
    <w:p w:rsidR="00783598" w:rsidRPr="00340E4C" w:rsidRDefault="00783598">
      <w:pPr>
        <w:jc w:val="both"/>
      </w:pPr>
      <w:r w:rsidRPr="00340E4C">
        <w:t>Inflace může mít různé stupně:</w:t>
      </w:r>
    </w:p>
    <w:p w:rsidR="00783598" w:rsidRPr="00340E4C" w:rsidRDefault="00783598" w:rsidP="001741A7">
      <w:pPr>
        <w:numPr>
          <w:ilvl w:val="0"/>
          <w:numId w:val="1"/>
        </w:numPr>
        <w:jc w:val="both"/>
      </w:pPr>
      <w:r w:rsidRPr="00340E4C">
        <w:t>mírná – v procentech jednociferná</w:t>
      </w:r>
    </w:p>
    <w:p w:rsidR="00783598" w:rsidRPr="00340E4C" w:rsidRDefault="00783598" w:rsidP="001741A7">
      <w:pPr>
        <w:numPr>
          <w:ilvl w:val="0"/>
          <w:numId w:val="1"/>
        </w:numPr>
        <w:jc w:val="both"/>
      </w:pPr>
      <w:r w:rsidRPr="00340E4C">
        <w:t>pádivá – lidé už se zbavují peněz – desítky procent a více</w:t>
      </w:r>
    </w:p>
    <w:p w:rsidR="00783598" w:rsidRPr="00340E4C" w:rsidRDefault="00783598" w:rsidP="001741A7">
      <w:pPr>
        <w:numPr>
          <w:ilvl w:val="0"/>
          <w:numId w:val="1"/>
        </w:numPr>
        <w:jc w:val="both"/>
      </w:pPr>
      <w:r w:rsidRPr="00340E4C">
        <w:t>hyperinflace – tisíce a více procent ročně. Oběživo ztrácí veškerou hodnotu.</w:t>
      </w:r>
    </w:p>
    <w:p w:rsidR="00783598" w:rsidRPr="00340E4C" w:rsidRDefault="00783598">
      <w:pPr>
        <w:jc w:val="both"/>
      </w:pPr>
    </w:p>
    <w:p w:rsidR="00783598" w:rsidRPr="00340E4C" w:rsidRDefault="00783598">
      <w:pPr>
        <w:jc w:val="both"/>
      </w:pPr>
      <w:r w:rsidRPr="00340E4C">
        <w:rPr>
          <w:b/>
          <w:bCs/>
        </w:rPr>
        <w:t>Inflační spirála</w:t>
      </w:r>
      <w:r w:rsidRPr="00340E4C">
        <w:t>: inflace se roztáčí znovu a znovu, pracovníci očekávají, že ceny porostou a vynucují si růst mezd („scala mobile“), ten vyvolává růst odbytových cen apod.</w:t>
      </w:r>
    </w:p>
    <w:p w:rsidR="00783598" w:rsidRPr="00340E4C" w:rsidRDefault="00783598">
      <w:pPr>
        <w:jc w:val="both"/>
      </w:pPr>
      <w:r w:rsidRPr="00340E4C">
        <w:rPr>
          <w:b/>
          <w:bCs/>
        </w:rPr>
        <w:t>Setrvačná inflace</w:t>
      </w:r>
      <w:r w:rsidRPr="00340E4C">
        <w:t>: inflace nemá vnitřní příčiny, ale udržuje se setrvačným očekáváním</w:t>
      </w:r>
    </w:p>
    <w:p w:rsidR="00783598" w:rsidRPr="00340E4C" w:rsidRDefault="00783598">
      <w:pPr>
        <w:pStyle w:val="Fuzeile"/>
        <w:tabs>
          <w:tab w:val="clear" w:pos="4536"/>
          <w:tab w:val="clear" w:pos="9072"/>
        </w:tabs>
      </w:pPr>
    </w:p>
    <w:p w:rsidR="00783598" w:rsidRPr="00340E4C" w:rsidRDefault="00783598">
      <w:pPr>
        <w:rPr>
          <w:b/>
        </w:rPr>
      </w:pPr>
      <w:r w:rsidRPr="00340E4C">
        <w:rPr>
          <w:b/>
        </w:rPr>
        <w:t>Historie</w:t>
      </w:r>
    </w:p>
    <w:p w:rsidR="00783598" w:rsidRPr="00340E4C" w:rsidRDefault="00783598">
      <w:pPr>
        <w:jc w:val="both"/>
      </w:pPr>
      <w:r w:rsidRPr="00340E4C">
        <w:t>Inflace je stejně stará jako peníze a často úplně rozruší měnovou soustavu země. Příklady:</w:t>
      </w:r>
    </w:p>
    <w:p w:rsidR="00783598" w:rsidRPr="00340E4C" w:rsidRDefault="00783598">
      <w:pPr>
        <w:jc w:val="both"/>
      </w:pPr>
      <w:r w:rsidRPr="00340E4C">
        <w:t>- „renovatio monetae“ středověkých panovníků, znehodnocování denárů i grošů (značky na groších pro znalce) a „měděné“ mince doby husitské</w:t>
      </w:r>
    </w:p>
    <w:p w:rsidR="00783598" w:rsidRPr="00340E4C" w:rsidRDefault="00783598">
      <w:pPr>
        <w:jc w:val="both"/>
      </w:pPr>
      <w:r w:rsidRPr="00340E4C">
        <w:t>- velká měnová loupež 1622-1623: Císař Ferdinand II.potřeboval na další vedení války rychle peníze, a tak pronajal mincovní práva včetně mincoven mincovnímu konsorciu. V konsorciu byli šlechtici (Valdštejn, opavský Karel z Lichtenštejna a další)</w:t>
      </w:r>
      <w:r w:rsidR="00DE7CBC">
        <w:t xml:space="preserve"> </w:t>
      </w:r>
      <w:r w:rsidRPr="00340E4C">
        <w:t xml:space="preserve">kardinál Ditrichštejn, židovský obchodník Jakub Bassevi a holandský kupec usedlý v Praze Jan de Vitte. Konsorcium zaplatilo 6 miliónů zlatých a vyrobilo jen v pražské mincovně 42 miliónů zlatých. Nekvalitní mince zaplavily trh tak, že konsorcium bylo donuceno činnost v létě 1623 ukončit a v prosinci 1623 byl vyhlášen státní mincovní úpadek -  „mincovní kaláda“. Platební síla inflačních mincí klesla na 6-16%.  </w:t>
      </w:r>
    </w:p>
    <w:p w:rsidR="00783598" w:rsidRPr="00340E4C" w:rsidRDefault="00783598">
      <w:pPr>
        <w:jc w:val="both"/>
      </w:pPr>
    </w:p>
    <w:p w:rsidR="00783598" w:rsidRPr="00340E4C" w:rsidRDefault="00783598">
      <w:pPr>
        <w:jc w:val="both"/>
      </w:pPr>
      <w:r w:rsidRPr="00340E4C">
        <w:t>Císařská komise zpětně vyčíslila škodu na 10 miliónů zlatých. Vyšetřování uvázlo na mrtvém bodě. V konsorciu byli nejvýznamnější činitelé své doby. Jen Jan de Vitte spáchal sebevraždu, ale to kvůli tomu, že mu Valdštejn nezaplatil dluhy a de Vitte se dostal sám do neřešitelných problémů. Spekulanti stačili během roku 1622 a 1623 výhodně skoupit konfiskované majetky, znehodnotit dluhy a nesmírně se obohatit.</w:t>
      </w:r>
    </w:p>
    <w:p w:rsidR="00783598" w:rsidRPr="00340E4C" w:rsidRDefault="00783598">
      <w:pPr>
        <w:jc w:val="both"/>
      </w:pPr>
      <w:r w:rsidRPr="00340E4C">
        <w:t>- státní bankrot 1811: během napoleonských válek neustále rostly náklady rakouského mocnářství na armádu. Po porážce Napoleonem ztratilo Rakousko podstatnou část území a navíc muselo zaplatit 75 miliónů zlatých válečnou náhradu. Hluboký schodek rozpočtu byl řešen dalším a dalším vydáváním měděných a papírových peněz. Koncem roku 1810 činilo oběživo 141 miliónů zlatých a v prvních měsících 1811 dosáhlo 1 miliardu zlatých. 20.</w:t>
      </w:r>
      <w:r w:rsidR="00DC7147">
        <w:t xml:space="preserve"> </w:t>
      </w:r>
      <w:r w:rsidRPr="00340E4C">
        <w:t>února 1811 byl vyhlášen státní bankrot a platidla ztratila 80% své hodnoty.</w:t>
      </w:r>
    </w:p>
    <w:p w:rsidR="00DC7147" w:rsidRDefault="00783598">
      <w:pPr>
        <w:jc w:val="both"/>
      </w:pPr>
      <w:r w:rsidRPr="00340E4C">
        <w:t>- 2.</w:t>
      </w:r>
      <w:r w:rsidR="00DC7147">
        <w:t xml:space="preserve"> </w:t>
      </w:r>
      <w:r w:rsidRPr="00340E4C">
        <w:t>světová válka přinesla obrovské znehodnocení oběživa. Měnovou reformou k 1.</w:t>
      </w:r>
      <w:r w:rsidR="00DC7147">
        <w:t xml:space="preserve"> </w:t>
      </w:r>
      <w:r w:rsidRPr="00340E4C">
        <w:t>11.</w:t>
      </w:r>
      <w:r w:rsidR="00DC7147">
        <w:t xml:space="preserve"> </w:t>
      </w:r>
      <w:r w:rsidRPr="00340E4C">
        <w:t xml:space="preserve">1945 byly staženy všechny staré papírové peníze. Směněny byly sice 1:1, ale hotově bylo vyplaceno jen 500,-Kč a zbytek zůstal na vázaných vkladech. </w:t>
      </w:r>
    </w:p>
    <w:p w:rsidR="00783598" w:rsidRPr="00340E4C" w:rsidRDefault="00783598">
      <w:pPr>
        <w:jc w:val="both"/>
      </w:pPr>
      <w:r w:rsidRPr="00340E4C">
        <w:t xml:space="preserve">Poválečná obnova probíhala pomaleji, než narůstal objem oběživa.    </w:t>
      </w:r>
    </w:p>
    <w:p w:rsidR="00783598" w:rsidRPr="00340E4C" w:rsidRDefault="00783598">
      <w:pPr>
        <w:jc w:val="both"/>
      </w:pPr>
    </w:p>
    <w:p w:rsidR="00783598" w:rsidRPr="00340E4C" w:rsidRDefault="00783598">
      <w:pPr>
        <w:jc w:val="both"/>
      </w:pPr>
      <w:r w:rsidRPr="00340E4C">
        <w:t>V neděli 31.</w:t>
      </w:r>
      <w:r w:rsidR="003276CC">
        <w:t xml:space="preserve"> </w:t>
      </w:r>
      <w:r w:rsidRPr="00340E4C">
        <w:t>5.</w:t>
      </w:r>
      <w:r w:rsidR="003276CC">
        <w:t xml:space="preserve"> </w:t>
      </w:r>
      <w:r w:rsidRPr="00340E4C">
        <w:t>1953 přišla peněžní reforma. Mzdy, důchody a ceny byly stanoveny na 1/5. Hotovost byla směněna takto:</w:t>
      </w:r>
    </w:p>
    <w:p w:rsidR="00783598" w:rsidRPr="00340E4C" w:rsidRDefault="00783598">
      <w:pPr>
        <w:jc w:val="both"/>
      </w:pPr>
      <w:r w:rsidRPr="00340E4C">
        <w:tab/>
      </w:r>
      <w:r w:rsidRPr="00340E4C">
        <w:tab/>
        <w:t>- do 300 korun na 1/5 (ovšem jen námezdně pracující)</w:t>
      </w:r>
    </w:p>
    <w:p w:rsidR="00783598" w:rsidRPr="00340E4C" w:rsidRDefault="00783598">
      <w:pPr>
        <w:jc w:val="both"/>
      </w:pPr>
      <w:r w:rsidRPr="00340E4C">
        <w:tab/>
      </w:r>
      <w:r w:rsidRPr="00340E4C">
        <w:tab/>
        <w:t xml:space="preserve">- nad 300 korun na 1/50.   </w:t>
      </w:r>
    </w:p>
    <w:p w:rsidR="00783598" w:rsidRPr="00340E4C" w:rsidRDefault="00783598">
      <w:pPr>
        <w:jc w:val="both"/>
      </w:pPr>
      <w:r w:rsidRPr="00340E4C">
        <w:t>Platnost starých peněz skončila 4.</w:t>
      </w:r>
      <w:r w:rsidR="003276CC">
        <w:t xml:space="preserve"> </w:t>
      </w:r>
      <w:r w:rsidRPr="00340E4C">
        <w:t>6.</w:t>
      </w:r>
      <w:r w:rsidR="003276CC">
        <w:t xml:space="preserve"> </w:t>
      </w:r>
      <w:r w:rsidRPr="00340E4C">
        <w:t>1953. Tak bylo z oběhu staženo 35 mld Kčs. Vázané vklady ve výši 80 mld Kčs byly zrušeny bez náhrady. Ostatní vklady byly přepočteny podle výše a podle toho, komu patřily v poměru 1/5 – 1/50. Tato reforma zasáhla všechny vrstvy obyvatelstva podstatně bolestněji než bankrot 1623 nebo 1811.</w:t>
      </w:r>
    </w:p>
    <w:p w:rsidR="00783598" w:rsidRPr="00340E4C" w:rsidRDefault="00783598" w:rsidP="00636A7A">
      <w:pPr>
        <w:pStyle w:val="berschrift2"/>
      </w:pPr>
      <w:r w:rsidRPr="00340E4C">
        <w:t>Formy a měření inflace</w:t>
      </w:r>
    </w:p>
    <w:p w:rsidR="00783598" w:rsidRDefault="00DC7147">
      <w:r w:rsidRPr="00340E4C">
        <w:t>Inflace je jedním z nejvíce diskutovaných makroekonomických jevů. Je to proto, že v tržní ekonomice se ceny vyjadřují penězi a vypovídací schopnost cen je pro dosahování rovnováhy klíčová. Je-li zpochybněn nástroj, v němý se ceny vyjadřují, je zpochybněna i sama úloha ceny.</w:t>
      </w:r>
    </w:p>
    <w:p w:rsidR="00DC7147" w:rsidRPr="00340E4C" w:rsidRDefault="00DC7147"/>
    <w:p w:rsidR="00783598" w:rsidRPr="00340E4C" w:rsidRDefault="00783598">
      <w:r w:rsidRPr="00340E4C">
        <w:t>- Poptávková – vyvolaná poptávkou</w:t>
      </w:r>
    </w:p>
    <w:p w:rsidR="00783598" w:rsidRPr="00340E4C" w:rsidRDefault="00783598">
      <w:r w:rsidRPr="00340E4C">
        <w:t>- setrvačná – plynoucí z očekávání</w:t>
      </w:r>
    </w:p>
    <w:p w:rsidR="00783598" w:rsidRPr="00340E4C" w:rsidRDefault="00783598">
      <w:r w:rsidRPr="00340E4C">
        <w:t>- nákladová (nabídková) – vyvolaná nabídkou</w:t>
      </w:r>
    </w:p>
    <w:p w:rsidR="00783598" w:rsidRPr="00340E4C" w:rsidRDefault="00783598"/>
    <w:p w:rsidR="00783598" w:rsidRPr="00340E4C" w:rsidRDefault="00783598">
      <w:r w:rsidRPr="00340E4C">
        <w:t xml:space="preserve">Vztah reálné a nominální úrokové míry udává </w:t>
      </w:r>
      <w:r w:rsidRPr="00340E4C">
        <w:rPr>
          <w:b/>
        </w:rPr>
        <w:t>Fisherova rovnice</w:t>
      </w:r>
      <w:r w:rsidRPr="00340E4C">
        <w:t>:</w:t>
      </w:r>
    </w:p>
    <w:p w:rsidR="00783598" w:rsidRPr="00340E4C" w:rsidRDefault="00783598">
      <w:r w:rsidRPr="00340E4C">
        <w:rPr>
          <w:position w:val="-28"/>
        </w:rPr>
        <w:object w:dxaOrig="1100" w:dyaOrig="520">
          <v:shape id="_x0000_i1069" type="#_x0000_t75" style="width:54.75pt;height:24.75pt" o:ole="">
            <v:imagedata r:id="rId133" o:title=""/>
          </v:shape>
          <o:OLEObject Type="Embed" ProgID="Equation.3" ShapeID="_x0000_i1069" DrawAspect="Content" ObjectID="_1674728815" r:id="rId134"/>
        </w:object>
      </w:r>
    </w:p>
    <w:p w:rsidR="00783598" w:rsidRPr="00340E4C" w:rsidRDefault="00783598">
      <w:r w:rsidRPr="00340E4C">
        <w:t>r</w:t>
      </w:r>
      <w:r w:rsidRPr="00340E4C">
        <w:rPr>
          <w:vertAlign w:val="subscript"/>
        </w:rPr>
        <w:t>N</w:t>
      </w:r>
      <w:r w:rsidRPr="00340E4C">
        <w:t xml:space="preserve"> = nominální úroková míra </w:t>
      </w:r>
    </w:p>
    <w:p w:rsidR="00783598" w:rsidRPr="00340E4C" w:rsidRDefault="00783598">
      <w:r w:rsidRPr="00340E4C">
        <w:t>r = reálná úroková míra</w:t>
      </w:r>
    </w:p>
    <w:p w:rsidR="00783598" w:rsidRPr="00340E4C" w:rsidRDefault="00783598">
      <w:r w:rsidRPr="00340E4C">
        <w:rPr>
          <w:position w:val="-12"/>
        </w:rPr>
        <w:object w:dxaOrig="560" w:dyaOrig="360">
          <v:shape id="_x0000_i1070" type="#_x0000_t75" style="width:27.75pt;height:18.75pt" o:ole="">
            <v:imagedata r:id="rId135" o:title=""/>
          </v:shape>
          <o:OLEObject Type="Embed" ProgID="Equation.3" ShapeID="_x0000_i1070" DrawAspect="Content" ObjectID="_1674728816" r:id="rId136"/>
        </w:object>
      </w:r>
      <w:r w:rsidRPr="00340E4C">
        <w:t xml:space="preserve"> očekávaná míra inflace</w:t>
      </w:r>
      <w:r w:rsidRPr="00340E4C">
        <w:rPr>
          <w:position w:val="-10"/>
        </w:rPr>
        <w:object w:dxaOrig="180" w:dyaOrig="340">
          <v:shape id="_x0000_i1071" type="#_x0000_t75" style="width:9.75pt;height:18.75pt" o:ole="">
            <v:imagedata r:id="rId83" o:title=""/>
          </v:shape>
          <o:OLEObject Type="Embed" ProgID="Equation.3" ShapeID="_x0000_i1071" DrawAspect="Content" ObjectID="_1674728817" r:id="rId137"/>
        </w:object>
      </w:r>
      <w:r w:rsidRPr="00340E4C">
        <w:rPr>
          <w:position w:val="-10"/>
        </w:rPr>
        <w:object w:dxaOrig="180" w:dyaOrig="340">
          <v:shape id="_x0000_i1072" type="#_x0000_t75" style="width:9.75pt;height:18.75pt" o:ole="">
            <v:imagedata r:id="rId83" o:title=""/>
          </v:shape>
          <o:OLEObject Type="Embed" ProgID="Equation.3" ShapeID="_x0000_i1072" DrawAspect="Content" ObjectID="_1674728818" r:id="rId138"/>
        </w:object>
      </w:r>
    </w:p>
    <w:p w:rsidR="00783598" w:rsidRPr="00340E4C" w:rsidRDefault="00783598">
      <w:pPr>
        <w:rPr>
          <w:color w:val="FF0000"/>
        </w:rPr>
      </w:pPr>
    </w:p>
    <w:p w:rsidR="005B783A" w:rsidRPr="00340E4C" w:rsidRDefault="005B783A">
      <w:pPr>
        <w:rPr>
          <w:u w:val="single"/>
        </w:rPr>
      </w:pPr>
      <w:r w:rsidRPr="00340E4C">
        <w:rPr>
          <w:u w:val="single"/>
        </w:rPr>
        <w:t>Měření inflace:</w:t>
      </w:r>
    </w:p>
    <w:p w:rsidR="005B783A" w:rsidRPr="00340E4C" w:rsidRDefault="005B783A" w:rsidP="001741A7">
      <w:pPr>
        <w:numPr>
          <w:ilvl w:val="0"/>
          <w:numId w:val="1"/>
        </w:numPr>
      </w:pPr>
      <w:r w:rsidRPr="00340E4C">
        <w:t>Deflátorem HDP</w:t>
      </w:r>
      <w:r w:rsidR="00995B5C" w:rsidRPr="00340E4C">
        <w:t xml:space="preserve"> (zahrnuje změnu cen všech statků, ne jen spotřebních)</w:t>
      </w:r>
    </w:p>
    <w:p w:rsidR="005B783A" w:rsidRPr="00340E4C" w:rsidRDefault="005B783A" w:rsidP="001741A7">
      <w:pPr>
        <w:numPr>
          <w:ilvl w:val="0"/>
          <w:numId w:val="1"/>
        </w:numPr>
      </w:pPr>
      <w:r w:rsidRPr="00340E4C">
        <w:t>Indexem spotřebních cen nebo</w:t>
      </w:r>
    </w:p>
    <w:p w:rsidR="005B783A" w:rsidRPr="00340E4C" w:rsidRDefault="005B783A" w:rsidP="001741A7">
      <w:pPr>
        <w:numPr>
          <w:ilvl w:val="0"/>
          <w:numId w:val="1"/>
        </w:numPr>
      </w:pPr>
      <w:r w:rsidRPr="00340E4C">
        <w:t>Indexem výrobních cen</w:t>
      </w:r>
    </w:p>
    <w:p w:rsidR="00995B5C" w:rsidRPr="00340E4C" w:rsidRDefault="00995B5C" w:rsidP="00995B5C"/>
    <w:p w:rsidR="005B783A" w:rsidRPr="00340E4C" w:rsidRDefault="0033114D" w:rsidP="00995B5C">
      <w:pPr>
        <w:shd w:val="clear" w:color="auto" w:fill="F9FCFF"/>
        <w:spacing w:before="100" w:beforeAutospacing="1" w:after="100" w:afterAutospacing="1"/>
        <w:rPr>
          <w:color w:val="FF0000"/>
        </w:rPr>
      </w:pPr>
      <w:r w:rsidRPr="00340E4C">
        <w:rPr>
          <w:rFonts w:eastAsia="Times New Roman"/>
          <w:noProof/>
          <w:lang w:val="de-DE" w:eastAsia="de-DE"/>
        </w:rPr>
        <w:drawing>
          <wp:inline distT="0" distB="0" distL="0" distR="0" wp14:anchorId="446A5ADB" wp14:editId="3F2C50F6">
            <wp:extent cx="2924175" cy="447675"/>
            <wp:effectExtent l="0" t="0" r="9525" b="9525"/>
            <wp:docPr id="164" name="obrázek 164" descr="defl\acute{a}tor HDP = \frac{HDP \cdot P_t}{HDP \cdot P_0} \cdot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efl\acute{a}tor HDP = \frac{HDP \cdot P_t}{HDP \cdot P_0} \cdot 1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924175" cy="447675"/>
                    </a:xfrm>
                    <a:prstGeom prst="rect">
                      <a:avLst/>
                    </a:prstGeom>
                    <a:noFill/>
                    <a:ln>
                      <a:noFill/>
                    </a:ln>
                  </pic:spPr>
                </pic:pic>
              </a:graphicData>
            </a:graphic>
          </wp:inline>
        </w:drawing>
      </w:r>
    </w:p>
    <w:p w:rsidR="00783598" w:rsidRPr="00340E4C" w:rsidRDefault="00783598" w:rsidP="00636A7A">
      <w:pPr>
        <w:pStyle w:val="berschrift3"/>
      </w:pPr>
      <w:r w:rsidRPr="00340E4C">
        <w:t>Důsledky inflace</w:t>
      </w:r>
    </w:p>
    <w:p w:rsidR="00783598" w:rsidRPr="00340E4C" w:rsidRDefault="00783598" w:rsidP="001741A7">
      <w:pPr>
        <w:numPr>
          <w:ilvl w:val="0"/>
          <w:numId w:val="1"/>
        </w:numPr>
        <w:jc w:val="both"/>
      </w:pPr>
      <w:r w:rsidRPr="00340E4C">
        <w:rPr>
          <w:b/>
          <w:bCs/>
        </w:rPr>
        <w:t>alokační účinek</w:t>
      </w:r>
      <w:r w:rsidRPr="00340E4C">
        <w:t>: jiné relace a úrovně cen znamenají změnu signálů pro nabídku a poptávku – to vede k neefektivnímu přesunu výrobních faktorů mezi odvětvími,</w:t>
      </w:r>
    </w:p>
    <w:p w:rsidR="00783598" w:rsidRPr="00340E4C" w:rsidRDefault="00783598" w:rsidP="001741A7">
      <w:pPr>
        <w:numPr>
          <w:ilvl w:val="0"/>
          <w:numId w:val="1"/>
        </w:numPr>
        <w:jc w:val="both"/>
      </w:pPr>
      <w:r w:rsidRPr="00340E4C">
        <w:rPr>
          <w:b/>
          <w:bCs/>
        </w:rPr>
        <w:t>dlouhodobá inflace</w:t>
      </w:r>
      <w:r w:rsidRPr="00340E4C">
        <w:t>, byť i malá vyvolává inflační očekávání a inflační očekávání vyvolává další inflaci. Následuje útěk k věcným hodnotám. Přesun od finančních k věcným hodnotám vede k růstu transakčních nákladů. Prodávat domy vyžaduje větší transakční náklady než obchodování s akciemi.</w:t>
      </w:r>
    </w:p>
    <w:p w:rsidR="00783598" w:rsidRPr="00340E4C" w:rsidRDefault="00783598" w:rsidP="001741A7">
      <w:pPr>
        <w:numPr>
          <w:ilvl w:val="0"/>
          <w:numId w:val="1"/>
        </w:numPr>
        <w:jc w:val="both"/>
      </w:pPr>
      <w:r w:rsidRPr="00340E4C">
        <w:rPr>
          <w:b/>
          <w:bCs/>
        </w:rPr>
        <w:t xml:space="preserve">distribuční účinek: </w:t>
      </w:r>
    </w:p>
    <w:p w:rsidR="00783598" w:rsidRPr="00340E4C" w:rsidRDefault="00783598" w:rsidP="001741A7">
      <w:pPr>
        <w:numPr>
          <w:ilvl w:val="2"/>
          <w:numId w:val="1"/>
        </w:numPr>
        <w:jc w:val="both"/>
      </w:pPr>
      <w:r w:rsidRPr="00340E4C">
        <w:t>dluhy jsou znehodnocovány</w:t>
      </w:r>
    </w:p>
    <w:p w:rsidR="00783598" w:rsidRPr="00340E4C" w:rsidRDefault="00783598" w:rsidP="001741A7">
      <w:pPr>
        <w:numPr>
          <w:ilvl w:val="2"/>
          <w:numId w:val="1"/>
        </w:numPr>
        <w:jc w:val="both"/>
      </w:pPr>
      <w:r w:rsidRPr="00340E4C">
        <w:t>pokles reálné míry mezd, pokud jsou tarifní smlouvy dlouhodobé. Pokud mzdy stoupají neustále s inflací, vede to k vzestupu inflace</w:t>
      </w:r>
    </w:p>
    <w:p w:rsidR="00783598" w:rsidRPr="00340E4C" w:rsidRDefault="00783598" w:rsidP="001741A7">
      <w:pPr>
        <w:numPr>
          <w:ilvl w:val="2"/>
          <w:numId w:val="1"/>
        </w:numPr>
        <w:jc w:val="both"/>
      </w:pPr>
      <w:r w:rsidRPr="00340E4C">
        <w:t>fixní platby (důchody, platy ve veřejné sféře) se přizpůsobují realitě opožděně</w:t>
      </w:r>
    </w:p>
    <w:p w:rsidR="00783598" w:rsidRPr="00340E4C" w:rsidRDefault="00783598" w:rsidP="001741A7">
      <w:pPr>
        <w:numPr>
          <w:ilvl w:val="2"/>
          <w:numId w:val="1"/>
        </w:numPr>
        <w:jc w:val="both"/>
      </w:pPr>
      <w:r w:rsidRPr="00340E4C">
        <w:lastRenderedPageBreak/>
        <w:t>při progresivní daňové sazbě narůstá podíl daní na GDP</w:t>
      </w:r>
    </w:p>
    <w:p w:rsidR="00783598" w:rsidRPr="00340E4C" w:rsidRDefault="00783598" w:rsidP="001741A7">
      <w:pPr>
        <w:numPr>
          <w:ilvl w:val="0"/>
          <w:numId w:val="1"/>
        </w:numPr>
        <w:jc w:val="both"/>
        <w:rPr>
          <w:b/>
          <w:bCs/>
        </w:rPr>
      </w:pPr>
      <w:r w:rsidRPr="00340E4C">
        <w:rPr>
          <w:b/>
          <w:bCs/>
        </w:rPr>
        <w:t>účinek na růst a zaměstnanost:</w:t>
      </w:r>
    </w:p>
    <w:p w:rsidR="00783598" w:rsidRPr="00340E4C" w:rsidRDefault="00783598" w:rsidP="001741A7">
      <w:pPr>
        <w:numPr>
          <w:ilvl w:val="2"/>
          <w:numId w:val="1"/>
        </w:numPr>
        <w:jc w:val="both"/>
      </w:pPr>
      <w:r w:rsidRPr="00340E4C">
        <w:t>růst zisku v důsledku růstu investic je krátkodobý</w:t>
      </w:r>
    </w:p>
    <w:p w:rsidR="00783598" w:rsidRPr="00340E4C" w:rsidRDefault="00783598" w:rsidP="001741A7">
      <w:pPr>
        <w:numPr>
          <w:ilvl w:val="2"/>
          <w:numId w:val="1"/>
        </w:numPr>
        <w:jc w:val="both"/>
      </w:pPr>
      <w:r w:rsidRPr="00340E4C">
        <w:t>pokles reálné úrokové míry v důsledku inflace vede k růstu inflace</w:t>
      </w:r>
    </w:p>
    <w:p w:rsidR="00783598" w:rsidRPr="00340E4C" w:rsidRDefault="00783598" w:rsidP="001741A7">
      <w:pPr>
        <w:numPr>
          <w:ilvl w:val="2"/>
          <w:numId w:val="1"/>
        </w:numPr>
        <w:jc w:val="both"/>
      </w:pPr>
      <w:r w:rsidRPr="00340E4C">
        <w:t>poptávka po věcném zboží vyvolává růst (lidé raději spotřebovávají, než aby pozorovali, jak klesá reálná hodnota jejich hotovosti)</w:t>
      </w:r>
    </w:p>
    <w:p w:rsidR="00783598" w:rsidRPr="00340E4C" w:rsidRDefault="00783598" w:rsidP="001741A7">
      <w:pPr>
        <w:numPr>
          <w:ilvl w:val="2"/>
          <w:numId w:val="1"/>
        </w:numPr>
        <w:jc w:val="both"/>
      </w:pPr>
      <w:r w:rsidRPr="00340E4C">
        <w:t>růst cenové úrovně vede k poklesu konkurenční schopnosti vůči zahraničí – to má negativní vliv na platební bilanci a zahraniční obchod</w:t>
      </w:r>
    </w:p>
    <w:p w:rsidR="00783598" w:rsidRPr="00340E4C" w:rsidRDefault="00783598" w:rsidP="00636A7A">
      <w:pPr>
        <w:pStyle w:val="berschrift3"/>
      </w:pPr>
      <w:r w:rsidRPr="00340E4C">
        <w:t>Jak hodnotí jednotlivé ekonomické školy dopad inflace:</w:t>
      </w:r>
    </w:p>
    <w:p w:rsidR="00783598" w:rsidRPr="00340E4C" w:rsidRDefault="00783598" w:rsidP="001741A7">
      <w:pPr>
        <w:numPr>
          <w:ilvl w:val="0"/>
          <w:numId w:val="1"/>
        </w:numPr>
        <w:jc w:val="both"/>
      </w:pPr>
      <w:r w:rsidRPr="00340E4C">
        <w:rPr>
          <w:b/>
          <w:bCs/>
        </w:rPr>
        <w:t>jednoduchá kvantitativní teorie</w:t>
      </w:r>
      <w:r w:rsidRPr="00340E4C">
        <w:t>: - cenová úroveň je dána striktně množstvím peněz v oběhu (M2). Vzroste-li cena jedněch výrobků, vyvolá to při stejném objemu oběživa pouze pokles cen jiných výrobků. Pokud tedy roste celková cenová hladina, příčinou je nadproporcionální růst peněz v oběhu.</w:t>
      </w:r>
    </w:p>
    <w:p w:rsidR="00783598" w:rsidRPr="00340E4C" w:rsidRDefault="00783598" w:rsidP="001741A7">
      <w:pPr>
        <w:numPr>
          <w:ilvl w:val="0"/>
          <w:numId w:val="1"/>
        </w:numPr>
      </w:pPr>
      <w:r w:rsidRPr="00340E4C">
        <w:rPr>
          <w:b/>
          <w:bCs/>
        </w:rPr>
        <w:t>klasická Friedmanova škola</w:t>
      </w:r>
      <w:r w:rsidRPr="00340E4C">
        <w:t xml:space="preserve"> – krátkodobě působí inflace prorůstově a podporuje růst zaměstnanosti. Dlouhodobě se tento efekt ztrácí.</w:t>
      </w:r>
    </w:p>
    <w:p w:rsidR="00783598" w:rsidRPr="00340E4C" w:rsidRDefault="00783598" w:rsidP="001741A7">
      <w:pPr>
        <w:numPr>
          <w:ilvl w:val="0"/>
          <w:numId w:val="1"/>
        </w:numPr>
        <w:jc w:val="both"/>
      </w:pPr>
      <w:r w:rsidRPr="00340E4C">
        <w:rPr>
          <w:b/>
          <w:bCs/>
        </w:rPr>
        <w:t xml:space="preserve">Monetarismus – </w:t>
      </w:r>
      <w:r w:rsidRPr="00340E4C">
        <w:t>nabídka peněz je hlavním určujícím faktorem krátkodobých pohybů nominálního GDP. Z tohoto tvrzení se odvozují tři zásady monetarismu:</w:t>
      </w:r>
    </w:p>
    <w:p w:rsidR="00783598" w:rsidRPr="00340E4C" w:rsidRDefault="00783598" w:rsidP="001741A7">
      <w:pPr>
        <w:numPr>
          <w:ilvl w:val="2"/>
          <w:numId w:val="1"/>
        </w:numPr>
        <w:jc w:val="both"/>
      </w:pPr>
      <w:r w:rsidRPr="00340E4C">
        <w:t>laissez-faire (nechte věci jít svou cestou)  - preference trhu před státem</w:t>
      </w:r>
    </w:p>
    <w:p w:rsidR="00783598" w:rsidRPr="00340E4C" w:rsidRDefault="00783598" w:rsidP="001741A7">
      <w:pPr>
        <w:numPr>
          <w:ilvl w:val="2"/>
          <w:numId w:val="1"/>
        </w:numPr>
        <w:jc w:val="both"/>
      </w:pPr>
      <w:r w:rsidRPr="00340E4C">
        <w:t>důraz se klade na potlačování inflace, protože peněžními nástroje není možné nezaměstnanost vyřešit</w:t>
      </w:r>
    </w:p>
    <w:p w:rsidR="00783598" w:rsidRPr="00340E4C" w:rsidRDefault="00783598" w:rsidP="001741A7">
      <w:pPr>
        <w:numPr>
          <w:ilvl w:val="2"/>
          <w:numId w:val="1"/>
        </w:numPr>
        <w:jc w:val="both"/>
      </w:pPr>
      <w:r w:rsidRPr="00340E4C">
        <w:t>preference pravidel chování před aktivními zásahy státu</w:t>
      </w:r>
    </w:p>
    <w:p w:rsidR="00783598" w:rsidRPr="00340E4C" w:rsidRDefault="00783598" w:rsidP="001741A7">
      <w:pPr>
        <w:numPr>
          <w:ilvl w:val="0"/>
          <w:numId w:val="1"/>
        </w:numPr>
        <w:jc w:val="both"/>
      </w:pPr>
      <w:r w:rsidRPr="00340E4C">
        <w:rPr>
          <w:b/>
          <w:bCs/>
        </w:rPr>
        <w:t>„Škola racionálních očekávání“</w:t>
      </w:r>
      <w:r w:rsidRPr="00340E4C">
        <w:t xml:space="preserve"> – tvrdí, že se nedostaví ani krátkodobý efekt, protože subjekty nepodléhají iluzím a alokují racionálně. Reagují i na změnu hospodářské politiky a předjímají její důsledky. Nakonec udělají pro stát jenom tolik, kolik se všeobecně považuje za nezbytné. Celkovým výsledkem jsou jenom ztráty z informačního zmatku a náklady administrativy a kontroly.</w:t>
      </w:r>
    </w:p>
    <w:p w:rsidR="00783598" w:rsidRPr="00340E4C" w:rsidRDefault="00783598" w:rsidP="001741A7">
      <w:pPr>
        <w:numPr>
          <w:ilvl w:val="0"/>
          <w:numId w:val="1"/>
        </w:numPr>
        <w:jc w:val="both"/>
      </w:pPr>
      <w:r w:rsidRPr="00340E4C">
        <w:rPr>
          <w:b/>
          <w:bCs/>
        </w:rPr>
        <w:t>Monetární objasnění keynesiánské teorie</w:t>
      </w:r>
      <w:r w:rsidRPr="00340E4C">
        <w:t>: růst oběživa způsobí pokles úrokových měr – to povzbudí investování – to zvýší důchody a důchodový multiplikátor zvýší násobně poptávku. Jestliže ve výchozí situaci neexistuje přebytek výrobního faktoru práce, vzniká inflace, protože výroba nemůže v krátkém období dohnat růst nabídky peněz.</w:t>
      </w:r>
      <w:r w:rsidR="000F5DEB">
        <w:t xml:space="preserve"> </w:t>
      </w:r>
    </w:p>
    <w:p w:rsidR="00783598" w:rsidRPr="00340E4C" w:rsidRDefault="00783598">
      <w:pPr>
        <w:rPr>
          <w:color w:val="FF0000"/>
        </w:rPr>
      </w:pPr>
    </w:p>
    <w:p w:rsidR="00783598" w:rsidRDefault="00783598" w:rsidP="00636A7A">
      <w:pPr>
        <w:pStyle w:val="berschrift2"/>
      </w:pPr>
      <w:r w:rsidRPr="00340E4C">
        <w:t>Příčiny inflace</w:t>
      </w:r>
    </w:p>
    <w:p w:rsidR="003276CC" w:rsidRDefault="003276CC" w:rsidP="003276CC"/>
    <w:p w:rsidR="003276CC" w:rsidRPr="003276CC" w:rsidRDefault="003276CC" w:rsidP="003276CC">
      <w:pPr>
        <w:jc w:val="both"/>
      </w:pPr>
      <w:r w:rsidRPr="003276CC">
        <w:t>V poslední době se ekonomové shodují, že inflace může ve skutečnosti mít pouze tři příčiny:</w:t>
      </w:r>
    </w:p>
    <w:p w:rsidR="003276CC" w:rsidRPr="003276CC" w:rsidRDefault="003276CC" w:rsidP="003276CC">
      <w:pPr>
        <w:pStyle w:val="Listenabsatz"/>
        <w:numPr>
          <w:ilvl w:val="0"/>
          <w:numId w:val="3"/>
        </w:numPr>
        <w:spacing w:line="240" w:lineRule="auto"/>
        <w:jc w:val="both"/>
        <w:rPr>
          <w:rFonts w:ascii="Times New Roman" w:hAnsi="Times New Roman"/>
          <w:sz w:val="24"/>
          <w:szCs w:val="24"/>
          <w:lang w:val="cs-CZ"/>
        </w:rPr>
      </w:pPr>
      <w:r w:rsidRPr="003276CC">
        <w:rPr>
          <w:rFonts w:ascii="Times New Roman" w:hAnsi="Times New Roman"/>
          <w:sz w:val="24"/>
          <w:szCs w:val="24"/>
          <w:lang w:val="cs-CZ"/>
        </w:rPr>
        <w:t>někdo emituje příliš mnoho peněz</w:t>
      </w:r>
      <w:r>
        <w:rPr>
          <w:rFonts w:ascii="Times New Roman" w:hAnsi="Times New Roman"/>
          <w:sz w:val="24"/>
          <w:szCs w:val="24"/>
          <w:lang w:val="cs-CZ"/>
        </w:rPr>
        <w:t xml:space="preserve"> (oligopolní struktury, stát, banky …)</w:t>
      </w:r>
    </w:p>
    <w:p w:rsidR="003276CC" w:rsidRDefault="003276CC" w:rsidP="003276CC">
      <w:pPr>
        <w:pStyle w:val="Listenabsatz"/>
        <w:numPr>
          <w:ilvl w:val="0"/>
          <w:numId w:val="3"/>
        </w:numPr>
        <w:spacing w:line="240" w:lineRule="auto"/>
        <w:jc w:val="both"/>
        <w:rPr>
          <w:rFonts w:ascii="Times New Roman" w:hAnsi="Times New Roman"/>
          <w:sz w:val="24"/>
          <w:szCs w:val="24"/>
          <w:lang w:val="cs-CZ"/>
        </w:rPr>
      </w:pPr>
      <w:r w:rsidRPr="003276CC">
        <w:rPr>
          <w:rFonts w:ascii="Times New Roman" w:hAnsi="Times New Roman"/>
          <w:sz w:val="24"/>
          <w:szCs w:val="24"/>
          <w:lang w:val="cs-CZ"/>
        </w:rPr>
        <w:t>infla</w:t>
      </w:r>
      <w:r>
        <w:rPr>
          <w:rFonts w:ascii="Times New Roman" w:hAnsi="Times New Roman"/>
          <w:sz w:val="24"/>
          <w:szCs w:val="24"/>
          <w:lang w:val="cs-CZ"/>
        </w:rPr>
        <w:t>č</w:t>
      </w:r>
      <w:r w:rsidRPr="003276CC">
        <w:rPr>
          <w:rFonts w:ascii="Times New Roman" w:hAnsi="Times New Roman"/>
          <w:sz w:val="24"/>
          <w:szCs w:val="24"/>
          <w:lang w:val="cs-CZ"/>
        </w:rPr>
        <w:t>ní šok přichází z vnějšího prostředí</w:t>
      </w:r>
      <w:r>
        <w:rPr>
          <w:rFonts w:ascii="Times New Roman" w:hAnsi="Times New Roman"/>
          <w:sz w:val="24"/>
          <w:szCs w:val="24"/>
          <w:lang w:val="cs-CZ"/>
        </w:rPr>
        <w:t xml:space="preserve"> (například zdražením vstupů)</w:t>
      </w:r>
    </w:p>
    <w:p w:rsidR="003276CC" w:rsidRDefault="003276CC" w:rsidP="003276CC">
      <w:pPr>
        <w:pStyle w:val="Listenabsatz"/>
        <w:numPr>
          <w:ilvl w:val="0"/>
          <w:numId w:val="3"/>
        </w:numPr>
        <w:spacing w:line="240" w:lineRule="auto"/>
        <w:jc w:val="both"/>
        <w:rPr>
          <w:rFonts w:ascii="Times New Roman" w:hAnsi="Times New Roman"/>
          <w:sz w:val="24"/>
          <w:szCs w:val="24"/>
          <w:lang w:val="cs-CZ"/>
        </w:rPr>
      </w:pPr>
      <w:r>
        <w:rPr>
          <w:rFonts w:ascii="Times New Roman" w:hAnsi="Times New Roman"/>
          <w:sz w:val="24"/>
          <w:szCs w:val="24"/>
          <w:lang w:val="cs-CZ"/>
        </w:rPr>
        <w:t>příliš nízká nezaměstnanost.</w:t>
      </w:r>
    </w:p>
    <w:p w:rsidR="003276CC" w:rsidRPr="003276CC" w:rsidRDefault="003276CC" w:rsidP="003276CC">
      <w:pPr>
        <w:jc w:val="both"/>
      </w:pPr>
      <w:r>
        <w:t>V dalším si všimneme blíže diskuse nad příčinami inflace.</w:t>
      </w:r>
    </w:p>
    <w:p w:rsidR="00783598" w:rsidRPr="003276CC" w:rsidRDefault="00783598" w:rsidP="00636A7A">
      <w:pPr>
        <w:pStyle w:val="berschrift3"/>
      </w:pPr>
      <w:r w:rsidRPr="003276CC">
        <w:t xml:space="preserve">Inflační očekávání: </w:t>
      </w:r>
    </w:p>
    <w:p w:rsidR="00783598" w:rsidRPr="00340E4C" w:rsidRDefault="00783598">
      <w:pPr>
        <w:jc w:val="both"/>
      </w:pPr>
    </w:p>
    <w:p w:rsidR="00783598" w:rsidRPr="00340E4C" w:rsidRDefault="00783598">
      <w:pPr>
        <w:jc w:val="both"/>
      </w:pPr>
      <w:r w:rsidRPr="00340E4C">
        <w:t xml:space="preserve">Trh funguje mimo jiné také proto, že subjekty předpokládají, že bude fungovat a mají představu o tom, jak bude fungovat. Rozhodující subjekt, zodpovědný za emisi, centrální banka, snižuje hypotetičnost budoucnosti tím, že stanovuje, jakou inflaci očekává. </w:t>
      </w:r>
    </w:p>
    <w:p w:rsidR="00783598" w:rsidRPr="00340E4C" w:rsidRDefault="00783598">
      <w:pPr>
        <w:jc w:val="both"/>
      </w:pPr>
      <w:r w:rsidRPr="00340E4C">
        <w:lastRenderedPageBreak/>
        <w:t xml:space="preserve">Subjekty promítnou tento výhled do svých operací. Odečtou od nominální úrokové míry inflaci, získají reálnou úrokovou míru a podle její výše jsou ochotni spořit, kupovat nebo emitovat dluhopisy nebo investovat. </w:t>
      </w:r>
    </w:p>
    <w:p w:rsidR="00783598" w:rsidRPr="00340E4C" w:rsidRDefault="00783598">
      <w:pPr>
        <w:jc w:val="both"/>
      </w:pPr>
    </w:p>
    <w:p w:rsidR="00783598" w:rsidRPr="00340E4C" w:rsidRDefault="00783598">
      <w:pPr>
        <w:jc w:val="both"/>
      </w:pPr>
      <w:r w:rsidRPr="00340E4C">
        <w:t xml:space="preserve">Centrální banka není všemocná, ani vševědoucí. Může sice měnit objem oběživa, ale na inflaci působí konjunkturní cyklus, vládní operace a vnější prostředí. Trvá vždy nějakou dobu, než trh na objem emise zareaguje a centrální banka nemůže také postupovat bez ohledu na jiné veličiny, než je inflace (například inflace, pokles hodnoty domácí měny má krátkodobý kladný účinek na zahraniční obchod, zohlednit plně státní deficit poklesem oběživa může přiškrtit hospodářský růst apod.).  </w:t>
      </w:r>
    </w:p>
    <w:p w:rsidR="00783598" w:rsidRPr="00340E4C" w:rsidRDefault="00783598">
      <w:pPr>
        <w:jc w:val="both"/>
      </w:pPr>
      <w:r w:rsidRPr="00340E4C">
        <w:t>Subjekty na trhu proto mají svoje inflační očekávání, kterými se při svém rozhodování řídí. Toto očekávání nemusí být totožné s vyhlášeným výhledem inflace centrální bankou.</w:t>
      </w:r>
    </w:p>
    <w:p w:rsidR="00783598" w:rsidRPr="00340E4C" w:rsidRDefault="00783598"/>
    <w:p w:rsidR="00783598" w:rsidRPr="00340E4C" w:rsidRDefault="00783598">
      <w:pPr>
        <w:jc w:val="both"/>
      </w:pPr>
      <w:r w:rsidRPr="00340E4C">
        <w:t xml:space="preserve">Inflační očekávání má i reálný vliv na skutečnou inflaci: když je očekávaná inflace vyšší než stávající, zvýší se nominální úroková míra, poklesne poptávka po investicích, poklesne růst a v důsledku toho bude stát menší produkt proti stejné peněžní zásobě a inflace vzroste. </w:t>
      </w:r>
    </w:p>
    <w:p w:rsidR="00783598" w:rsidRPr="00340E4C" w:rsidRDefault="00783598" w:rsidP="00636A7A">
      <w:pPr>
        <w:pStyle w:val="berschrift3"/>
      </w:pPr>
      <w:r w:rsidRPr="00340E4C">
        <w:t>Monetární příčiny</w:t>
      </w:r>
    </w:p>
    <w:p w:rsidR="00783598" w:rsidRPr="00340E4C" w:rsidRDefault="00783598">
      <w:r w:rsidRPr="00340E4C">
        <w:t xml:space="preserve">Příčiny tkví v monetárním trhu: </w:t>
      </w:r>
    </w:p>
    <w:p w:rsidR="00783598" w:rsidRPr="00340E4C" w:rsidRDefault="00783598" w:rsidP="001741A7">
      <w:pPr>
        <w:numPr>
          <w:ilvl w:val="0"/>
          <w:numId w:val="1"/>
        </w:numPr>
        <w:jc w:val="both"/>
      </w:pPr>
      <w:r w:rsidRPr="00340E4C">
        <w:t>když centrální banka uvádí do oběhu příliš velké množství oběživa</w:t>
      </w:r>
    </w:p>
    <w:p w:rsidR="00783598" w:rsidRPr="00340E4C" w:rsidRDefault="00783598" w:rsidP="001741A7">
      <w:pPr>
        <w:numPr>
          <w:ilvl w:val="0"/>
          <w:numId w:val="1"/>
        </w:numPr>
        <w:jc w:val="both"/>
      </w:pPr>
      <w:r w:rsidRPr="00340E4C">
        <w:t>komerční banky poskytují nepřiměřeně mnoho úvěrů</w:t>
      </w:r>
    </w:p>
    <w:p w:rsidR="00783598" w:rsidRPr="00340E4C" w:rsidRDefault="00783598" w:rsidP="001741A7">
      <w:pPr>
        <w:numPr>
          <w:ilvl w:val="0"/>
          <w:numId w:val="1"/>
        </w:numPr>
        <w:jc w:val="both"/>
      </w:pPr>
      <w:r w:rsidRPr="00340E4C">
        <w:t>když státní rozpočet vykazuje příliš velký deficit</w:t>
      </w:r>
    </w:p>
    <w:p w:rsidR="00783598" w:rsidRPr="00340E4C" w:rsidRDefault="00783598" w:rsidP="00636A7A">
      <w:pPr>
        <w:pStyle w:val="berschrift3"/>
      </w:pPr>
      <w:r w:rsidRPr="00340E4C">
        <w:t>Reálné hospodářské příčiny</w:t>
      </w:r>
    </w:p>
    <w:p w:rsidR="00783598" w:rsidRPr="00340E4C" w:rsidRDefault="00783598">
      <w:r w:rsidRPr="00340E4C">
        <w:t>Inflaci vyvolávají procesy v tvorbě statků: absolutní pokles produktu je větší než pokles peněz v oběhu nebo objem oběživa dokonce vzroste.</w:t>
      </w:r>
    </w:p>
    <w:p w:rsidR="00783598" w:rsidRPr="00340E4C" w:rsidRDefault="00783598" w:rsidP="001741A7">
      <w:pPr>
        <w:numPr>
          <w:ilvl w:val="0"/>
          <w:numId w:val="1"/>
        </w:numPr>
        <w:jc w:val="both"/>
      </w:pPr>
      <w:r w:rsidRPr="00340E4C">
        <w:t>demand pull inflation (inflace tažená poptávkou) – poptávka překročí nabídku a vznikne inflační mezera. Například když poklesne míra úspor, peníze se vrhnou do investic, úvěrů apod.</w:t>
      </w:r>
    </w:p>
    <w:p w:rsidR="00783598" w:rsidRPr="00340E4C" w:rsidRDefault="00783598" w:rsidP="001741A7">
      <w:pPr>
        <w:numPr>
          <w:ilvl w:val="0"/>
          <w:numId w:val="1"/>
        </w:numPr>
        <w:jc w:val="both"/>
      </w:pPr>
      <w:r w:rsidRPr="00340E4C">
        <w:t xml:space="preserve">profit push inflation (inflace tlačená </w:t>
      </w:r>
      <w:r w:rsidR="00556EF9" w:rsidRPr="00340E4C">
        <w:t>ziskem</w:t>
      </w:r>
      <w:r w:rsidRPr="00340E4C">
        <w:t>) – vzniká z příliš vysokého zisku, jestliže konkurenční situace nedokáže udržet rovnováhu.</w:t>
      </w:r>
    </w:p>
    <w:p w:rsidR="00783598" w:rsidRPr="00340E4C" w:rsidRDefault="00783598" w:rsidP="001741A7">
      <w:pPr>
        <w:numPr>
          <w:ilvl w:val="0"/>
          <w:numId w:val="1"/>
        </w:numPr>
        <w:jc w:val="both"/>
      </w:pPr>
      <w:r w:rsidRPr="00340E4C">
        <w:t>cost push inflation (inflace tlačená náklady) – přílišný růst jednotlivých nákladových položek</w:t>
      </w:r>
    </w:p>
    <w:p w:rsidR="00783598" w:rsidRPr="00340E4C" w:rsidRDefault="00783598"/>
    <w:p w:rsidR="00783598" w:rsidRPr="00340E4C" w:rsidRDefault="00783598" w:rsidP="00636A7A">
      <w:pPr>
        <w:pStyle w:val="berschrift3"/>
      </w:pPr>
      <w:r w:rsidRPr="00340E4C">
        <w:t>Vnější impuls - Vzestup ceny dováženého zboží</w:t>
      </w:r>
    </w:p>
    <w:p w:rsidR="00783598" w:rsidRPr="00340E4C" w:rsidRDefault="00783598">
      <w:pPr>
        <w:jc w:val="both"/>
      </w:pPr>
      <w:r w:rsidRPr="00340E4C">
        <w:t xml:space="preserve">Ve fungující tržní ekonomice by růst dovozních cen měl vést k poklesu poptávky a tím postupně ke snížení celkové cenové hladiny. V praxi však vše trvá déle a nepromítne se všude stejně. Ti, kdo nakupují dovozní zboží za vyšší ceny, promítnou vyšší cenu do svého výstupu a postupně celá hladina vzroste. </w:t>
      </w:r>
    </w:p>
    <w:p w:rsidR="00783598" w:rsidRPr="00340E4C" w:rsidRDefault="00783598"/>
    <w:p w:rsidR="0097740E" w:rsidRPr="00340E4C" w:rsidRDefault="0097740E"/>
    <w:p w:rsidR="00783598" w:rsidRPr="00340E4C" w:rsidRDefault="00783598" w:rsidP="00636A7A">
      <w:pPr>
        <w:pStyle w:val="berschrift2"/>
      </w:pPr>
      <w:r w:rsidRPr="00340E4C">
        <w:t>Phillipsova</w:t>
      </w:r>
      <w:r w:rsidRPr="00340E4C">
        <w:rPr>
          <w:rStyle w:val="Funotenzeichen"/>
        </w:rPr>
        <w:footnoteReference w:id="19"/>
      </w:r>
      <w:r w:rsidRPr="00340E4C">
        <w:t xml:space="preserve"> křivka</w:t>
      </w:r>
    </w:p>
    <w:p w:rsidR="00783598" w:rsidRPr="00340E4C" w:rsidRDefault="00783598"/>
    <w:p w:rsidR="00783598" w:rsidRPr="00340E4C" w:rsidRDefault="00783598">
      <w:pPr>
        <w:jc w:val="center"/>
      </w:pPr>
    </w:p>
    <w:p w:rsidR="00783598" w:rsidRPr="00340E4C" w:rsidRDefault="00783598">
      <w:pPr>
        <w:jc w:val="center"/>
      </w:pPr>
      <w:r w:rsidRPr="00340E4C">
        <w:lastRenderedPageBreak/>
        <w:t xml:space="preserve"> </w:t>
      </w:r>
      <w:r w:rsidR="0033114D" w:rsidRPr="00340E4C">
        <w:rPr>
          <w:noProof/>
          <w:lang w:val="de-DE" w:eastAsia="de-DE"/>
        </w:rPr>
        <w:drawing>
          <wp:inline distT="0" distB="0" distL="0" distR="0" wp14:anchorId="222AB932" wp14:editId="5C0F861C">
            <wp:extent cx="4010025" cy="4010025"/>
            <wp:effectExtent l="0" t="0" r="0" b="0"/>
            <wp:docPr id="165" name="obrázek 165" descr="Phillip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hillips Curve"/>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010025" cy="4010025"/>
                    </a:xfrm>
                    <a:prstGeom prst="rect">
                      <a:avLst/>
                    </a:prstGeom>
                    <a:noFill/>
                    <a:ln>
                      <a:noFill/>
                    </a:ln>
                  </pic:spPr>
                </pic:pic>
              </a:graphicData>
            </a:graphic>
          </wp:inline>
        </w:drawing>
      </w:r>
    </w:p>
    <w:p w:rsidR="00783598" w:rsidRPr="00340E4C" w:rsidRDefault="00783598">
      <w:r w:rsidRPr="00340E4C">
        <w:t>NAIRU = míra inflace, která neakceleruje nezaměstnanost.</w:t>
      </w:r>
    </w:p>
    <w:p w:rsidR="00783598" w:rsidRPr="00340E4C" w:rsidRDefault="00783598"/>
    <w:p w:rsidR="00783598" w:rsidRPr="00340E4C" w:rsidRDefault="00783598">
      <w:pPr>
        <w:jc w:val="both"/>
      </w:pPr>
      <w:r w:rsidRPr="00340E4C">
        <w:t>Zkoumá vztah míry nezaměstnanosti a růstu nominálních mezd a vznikla jako kritika Keynesovy teorie zaměstnanosti (Keynes tvrdil, že je stimulací AD snižovat nezaměstnanost bez hrozby inflace až do dosažení „plné“ zaměstnanosti).</w:t>
      </w:r>
    </w:p>
    <w:p w:rsidR="00783598" w:rsidRPr="00340E4C" w:rsidRDefault="00783598">
      <w:pPr>
        <w:jc w:val="both"/>
      </w:pPr>
      <w:r w:rsidRPr="00340E4C">
        <w:t xml:space="preserve">Keynesovi odpůrci tvrdí, že nezaměstnanost nikdy nemůže klesnout na nulu, protože vždy existuje frikční nezaměstnanost. Důkazem Keynesova omylu měla být právě Phillipsova funkce. Tvrdí, že pokles zaměstnanosti vyvolává od určité úrovně růst inflace. Jakmile nezaměstnanost klesne ke 2%, poptávka po pracovních silách vyvolá prudkou inflaci – viz nezaměstnanost v okresech s nejnižší nezaměstnaností. </w:t>
      </w:r>
    </w:p>
    <w:p w:rsidR="00783598" w:rsidRPr="00340E4C" w:rsidRDefault="00783598"/>
    <w:p w:rsidR="00783598" w:rsidRPr="00340E4C" w:rsidRDefault="00783598">
      <w:pPr>
        <w:jc w:val="both"/>
      </w:pPr>
      <w:r w:rsidRPr="00340E4C">
        <w:rPr>
          <w:b/>
        </w:rPr>
        <w:t>Poznámka:</w:t>
      </w:r>
      <w:r w:rsidRPr="00340E4C">
        <w:t xml:space="preserve"> Okunův zákon zkoumá vztah změny domácího produktu a změny nezaměstnanosti: poptávková inflace je způsobena růstem agregátní poptávky, který sníží nezaměstnanost pod přirozenou míru. To vyvolá růst nominálních mezd a následně také růst cen.</w:t>
      </w:r>
    </w:p>
    <w:p w:rsidR="00783598" w:rsidRPr="00340E4C" w:rsidRDefault="00783598"/>
    <w:p w:rsidR="00783598" w:rsidRPr="00340E4C" w:rsidRDefault="00783598">
      <w:pPr>
        <w:jc w:val="both"/>
      </w:pPr>
      <w:r w:rsidRPr="00340E4C">
        <w:rPr>
          <w:szCs w:val="23"/>
        </w:rPr>
        <w:t>Ekonomický vývoj od roku 1970 ve vyspělých zemích pak ve spojení vysoké inflace a vysoké nezaměstnanosti nahlodal přiměřenost krátkodobých Phillipsových křivek jako nástroje pro provádění substituční formy hospodářské politiky (výměna inflace za nezaměstnanost).</w:t>
      </w:r>
    </w:p>
    <w:p w:rsidR="00783598" w:rsidRPr="00340E4C" w:rsidRDefault="00783598">
      <w:pPr>
        <w:sectPr w:rsidR="00783598" w:rsidRPr="00340E4C">
          <w:pgSz w:w="11906" w:h="16838"/>
          <w:pgMar w:top="1417" w:right="1417" w:bottom="1417" w:left="1417" w:header="708" w:footer="708" w:gutter="0"/>
          <w:cols w:space="708"/>
          <w:docGrid w:linePitch="360"/>
        </w:sectPr>
      </w:pPr>
      <w:r w:rsidRPr="00340E4C">
        <w:t>http://ekonomie-otazky.blogspot.com/2008/07/phillipsova-kivka.html</w:t>
      </w:r>
    </w:p>
    <w:p w:rsidR="00783598" w:rsidRPr="00340E4C" w:rsidRDefault="0097740E" w:rsidP="00636A7A">
      <w:pPr>
        <w:pStyle w:val="berschrift2"/>
      </w:pPr>
      <w:r w:rsidRPr="00340E4C">
        <w:lastRenderedPageBreak/>
        <w:t>Stagflace</w:t>
      </w:r>
    </w:p>
    <w:p w:rsidR="00F30022" w:rsidRDefault="00F30022" w:rsidP="00F30022">
      <w:pPr>
        <w:rPr>
          <w:b/>
        </w:rPr>
      </w:pPr>
    </w:p>
    <w:p w:rsidR="00F30022" w:rsidRPr="00F30022" w:rsidRDefault="00F30022" w:rsidP="00F30022">
      <w:pPr>
        <w:rPr>
          <w:b/>
        </w:rPr>
      </w:pPr>
      <w:r w:rsidRPr="00F30022">
        <w:rPr>
          <w:b/>
        </w:rPr>
        <w:t>Stagflace</w:t>
      </w:r>
      <w:r>
        <w:t xml:space="preserve"> </w:t>
      </w:r>
      <w:r w:rsidRPr="00F30022">
        <w:t>(</w:t>
      </w:r>
      <w:r w:rsidRPr="00F30022">
        <w:rPr>
          <w:i/>
          <w:iCs/>
        </w:rPr>
        <w:t>stagnace</w:t>
      </w:r>
      <w:r w:rsidRPr="00F30022">
        <w:t xml:space="preserve"> + </w:t>
      </w:r>
      <w:r w:rsidRPr="00F30022">
        <w:rPr>
          <w:i/>
          <w:iCs/>
        </w:rPr>
        <w:t>inflace</w:t>
      </w:r>
      <w:r w:rsidRPr="00F30022">
        <w:t xml:space="preserve"> – přejato z </w:t>
      </w:r>
      <w:hyperlink r:id="rId141" w:tooltip="Angličtina" w:history="1">
        <w:r w:rsidRPr="00F30022">
          <w:rPr>
            <w:rStyle w:val="Hyperlink"/>
          </w:rPr>
          <w:t>anglického</w:t>
        </w:r>
      </w:hyperlink>
      <w:r w:rsidRPr="00F30022">
        <w:t xml:space="preserve"> </w:t>
      </w:r>
      <w:r w:rsidRPr="00F30022">
        <w:rPr>
          <w:i/>
          <w:iCs/>
        </w:rPr>
        <w:t>stagflation</w:t>
      </w:r>
      <w:r w:rsidRPr="00F30022">
        <w:t xml:space="preserve">) je kombinace vysoké </w:t>
      </w:r>
      <w:hyperlink r:id="rId142" w:tooltip="Inflace" w:history="1">
        <w:r w:rsidRPr="00F30022">
          <w:rPr>
            <w:rStyle w:val="Hyperlink"/>
          </w:rPr>
          <w:t>inflace</w:t>
        </w:r>
      </w:hyperlink>
      <w:r w:rsidRPr="00F30022">
        <w:t xml:space="preserve"> a současné stagnace </w:t>
      </w:r>
      <w:hyperlink r:id="rId143" w:tooltip="Ekonomika" w:history="1">
        <w:r w:rsidRPr="00F30022">
          <w:rPr>
            <w:rStyle w:val="Hyperlink"/>
          </w:rPr>
          <w:t>ekonomiky</w:t>
        </w:r>
      </w:hyperlink>
      <w:r w:rsidRPr="00F30022">
        <w:t xml:space="preserve"> – tedy se při vysoké inflaci nemění velikost reálného produktu nebo dokonce dochází k jeho snižování (takový jev se někdy nazývá</w:t>
      </w:r>
      <w:r>
        <w:t xml:space="preserve"> </w:t>
      </w:r>
      <w:r>
        <w:rPr>
          <w:b/>
        </w:rPr>
        <w:t>slumpflace.</w:t>
      </w:r>
    </w:p>
    <w:p w:rsidR="00F30022" w:rsidRDefault="00F30022" w:rsidP="00F30022"/>
    <w:p w:rsidR="00F30022" w:rsidRDefault="00F30022" w:rsidP="00F30022">
      <w:r>
        <w:t xml:space="preserve">Podle </w:t>
      </w:r>
      <w:r w:rsidRPr="00F30022">
        <w:t xml:space="preserve">klasické ekonomie k stagflaci dochází, když se vláda snaží snížit míru </w:t>
      </w:r>
      <w:hyperlink r:id="rId144" w:tooltip="Nezaměstnanost" w:history="1">
        <w:r w:rsidRPr="00F30022">
          <w:rPr>
            <w:rStyle w:val="Hyperlink"/>
          </w:rPr>
          <w:t>nezaměstnanosti</w:t>
        </w:r>
      </w:hyperlink>
      <w:r w:rsidRPr="00F30022">
        <w:t xml:space="preserve"> pod její přirozenou úroveň, což má za následek jen zvýšení inflace. Vláda na cíl snížení nezaměstnanosti rezignuje až v době, kdy se k vysoké nezaměstnanosti přidá i vysoká inflace, tedy když dojde</w:t>
      </w:r>
      <w:r>
        <w:t xml:space="preserve"> k stagflaci.</w:t>
      </w:r>
    </w:p>
    <w:p w:rsidR="00F30022" w:rsidRDefault="00F30022" w:rsidP="00F30022">
      <w:r w:rsidRPr="00F30022">
        <w:t xml:space="preserve">Příkladem může být ekonomika </w:t>
      </w:r>
      <w:hyperlink r:id="rId145" w:tooltip="Spojené státy americké" w:history="1">
        <w:r w:rsidRPr="00F30022">
          <w:rPr>
            <w:rStyle w:val="Hyperlink"/>
          </w:rPr>
          <w:t>USA</w:t>
        </w:r>
      </w:hyperlink>
      <w:r w:rsidRPr="00F30022">
        <w:t xml:space="preserve"> v sedmdesátých letech dvacátého století. V této době byla stagflace nový pojem a vyvolala krizi</w:t>
      </w:r>
      <w:r>
        <w:t xml:space="preserve"> keynesiánství.</w:t>
      </w:r>
    </w:p>
    <w:p w:rsidR="00F30022" w:rsidRDefault="00F30022" w:rsidP="0097740E"/>
    <w:p w:rsidR="00783598" w:rsidRPr="00340E4C" w:rsidRDefault="00783598" w:rsidP="00636A7A">
      <w:pPr>
        <w:pStyle w:val="berschrift1"/>
      </w:pPr>
      <w:bookmarkStart w:id="160" w:name="_Toc240444152"/>
      <w:bookmarkStart w:id="161" w:name="_Toc240775352"/>
      <w:bookmarkStart w:id="162" w:name="_Toc281979954"/>
      <w:bookmarkStart w:id="163" w:name="_Toc281979996"/>
      <w:bookmarkStart w:id="164" w:name="_Toc296073447"/>
      <w:bookmarkStart w:id="165" w:name="_Toc297533155"/>
      <w:bookmarkStart w:id="166" w:name="_Toc303675515"/>
      <w:bookmarkStart w:id="167" w:name="_Toc303963016"/>
      <w:bookmarkStart w:id="168" w:name="_Toc306176405"/>
      <w:bookmarkStart w:id="169" w:name="_Toc315341174"/>
      <w:bookmarkStart w:id="170" w:name="_Toc316459969"/>
      <w:bookmarkStart w:id="171" w:name="_Toc316460444"/>
      <w:bookmarkStart w:id="172" w:name="_Toc318291421"/>
      <w:bookmarkStart w:id="173" w:name="_Toc328466827"/>
      <w:bookmarkStart w:id="174" w:name="_Toc335724884"/>
      <w:bookmarkStart w:id="175" w:name="_Toc411926289"/>
      <w:bookmarkStart w:id="176" w:name="_Toc1629142"/>
      <w:r w:rsidRPr="00340E4C">
        <w:t>Monetární politika</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783598" w:rsidRPr="00340E4C" w:rsidRDefault="00783598" w:rsidP="00636A7A">
      <w:pPr>
        <w:pStyle w:val="berschrift2"/>
      </w:pPr>
      <w:r w:rsidRPr="00340E4C">
        <w:t>Cíle a nástroje monetární politiky</w:t>
      </w:r>
    </w:p>
    <w:p w:rsidR="00783598" w:rsidRPr="00340E4C" w:rsidRDefault="00783598">
      <w:r w:rsidRPr="00340E4C">
        <w:t xml:space="preserve">Platí obecné cíle „Magického čtverce“: </w:t>
      </w:r>
    </w:p>
    <w:p w:rsidR="00783598" w:rsidRPr="00340E4C" w:rsidRDefault="00783598" w:rsidP="001741A7">
      <w:pPr>
        <w:numPr>
          <w:ilvl w:val="0"/>
          <w:numId w:val="1"/>
        </w:numPr>
      </w:pPr>
      <w:r w:rsidRPr="00340E4C">
        <w:t>hospodářský růst</w:t>
      </w:r>
    </w:p>
    <w:p w:rsidR="00783598" w:rsidRPr="00340E4C" w:rsidRDefault="00783598" w:rsidP="001741A7">
      <w:pPr>
        <w:numPr>
          <w:ilvl w:val="0"/>
          <w:numId w:val="1"/>
        </w:numPr>
      </w:pPr>
      <w:r w:rsidRPr="00340E4C">
        <w:t xml:space="preserve">cenová stabilita (protiinflační politika) </w:t>
      </w:r>
    </w:p>
    <w:p w:rsidR="00783598" w:rsidRPr="00340E4C" w:rsidRDefault="00783598" w:rsidP="001741A7">
      <w:pPr>
        <w:numPr>
          <w:ilvl w:val="0"/>
          <w:numId w:val="1"/>
        </w:numPr>
      </w:pPr>
      <w:r w:rsidRPr="00340E4C">
        <w:t>zaměstnanost</w:t>
      </w:r>
    </w:p>
    <w:p w:rsidR="00783598" w:rsidRPr="00340E4C" w:rsidRDefault="00783598" w:rsidP="001741A7">
      <w:pPr>
        <w:numPr>
          <w:ilvl w:val="0"/>
          <w:numId w:val="1"/>
        </w:numPr>
      </w:pPr>
      <w:r w:rsidRPr="00340E4C">
        <w:t>vyrovnaná platební bilance</w:t>
      </w:r>
    </w:p>
    <w:p w:rsidR="00783598" w:rsidRPr="00340E4C" w:rsidRDefault="00783598"/>
    <w:p w:rsidR="00783598" w:rsidRPr="00340E4C" w:rsidRDefault="00783598">
      <w:r w:rsidRPr="00340E4C">
        <w:t>K jejich dosažení si monetární politika stanovuje zprostředkující cíle:</w:t>
      </w:r>
    </w:p>
    <w:p w:rsidR="00783598" w:rsidRPr="00340E4C" w:rsidRDefault="000F5DEB" w:rsidP="001741A7">
      <w:pPr>
        <w:numPr>
          <w:ilvl w:val="0"/>
          <w:numId w:val="1"/>
        </w:numPr>
      </w:pPr>
      <w:r>
        <w:t xml:space="preserve">ovlivňování </w:t>
      </w:r>
      <w:r w:rsidR="00783598" w:rsidRPr="00340E4C">
        <w:t>peněžní zásob</w:t>
      </w:r>
      <w:r>
        <w:t>y</w:t>
      </w:r>
    </w:p>
    <w:p w:rsidR="00783598" w:rsidRPr="00340E4C" w:rsidRDefault="000F5DEB" w:rsidP="001741A7">
      <w:pPr>
        <w:numPr>
          <w:ilvl w:val="0"/>
          <w:numId w:val="1"/>
        </w:numPr>
      </w:pPr>
      <w:r>
        <w:t xml:space="preserve">ovlivňování </w:t>
      </w:r>
      <w:r w:rsidR="00783598" w:rsidRPr="00340E4C">
        <w:t>úrokov</w:t>
      </w:r>
      <w:r>
        <w:t>é</w:t>
      </w:r>
      <w:r w:rsidR="00783598" w:rsidRPr="00340E4C">
        <w:t xml:space="preserve"> mír</w:t>
      </w:r>
      <w:r>
        <w:t>y</w:t>
      </w:r>
      <w:r w:rsidR="00783598" w:rsidRPr="00340E4C">
        <w:t xml:space="preserve"> </w:t>
      </w:r>
    </w:p>
    <w:p w:rsidR="00783598" w:rsidRPr="00340E4C" w:rsidRDefault="000F5DEB" w:rsidP="001741A7">
      <w:pPr>
        <w:numPr>
          <w:ilvl w:val="0"/>
          <w:numId w:val="1"/>
        </w:numPr>
      </w:pPr>
      <w:r>
        <w:t xml:space="preserve">ovlivňování </w:t>
      </w:r>
      <w:r w:rsidR="00783598" w:rsidRPr="00340E4C">
        <w:t>měnov</w:t>
      </w:r>
      <w:r>
        <w:t>ého</w:t>
      </w:r>
      <w:r w:rsidR="00783598" w:rsidRPr="00340E4C">
        <w:t xml:space="preserve"> kurz</w:t>
      </w:r>
      <w:r>
        <w:t>u</w:t>
      </w:r>
    </w:p>
    <w:p w:rsidR="00783598" w:rsidRPr="00340E4C" w:rsidRDefault="00783598">
      <w:pPr>
        <w:pStyle w:val="Fuzeile"/>
        <w:tabs>
          <w:tab w:val="clear" w:pos="4536"/>
          <w:tab w:val="clear" w:pos="9072"/>
        </w:tabs>
      </w:pPr>
    </w:p>
    <w:p w:rsidR="00783598" w:rsidRPr="00340E4C" w:rsidRDefault="00783598">
      <w:r w:rsidRPr="00340E4C">
        <w:t xml:space="preserve">Vykonavatelem monetární politiky je především centrální banka (ČNB Praha – </w:t>
      </w:r>
      <w:hyperlink r:id="rId146" w:history="1">
        <w:r w:rsidRPr="00340E4C">
          <w:rPr>
            <w:rStyle w:val="Hyperlink"/>
          </w:rPr>
          <w:t>www.cnb.cz</w:t>
        </w:r>
      </w:hyperlink>
      <w:r w:rsidRPr="00340E4C">
        <w:t>)</w:t>
      </w:r>
    </w:p>
    <w:p w:rsidR="00783598" w:rsidRDefault="00783598"/>
    <w:p w:rsidR="00F30022" w:rsidRDefault="00F30022">
      <w:pPr>
        <w:rPr>
          <w:b/>
        </w:rPr>
      </w:pPr>
      <w:r>
        <w:rPr>
          <w:b/>
        </w:rPr>
        <w:t>Poznámka: „Ekonomie strany nabídky“:</w:t>
      </w:r>
    </w:p>
    <w:p w:rsidR="00F30022" w:rsidRDefault="00F30022" w:rsidP="005F1D5F">
      <w:pPr>
        <w:jc w:val="both"/>
      </w:pPr>
      <w:r>
        <w:t xml:space="preserve">Tato ekonomická škola je oponentem ekonomie strany poptávky (keynesianismu). Ekonomie strany nabídky tvrdí, že zaměstnanost a růst závisejí především na rámcových podmínkách strany nabídky. </w:t>
      </w:r>
      <w:r w:rsidR="005F1D5F">
        <w:t>Soukromý sektor pokládá očekávaný zisk za stabilní a potřebuje především „zdravé“ systémové prostředí. Nástroje ekonomie strany nabídky jsou:</w:t>
      </w:r>
    </w:p>
    <w:p w:rsidR="005F1D5F" w:rsidRPr="005F1D5F" w:rsidRDefault="005F1D5F" w:rsidP="005F1D5F">
      <w:pPr>
        <w:pStyle w:val="Listenabsatz"/>
        <w:numPr>
          <w:ilvl w:val="0"/>
          <w:numId w:val="3"/>
        </w:numPr>
        <w:spacing w:line="240" w:lineRule="auto"/>
        <w:jc w:val="both"/>
        <w:rPr>
          <w:rFonts w:ascii="Times New Roman" w:hAnsi="Times New Roman"/>
          <w:sz w:val="24"/>
          <w:szCs w:val="24"/>
          <w:lang w:val="cs-CZ"/>
        </w:rPr>
      </w:pPr>
      <w:r w:rsidRPr="005F1D5F">
        <w:rPr>
          <w:rFonts w:ascii="Times New Roman" w:hAnsi="Times New Roman"/>
          <w:sz w:val="24"/>
          <w:szCs w:val="24"/>
          <w:lang w:val="cs-CZ"/>
        </w:rPr>
        <w:t>deregulace</w:t>
      </w:r>
    </w:p>
    <w:p w:rsidR="005F1D5F" w:rsidRDefault="005F1D5F" w:rsidP="005F1D5F">
      <w:pPr>
        <w:pStyle w:val="Listenabsatz"/>
        <w:numPr>
          <w:ilvl w:val="0"/>
          <w:numId w:val="3"/>
        </w:numPr>
        <w:spacing w:line="240" w:lineRule="auto"/>
        <w:jc w:val="both"/>
        <w:rPr>
          <w:rFonts w:ascii="Times New Roman" w:hAnsi="Times New Roman"/>
          <w:sz w:val="24"/>
          <w:szCs w:val="24"/>
          <w:lang w:val="cs-CZ"/>
        </w:rPr>
      </w:pPr>
      <w:r w:rsidRPr="005F1D5F">
        <w:rPr>
          <w:rFonts w:ascii="Times New Roman" w:hAnsi="Times New Roman"/>
          <w:sz w:val="24"/>
          <w:szCs w:val="24"/>
          <w:lang w:val="cs-CZ"/>
        </w:rPr>
        <w:t>snížení (zejména mzdových) nákladů</w:t>
      </w:r>
    </w:p>
    <w:p w:rsidR="005F1D5F" w:rsidRDefault="005F1D5F" w:rsidP="005F1D5F">
      <w:pPr>
        <w:pStyle w:val="Listenabsatz"/>
        <w:numPr>
          <w:ilvl w:val="0"/>
          <w:numId w:val="3"/>
        </w:numPr>
        <w:spacing w:line="240" w:lineRule="auto"/>
        <w:jc w:val="both"/>
        <w:rPr>
          <w:rFonts w:ascii="Times New Roman" w:hAnsi="Times New Roman"/>
          <w:sz w:val="24"/>
          <w:szCs w:val="24"/>
          <w:lang w:val="cs-CZ"/>
        </w:rPr>
      </w:pPr>
      <w:r>
        <w:rPr>
          <w:rFonts w:ascii="Times New Roman" w:hAnsi="Times New Roman"/>
          <w:sz w:val="24"/>
          <w:szCs w:val="24"/>
          <w:lang w:val="cs-CZ"/>
        </w:rPr>
        <w:t>snížení sociálních výdajů</w:t>
      </w:r>
    </w:p>
    <w:p w:rsidR="005F1D5F" w:rsidRDefault="005F1D5F" w:rsidP="005F1D5F">
      <w:pPr>
        <w:pStyle w:val="Listenabsatz"/>
        <w:numPr>
          <w:ilvl w:val="0"/>
          <w:numId w:val="3"/>
        </w:numPr>
        <w:spacing w:line="240" w:lineRule="auto"/>
        <w:jc w:val="both"/>
        <w:rPr>
          <w:rFonts w:ascii="Times New Roman" w:hAnsi="Times New Roman"/>
          <w:sz w:val="24"/>
          <w:szCs w:val="24"/>
          <w:lang w:val="cs-CZ"/>
        </w:rPr>
      </w:pPr>
      <w:r>
        <w:rPr>
          <w:rFonts w:ascii="Times New Roman" w:hAnsi="Times New Roman"/>
          <w:sz w:val="24"/>
          <w:szCs w:val="24"/>
          <w:lang w:val="cs-CZ"/>
        </w:rPr>
        <w:t>jednoduché a nízké daně</w:t>
      </w:r>
    </w:p>
    <w:p w:rsidR="005F1D5F" w:rsidRDefault="005F1D5F" w:rsidP="005F1D5F">
      <w:pPr>
        <w:pStyle w:val="Listenabsatz"/>
        <w:numPr>
          <w:ilvl w:val="0"/>
          <w:numId w:val="3"/>
        </w:numPr>
        <w:spacing w:line="240" w:lineRule="auto"/>
        <w:jc w:val="both"/>
        <w:rPr>
          <w:rFonts w:ascii="Times New Roman" w:hAnsi="Times New Roman"/>
          <w:sz w:val="24"/>
          <w:szCs w:val="24"/>
          <w:lang w:val="cs-CZ"/>
        </w:rPr>
      </w:pPr>
      <w:r>
        <w:rPr>
          <w:rFonts w:ascii="Times New Roman" w:hAnsi="Times New Roman"/>
          <w:sz w:val="24"/>
          <w:szCs w:val="24"/>
          <w:lang w:val="cs-CZ"/>
        </w:rPr>
        <w:t>odbourání státního dluhu</w:t>
      </w:r>
    </w:p>
    <w:p w:rsidR="005F1D5F" w:rsidRDefault="005F1D5F" w:rsidP="005F1D5F">
      <w:pPr>
        <w:pStyle w:val="Listenabsatz"/>
        <w:numPr>
          <w:ilvl w:val="0"/>
          <w:numId w:val="3"/>
        </w:numPr>
        <w:spacing w:line="240" w:lineRule="auto"/>
        <w:jc w:val="both"/>
        <w:rPr>
          <w:rFonts w:ascii="Times New Roman" w:hAnsi="Times New Roman"/>
          <w:sz w:val="24"/>
          <w:szCs w:val="24"/>
          <w:lang w:val="cs-CZ"/>
        </w:rPr>
      </w:pPr>
      <w:r>
        <w:rPr>
          <w:rFonts w:ascii="Times New Roman" w:hAnsi="Times New Roman"/>
          <w:sz w:val="24"/>
          <w:szCs w:val="24"/>
          <w:lang w:val="cs-CZ"/>
        </w:rPr>
        <w:t>zajištění konkurence, odbourání subvencí</w:t>
      </w:r>
    </w:p>
    <w:p w:rsidR="005F1D5F" w:rsidRDefault="005F1D5F" w:rsidP="005F1D5F">
      <w:pPr>
        <w:pStyle w:val="Listenabsatz"/>
        <w:numPr>
          <w:ilvl w:val="0"/>
          <w:numId w:val="3"/>
        </w:numPr>
        <w:spacing w:line="240" w:lineRule="auto"/>
        <w:jc w:val="both"/>
        <w:rPr>
          <w:rFonts w:ascii="Times New Roman" w:hAnsi="Times New Roman"/>
          <w:sz w:val="24"/>
          <w:szCs w:val="24"/>
          <w:lang w:val="cs-CZ"/>
        </w:rPr>
      </w:pPr>
      <w:r>
        <w:rPr>
          <w:rFonts w:ascii="Times New Roman" w:hAnsi="Times New Roman"/>
          <w:sz w:val="24"/>
          <w:szCs w:val="24"/>
          <w:lang w:val="cs-CZ"/>
        </w:rPr>
        <w:t>privatizace</w:t>
      </w:r>
    </w:p>
    <w:p w:rsidR="005F1D5F" w:rsidRDefault="005F1D5F" w:rsidP="005F1D5F">
      <w:pPr>
        <w:pStyle w:val="Listenabsatz"/>
        <w:numPr>
          <w:ilvl w:val="0"/>
          <w:numId w:val="3"/>
        </w:numPr>
        <w:spacing w:line="240" w:lineRule="auto"/>
        <w:jc w:val="both"/>
        <w:rPr>
          <w:rFonts w:ascii="Times New Roman" w:hAnsi="Times New Roman"/>
          <w:sz w:val="24"/>
          <w:szCs w:val="24"/>
          <w:lang w:val="cs-CZ"/>
        </w:rPr>
      </w:pPr>
      <w:r>
        <w:rPr>
          <w:rFonts w:ascii="Times New Roman" w:hAnsi="Times New Roman"/>
          <w:sz w:val="24"/>
          <w:szCs w:val="24"/>
          <w:lang w:val="cs-CZ"/>
        </w:rPr>
        <w:t>peněžní stabilita (Reaganomics, Thatcherismus)</w:t>
      </w:r>
    </w:p>
    <w:p w:rsidR="005F1D5F" w:rsidRDefault="005F1D5F" w:rsidP="005F1D5F">
      <w:pPr>
        <w:jc w:val="both"/>
      </w:pPr>
      <w:r>
        <w:t>Makroekonomické modely musejí vždy vycházet z mikroekonomických základů!</w:t>
      </w:r>
    </w:p>
    <w:p w:rsidR="005F1D5F" w:rsidRDefault="005F1D5F" w:rsidP="005F1D5F">
      <w:pPr>
        <w:jc w:val="both"/>
      </w:pPr>
    </w:p>
    <w:p w:rsidR="005F1D5F" w:rsidRDefault="005F1D5F" w:rsidP="005F1D5F">
      <w:pPr>
        <w:jc w:val="both"/>
      </w:pPr>
    </w:p>
    <w:p w:rsidR="005F1D5F" w:rsidRDefault="005F1D5F" w:rsidP="005F1D5F">
      <w:pPr>
        <w:jc w:val="both"/>
      </w:pPr>
    </w:p>
    <w:p w:rsidR="005F1D5F" w:rsidRPr="005F1D5F" w:rsidRDefault="005F1D5F" w:rsidP="005F1D5F">
      <w:pPr>
        <w:jc w:val="both"/>
      </w:pPr>
    </w:p>
    <w:p w:rsidR="00783598" w:rsidRPr="00340E4C" w:rsidRDefault="00783598" w:rsidP="005F1D5F">
      <w:pPr>
        <w:rPr>
          <w:b/>
        </w:rPr>
      </w:pPr>
      <w:r w:rsidRPr="00340E4C">
        <w:rPr>
          <w:b/>
        </w:rPr>
        <w:lastRenderedPageBreak/>
        <w:t>Poznámka: Evropská centrální banka Frankfurt</w:t>
      </w:r>
    </w:p>
    <w:p w:rsidR="00783598" w:rsidRPr="00340E4C" w:rsidRDefault="00783598" w:rsidP="004D67D9">
      <w:pPr>
        <w:jc w:val="both"/>
      </w:pPr>
      <w:r w:rsidRPr="00340E4C">
        <w:t xml:space="preserve">ECB je centrální bankou pro evropskou jednotnou měnu euro. Hlavním cílem ECB je péče o kupní sílu eura, tedy o cenovou stabilitu v eurozóně. Eurozóna se skládá z šestnácti států Evropské unie, které od roku 1999 zavedly euro. Více viz </w:t>
      </w:r>
      <w:hyperlink r:id="rId147" w:history="1">
        <w:r w:rsidRPr="00340E4C">
          <w:rPr>
            <w:rStyle w:val="Hyperlink"/>
          </w:rPr>
          <w:t>www.ecb.int</w:t>
        </w:r>
      </w:hyperlink>
    </w:p>
    <w:p w:rsidR="00783598" w:rsidRPr="00340E4C" w:rsidRDefault="00783598" w:rsidP="004D67D9">
      <w:pPr>
        <w:jc w:val="both"/>
      </w:pPr>
      <w:r w:rsidRPr="00340E4C">
        <w:t xml:space="preserve">ECB nemá, na rozdíl od národních centrálních bank, jako partnera jednu vládu, navíc některé země dosud nemají zavedené Euro, o to je monetární politika ECB ztížená a méně účinná.  </w:t>
      </w:r>
    </w:p>
    <w:p w:rsidR="00995B5C" w:rsidRPr="00340E4C" w:rsidRDefault="00995B5C" w:rsidP="004D67D9">
      <w:pPr>
        <w:jc w:val="both"/>
      </w:pPr>
      <w:r w:rsidRPr="00340E4C">
        <w:t>Orgány: generální rada, výkonná rada a rada guvernérů.</w:t>
      </w:r>
    </w:p>
    <w:p w:rsidR="00995B5C" w:rsidRPr="00340E4C" w:rsidRDefault="00995B5C"/>
    <w:p w:rsidR="00995B5C" w:rsidRPr="00340E4C" w:rsidRDefault="00995B5C">
      <w:pPr>
        <w:rPr>
          <w:u w:val="single"/>
        </w:rPr>
      </w:pPr>
      <w:r w:rsidRPr="00340E4C">
        <w:rPr>
          <w:u w:val="single"/>
        </w:rPr>
        <w:t>Nezávislost centrálních bank</w:t>
      </w:r>
    </w:p>
    <w:p w:rsidR="00995B5C" w:rsidRPr="00340E4C" w:rsidRDefault="00995B5C">
      <w:r w:rsidRPr="00340E4C">
        <w:t>Aby centrální bank y nebyly hříčkou  rukou krátkodobých populistických politických kroků vlády, dbá se na to , aby tyto banky byly nezávislé. Toho se dosahuje nezávislostí:</w:t>
      </w:r>
    </w:p>
    <w:p w:rsidR="00995B5C" w:rsidRPr="00340E4C" w:rsidRDefault="00995B5C" w:rsidP="001741A7">
      <w:pPr>
        <w:numPr>
          <w:ilvl w:val="0"/>
          <w:numId w:val="1"/>
        </w:numPr>
      </w:pPr>
      <w:r w:rsidRPr="00340E4C">
        <w:t>finanční,</w:t>
      </w:r>
    </w:p>
    <w:p w:rsidR="00995B5C" w:rsidRPr="00340E4C" w:rsidRDefault="00995B5C" w:rsidP="001741A7">
      <w:pPr>
        <w:numPr>
          <w:ilvl w:val="0"/>
          <w:numId w:val="1"/>
        </w:numPr>
      </w:pPr>
      <w:r w:rsidRPr="00340E4C">
        <w:t>personální,</w:t>
      </w:r>
    </w:p>
    <w:p w:rsidR="00995B5C" w:rsidRPr="00340E4C" w:rsidRDefault="00995B5C" w:rsidP="001741A7">
      <w:pPr>
        <w:numPr>
          <w:ilvl w:val="0"/>
          <w:numId w:val="1"/>
        </w:numPr>
      </w:pPr>
      <w:r w:rsidRPr="00340E4C">
        <w:t>institucionální a</w:t>
      </w:r>
    </w:p>
    <w:p w:rsidR="00995B5C" w:rsidRPr="00340E4C" w:rsidRDefault="00995B5C" w:rsidP="001741A7">
      <w:pPr>
        <w:numPr>
          <w:ilvl w:val="0"/>
          <w:numId w:val="1"/>
        </w:numPr>
      </w:pPr>
      <w:r w:rsidRPr="00340E4C">
        <w:t>instrumentální (používat by měla jakékoli tržně konformní nástroje)</w:t>
      </w:r>
    </w:p>
    <w:p w:rsidR="00783598" w:rsidRPr="00340E4C" w:rsidRDefault="00783598" w:rsidP="00636A7A">
      <w:pPr>
        <w:pStyle w:val="berschrift3"/>
      </w:pPr>
      <w:r w:rsidRPr="00340E4C">
        <w:t>Nástroje monetární politiky:</w:t>
      </w:r>
    </w:p>
    <w:p w:rsidR="00783598" w:rsidRPr="00340E4C" w:rsidRDefault="00783598" w:rsidP="001741A7">
      <w:pPr>
        <w:numPr>
          <w:ilvl w:val="0"/>
          <w:numId w:val="1"/>
        </w:numPr>
        <w:jc w:val="both"/>
      </w:pPr>
      <w:r w:rsidRPr="00340E4C">
        <w:t>politika nezávislé cedulové a centrální banky – úvěrové limity, emise oběživa, refinanční úvěr, operace a obligace státu, platební bilance</w:t>
      </w:r>
    </w:p>
    <w:p w:rsidR="00783598" w:rsidRPr="00340E4C" w:rsidRDefault="00783598" w:rsidP="001741A7">
      <w:pPr>
        <w:numPr>
          <w:ilvl w:val="0"/>
          <w:numId w:val="1"/>
        </w:numPr>
      </w:pPr>
      <w:r w:rsidRPr="00340E4C">
        <w:t>regulace pohybu měny vůči zahraničí</w:t>
      </w:r>
    </w:p>
    <w:p w:rsidR="00783598" w:rsidRPr="00340E4C" w:rsidRDefault="00783598" w:rsidP="001741A7">
      <w:pPr>
        <w:numPr>
          <w:ilvl w:val="0"/>
          <w:numId w:val="1"/>
        </w:numPr>
        <w:jc w:val="both"/>
      </w:pPr>
      <w:r w:rsidRPr="00340E4C">
        <w:t>cenová regulace. Krajní varianta je „státní stop cenám“ – to vyvolává skrytou inflaci. Ta se projeví o to větším skokem po uvolnění cen a trh si uvolnění cen jednou prosadí.</w:t>
      </w:r>
    </w:p>
    <w:p w:rsidR="00783598" w:rsidRPr="00340E4C" w:rsidRDefault="00783598" w:rsidP="001741A7">
      <w:pPr>
        <w:numPr>
          <w:ilvl w:val="0"/>
          <w:numId w:val="1"/>
        </w:numPr>
      </w:pPr>
      <w:r w:rsidRPr="00340E4C">
        <w:t>mzdová regulace</w:t>
      </w:r>
    </w:p>
    <w:p w:rsidR="00783598" w:rsidRPr="00340E4C" w:rsidRDefault="00783598" w:rsidP="001741A7">
      <w:pPr>
        <w:numPr>
          <w:ilvl w:val="0"/>
          <w:numId w:val="1"/>
        </w:numPr>
      </w:pPr>
      <w:r w:rsidRPr="00340E4C">
        <w:t>daňová regulace oběživa</w:t>
      </w:r>
    </w:p>
    <w:p w:rsidR="00783598" w:rsidRPr="00340E4C" w:rsidRDefault="00783598" w:rsidP="001741A7">
      <w:pPr>
        <w:numPr>
          <w:ilvl w:val="0"/>
          <w:numId w:val="1"/>
        </w:numPr>
      </w:pPr>
      <w:r w:rsidRPr="00340E4C">
        <w:t>vestavěné stabilizátory</w:t>
      </w:r>
    </w:p>
    <w:p w:rsidR="00783598" w:rsidRPr="00340E4C" w:rsidRDefault="00783598"/>
    <w:p w:rsidR="00783598" w:rsidRPr="00340E4C" w:rsidRDefault="00783598">
      <w:r w:rsidRPr="00340E4C">
        <w:t>Nepřímé nástroje monetární politiky:</w:t>
      </w:r>
    </w:p>
    <w:p w:rsidR="00783598" w:rsidRPr="00340E4C" w:rsidRDefault="00783598" w:rsidP="001741A7">
      <w:pPr>
        <w:numPr>
          <w:ilvl w:val="0"/>
          <w:numId w:val="1"/>
        </w:numPr>
      </w:pPr>
      <w:r w:rsidRPr="00340E4C">
        <w:t>operace na otevřeném trhu – nákup a prodej vládních cenných papírů</w:t>
      </w:r>
    </w:p>
    <w:p w:rsidR="00783598" w:rsidRPr="00340E4C" w:rsidRDefault="00783598" w:rsidP="001741A7">
      <w:pPr>
        <w:numPr>
          <w:ilvl w:val="0"/>
          <w:numId w:val="1"/>
        </w:numPr>
      </w:pPr>
      <w:r w:rsidRPr="00340E4C">
        <w:t>povinné minimální rezervy – u nás dnes 2%, úročí se teprve od roku 2001</w:t>
      </w:r>
    </w:p>
    <w:p w:rsidR="00783598" w:rsidRPr="00340E4C" w:rsidRDefault="00783598" w:rsidP="001741A7">
      <w:pPr>
        <w:numPr>
          <w:ilvl w:val="0"/>
          <w:numId w:val="1"/>
        </w:numPr>
      </w:pPr>
      <w:r w:rsidRPr="00340E4C">
        <w:t>diskontní sazba – za úložku přes noc – u nás 0,75% p.a.</w:t>
      </w:r>
    </w:p>
    <w:p w:rsidR="00783598" w:rsidRPr="00340E4C" w:rsidRDefault="00783598" w:rsidP="001741A7">
      <w:pPr>
        <w:numPr>
          <w:ilvl w:val="0"/>
          <w:numId w:val="1"/>
        </w:numPr>
      </w:pPr>
      <w:r w:rsidRPr="00340E4C">
        <w:t>reposazba (asi 2%)</w:t>
      </w:r>
    </w:p>
    <w:p w:rsidR="00783598" w:rsidRPr="00340E4C" w:rsidRDefault="00783598" w:rsidP="001741A7">
      <w:pPr>
        <w:numPr>
          <w:ilvl w:val="0"/>
          <w:numId w:val="1"/>
        </w:numPr>
      </w:pPr>
      <w:r w:rsidRPr="00340E4C">
        <w:t>lombardní sazba – proti zástavě cenných papírů  - 2,75% p.a.</w:t>
      </w:r>
    </w:p>
    <w:p w:rsidR="00783598" w:rsidRPr="00340E4C" w:rsidRDefault="00783598" w:rsidP="001741A7">
      <w:pPr>
        <w:numPr>
          <w:ilvl w:val="0"/>
          <w:numId w:val="1"/>
        </w:numPr>
      </w:pPr>
      <w:r w:rsidRPr="00340E4C">
        <w:t>devizové rezervy - stahuje cizí měnu nebo pouští do oběhu domácí měnu a naopak</w:t>
      </w:r>
    </w:p>
    <w:p w:rsidR="00783598" w:rsidRPr="00340E4C" w:rsidRDefault="00783598"/>
    <w:p w:rsidR="00783598" w:rsidRPr="00340E4C" w:rsidRDefault="00783598">
      <w:pPr>
        <w:pStyle w:val="Textkrper"/>
        <w:autoSpaceDE w:val="0"/>
        <w:autoSpaceDN w:val="0"/>
        <w:adjustRightInd w:val="0"/>
        <w:rPr>
          <w:rFonts w:eastAsia="Times New Roman"/>
          <w:szCs w:val="20"/>
          <w:lang w:eastAsia="cs-CZ"/>
        </w:rPr>
      </w:pPr>
      <w:r w:rsidRPr="00340E4C">
        <w:rPr>
          <w:rFonts w:eastAsia="Times New Roman"/>
          <w:szCs w:val="20"/>
          <w:lang w:eastAsia="cs-CZ"/>
        </w:rPr>
        <w:t>Přímé nástroje monetární politiky:</w:t>
      </w:r>
    </w:p>
    <w:p w:rsidR="00783598" w:rsidRPr="00340E4C" w:rsidRDefault="00783598">
      <w:pPr>
        <w:autoSpaceDE w:val="0"/>
        <w:autoSpaceDN w:val="0"/>
        <w:adjustRightInd w:val="0"/>
        <w:jc w:val="both"/>
        <w:rPr>
          <w:rFonts w:ascii="TimesNewRoman" w:eastAsia="TimesNewRoman"/>
          <w:szCs w:val="20"/>
          <w:lang w:eastAsia="cs-CZ"/>
        </w:rPr>
      </w:pPr>
      <w:r w:rsidRPr="00340E4C">
        <w:rPr>
          <w:rFonts w:eastAsia="Times New Roman"/>
          <w:szCs w:val="20"/>
          <w:lang w:eastAsia="cs-CZ"/>
        </w:rPr>
        <w:t>- stanovení maximálních úrok</w:t>
      </w:r>
      <w:r w:rsidRPr="00340E4C">
        <w:rPr>
          <w:rFonts w:ascii="TimesNewRoman" w:eastAsia="TimesNewRoman"/>
          <w:szCs w:val="20"/>
          <w:lang w:eastAsia="cs-CZ"/>
        </w:rPr>
        <w:t>ů</w:t>
      </w:r>
      <w:r w:rsidRPr="00340E4C">
        <w:rPr>
          <w:rFonts w:ascii="TimesNewRoman" w:eastAsia="TimesNewRoman"/>
          <w:szCs w:val="20"/>
          <w:lang w:eastAsia="cs-CZ"/>
        </w:rPr>
        <w:t xml:space="preserve"> </w:t>
      </w:r>
      <w:r w:rsidRPr="00340E4C">
        <w:rPr>
          <w:rFonts w:eastAsia="Times New Roman"/>
          <w:szCs w:val="20"/>
          <w:lang w:eastAsia="cs-CZ"/>
        </w:rPr>
        <w:t>z úv</w:t>
      </w:r>
      <w:r w:rsidRPr="00340E4C">
        <w:rPr>
          <w:rFonts w:ascii="TimesNewRoman" w:eastAsia="TimesNewRoman"/>
          <w:szCs w:val="20"/>
          <w:lang w:eastAsia="cs-CZ"/>
        </w:rPr>
        <w:t>ě</w:t>
      </w:r>
      <w:r w:rsidRPr="00340E4C">
        <w:rPr>
          <w:rFonts w:eastAsia="Times New Roman"/>
          <w:szCs w:val="20"/>
          <w:lang w:eastAsia="cs-CZ"/>
        </w:rPr>
        <w:t>r</w:t>
      </w:r>
      <w:r w:rsidRPr="00340E4C">
        <w:rPr>
          <w:rFonts w:ascii="TimesNewRoman" w:eastAsia="TimesNewRoman"/>
          <w:szCs w:val="20"/>
          <w:lang w:eastAsia="cs-CZ"/>
        </w:rPr>
        <w:t>ů</w:t>
      </w:r>
    </w:p>
    <w:p w:rsidR="00783598" w:rsidRPr="00340E4C" w:rsidRDefault="00783598">
      <w:pPr>
        <w:autoSpaceDE w:val="0"/>
        <w:autoSpaceDN w:val="0"/>
        <w:adjustRightInd w:val="0"/>
        <w:jc w:val="both"/>
        <w:rPr>
          <w:rFonts w:ascii="TimesNewRoman" w:eastAsia="TimesNewRoman"/>
          <w:szCs w:val="20"/>
          <w:lang w:eastAsia="cs-CZ"/>
        </w:rPr>
      </w:pPr>
      <w:r w:rsidRPr="00340E4C">
        <w:rPr>
          <w:rFonts w:eastAsia="Times New Roman"/>
          <w:szCs w:val="20"/>
          <w:lang w:eastAsia="cs-CZ"/>
        </w:rPr>
        <w:t>- stanovení minimálních úrok</w:t>
      </w:r>
      <w:r w:rsidRPr="00340E4C">
        <w:rPr>
          <w:rFonts w:ascii="TimesNewRoman" w:eastAsia="TimesNewRoman"/>
          <w:szCs w:val="20"/>
          <w:lang w:eastAsia="cs-CZ"/>
        </w:rPr>
        <w:t>ů</w:t>
      </w:r>
      <w:r w:rsidRPr="00340E4C">
        <w:rPr>
          <w:rFonts w:ascii="TimesNewRoman" w:eastAsia="TimesNewRoman"/>
          <w:szCs w:val="20"/>
          <w:lang w:eastAsia="cs-CZ"/>
        </w:rPr>
        <w:t xml:space="preserve"> </w:t>
      </w:r>
      <w:r w:rsidRPr="00340E4C">
        <w:rPr>
          <w:rFonts w:eastAsia="Times New Roman"/>
          <w:szCs w:val="20"/>
          <w:lang w:eastAsia="cs-CZ"/>
        </w:rPr>
        <w:t>z vklad</w:t>
      </w:r>
      <w:r w:rsidRPr="00340E4C">
        <w:rPr>
          <w:rFonts w:ascii="TimesNewRoman" w:eastAsia="TimesNewRoman"/>
          <w:szCs w:val="20"/>
          <w:lang w:eastAsia="cs-CZ"/>
        </w:rPr>
        <w:t>ů</w:t>
      </w:r>
    </w:p>
    <w:p w:rsidR="00783598" w:rsidRPr="00340E4C" w:rsidRDefault="00783598">
      <w:pPr>
        <w:jc w:val="both"/>
      </w:pPr>
      <w:r w:rsidRPr="00340E4C">
        <w:rPr>
          <w:rFonts w:eastAsia="Times New Roman"/>
          <w:szCs w:val="20"/>
          <w:lang w:eastAsia="cs-CZ"/>
        </w:rPr>
        <w:t>- stanovení maximálního ob</w:t>
      </w:r>
      <w:r w:rsidR="003276CC" w:rsidRPr="003276CC">
        <w:rPr>
          <w:rFonts w:eastAsia="Times New Roman"/>
          <w:szCs w:val="20"/>
          <w:lang w:eastAsia="cs-CZ"/>
        </w:rPr>
        <w:t>je</w:t>
      </w:r>
      <w:r w:rsidR="003276CC" w:rsidRPr="003276CC">
        <w:rPr>
          <w:rFonts w:eastAsia="TimesNewRoman"/>
          <w:szCs w:val="20"/>
          <w:lang w:eastAsia="cs-CZ"/>
        </w:rPr>
        <w:t>m</w:t>
      </w:r>
      <w:r w:rsidRPr="00340E4C">
        <w:rPr>
          <w:rFonts w:eastAsia="Times New Roman"/>
          <w:szCs w:val="20"/>
          <w:lang w:eastAsia="cs-CZ"/>
        </w:rPr>
        <w:t>u úv</w:t>
      </w:r>
      <w:r w:rsidRPr="00340E4C">
        <w:rPr>
          <w:rFonts w:ascii="TimesNewRoman" w:eastAsia="TimesNewRoman"/>
          <w:szCs w:val="20"/>
          <w:lang w:eastAsia="cs-CZ"/>
        </w:rPr>
        <w:t>ě</w:t>
      </w:r>
      <w:r w:rsidRPr="00340E4C">
        <w:rPr>
          <w:rFonts w:eastAsia="Times New Roman"/>
          <w:szCs w:val="20"/>
          <w:lang w:eastAsia="cs-CZ"/>
        </w:rPr>
        <w:t>ru, které by komer</w:t>
      </w:r>
      <w:r w:rsidRPr="00340E4C">
        <w:rPr>
          <w:rFonts w:ascii="TimesNewRoman" w:eastAsia="TimesNewRoman"/>
          <w:szCs w:val="20"/>
          <w:lang w:eastAsia="cs-CZ"/>
        </w:rPr>
        <w:t>č</w:t>
      </w:r>
      <w:r w:rsidRPr="00340E4C">
        <w:rPr>
          <w:rFonts w:eastAsia="Times New Roman"/>
          <w:szCs w:val="20"/>
          <w:lang w:eastAsia="cs-CZ"/>
        </w:rPr>
        <w:t>ní banka mohla p</w:t>
      </w:r>
      <w:r w:rsidRPr="00340E4C">
        <w:rPr>
          <w:rFonts w:ascii="TimesNewRoman" w:eastAsia="TimesNewRoman"/>
          <w:szCs w:val="20"/>
          <w:lang w:eastAsia="cs-CZ"/>
        </w:rPr>
        <w:t>ů</w:t>
      </w:r>
      <w:r w:rsidRPr="00340E4C">
        <w:rPr>
          <w:rFonts w:eastAsia="Times New Roman"/>
          <w:szCs w:val="20"/>
          <w:lang w:eastAsia="cs-CZ"/>
        </w:rPr>
        <w:t>j</w:t>
      </w:r>
      <w:r w:rsidRPr="00340E4C">
        <w:rPr>
          <w:rFonts w:ascii="TimesNewRoman" w:eastAsia="TimesNewRoman"/>
          <w:szCs w:val="20"/>
          <w:lang w:eastAsia="cs-CZ"/>
        </w:rPr>
        <w:t>č</w:t>
      </w:r>
      <w:r w:rsidRPr="00340E4C">
        <w:rPr>
          <w:rFonts w:eastAsia="Times New Roman"/>
          <w:szCs w:val="20"/>
          <w:lang w:eastAsia="cs-CZ"/>
        </w:rPr>
        <w:t>it</w:t>
      </w:r>
    </w:p>
    <w:p w:rsidR="00783598" w:rsidRPr="00340E4C" w:rsidRDefault="00783598"/>
    <w:p w:rsidR="00783598" w:rsidRPr="00340E4C" w:rsidRDefault="00783598" w:rsidP="00636A7A">
      <w:pPr>
        <w:pStyle w:val="berschrift2"/>
      </w:pPr>
      <w:r w:rsidRPr="00340E4C">
        <w:t>Typy a účinky</w:t>
      </w:r>
    </w:p>
    <w:p w:rsidR="00783598" w:rsidRPr="00340E4C" w:rsidRDefault="00783598" w:rsidP="00636A7A">
      <w:pPr>
        <w:pStyle w:val="berschrift3"/>
        <w:rPr>
          <w:lang w:eastAsia="cs-CZ"/>
        </w:rPr>
      </w:pPr>
      <w:r w:rsidRPr="00340E4C">
        <w:rPr>
          <w:lang w:eastAsia="cs-CZ"/>
        </w:rPr>
        <w:t>aktivistická m</w:t>
      </w:r>
      <w:r w:rsidRPr="00340E4C">
        <w:rPr>
          <w:rFonts w:ascii="TimesNewRoman" w:eastAsia="TimesNewRoman"/>
          <w:lang w:eastAsia="cs-CZ"/>
        </w:rPr>
        <w:t>ě</w:t>
      </w:r>
      <w:r w:rsidRPr="00340E4C">
        <w:rPr>
          <w:lang w:eastAsia="cs-CZ"/>
        </w:rPr>
        <w:t xml:space="preserve">nová politika </w:t>
      </w:r>
    </w:p>
    <w:p w:rsidR="00783598" w:rsidRPr="00340E4C" w:rsidRDefault="00783598">
      <w:pPr>
        <w:rPr>
          <w:lang w:eastAsia="cs-CZ"/>
        </w:rPr>
      </w:pPr>
      <w:r w:rsidRPr="00340E4C">
        <w:rPr>
          <w:lang w:eastAsia="cs-CZ"/>
        </w:rPr>
        <w:t>p</w:t>
      </w:r>
      <w:r w:rsidRPr="00340E4C">
        <w:rPr>
          <w:rFonts w:ascii="TimesNewRoman" w:eastAsia="TimesNewRoman"/>
          <w:lang w:eastAsia="cs-CZ"/>
        </w:rPr>
        <w:t>ř</w:t>
      </w:r>
      <w:r w:rsidRPr="00340E4C">
        <w:rPr>
          <w:lang w:eastAsia="cs-CZ"/>
        </w:rPr>
        <w:t>izp</w:t>
      </w:r>
      <w:r w:rsidRPr="00340E4C">
        <w:rPr>
          <w:rFonts w:ascii="TimesNewRoman" w:eastAsia="TimesNewRoman"/>
          <w:lang w:eastAsia="cs-CZ"/>
        </w:rPr>
        <w:t>ů</w:t>
      </w:r>
      <w:r w:rsidRPr="00340E4C">
        <w:rPr>
          <w:lang w:eastAsia="cs-CZ"/>
        </w:rPr>
        <w:t>sobování m</w:t>
      </w:r>
      <w:r w:rsidRPr="00340E4C">
        <w:rPr>
          <w:rFonts w:ascii="TimesNewRoman" w:eastAsia="TimesNewRoman"/>
          <w:lang w:eastAsia="cs-CZ"/>
        </w:rPr>
        <w:t>ě</w:t>
      </w:r>
      <w:r w:rsidRPr="00340E4C">
        <w:rPr>
          <w:lang w:eastAsia="cs-CZ"/>
        </w:rPr>
        <w:t>nové politiky cyklickým výkyv</w:t>
      </w:r>
      <w:r w:rsidRPr="00340E4C">
        <w:rPr>
          <w:rFonts w:ascii="TimesNewRoman" w:eastAsia="TimesNewRoman"/>
          <w:lang w:eastAsia="cs-CZ"/>
        </w:rPr>
        <w:t>ů</w:t>
      </w:r>
      <w:r w:rsidRPr="00340E4C">
        <w:rPr>
          <w:lang w:eastAsia="cs-CZ"/>
        </w:rPr>
        <w:t>m.</w:t>
      </w:r>
    </w:p>
    <w:p w:rsidR="00783598" w:rsidRPr="00340E4C" w:rsidRDefault="00783598">
      <w:pPr>
        <w:rPr>
          <w:rFonts w:eastAsia="Times New Roman"/>
          <w:szCs w:val="20"/>
          <w:lang w:eastAsia="cs-CZ"/>
        </w:rPr>
      </w:pPr>
      <w:r w:rsidRPr="00340E4C">
        <w:rPr>
          <w:lang w:eastAsia="cs-CZ"/>
        </w:rPr>
        <w:t>Keynesiánci - politika levných pen</w:t>
      </w:r>
      <w:r w:rsidRPr="00340E4C">
        <w:rPr>
          <w:rFonts w:ascii="TimesNewRoman" w:eastAsia="TimesNewRoman"/>
          <w:lang w:eastAsia="cs-CZ"/>
        </w:rPr>
        <w:t>ě</w:t>
      </w:r>
      <w:r w:rsidRPr="00340E4C">
        <w:rPr>
          <w:lang w:eastAsia="cs-CZ"/>
        </w:rPr>
        <w:t>z - po druhé sv. válce v USA se snažili stla</w:t>
      </w:r>
      <w:r w:rsidRPr="00340E4C">
        <w:rPr>
          <w:rFonts w:ascii="TimesNewRoman" w:eastAsia="TimesNewRoman"/>
          <w:lang w:eastAsia="cs-CZ"/>
        </w:rPr>
        <w:t>č</w:t>
      </w:r>
      <w:r w:rsidRPr="00340E4C">
        <w:rPr>
          <w:lang w:eastAsia="cs-CZ"/>
        </w:rPr>
        <w:t>it úrokovou míru co nejníže – nízká úroková míra by zajiš</w:t>
      </w:r>
      <w:r w:rsidRPr="00340E4C">
        <w:rPr>
          <w:rFonts w:ascii="TimesNewRoman" w:eastAsia="TimesNewRoman"/>
          <w:lang w:eastAsia="cs-CZ"/>
        </w:rPr>
        <w:t>ť</w:t>
      </w:r>
      <w:r w:rsidRPr="00340E4C">
        <w:rPr>
          <w:lang w:eastAsia="cs-CZ"/>
        </w:rPr>
        <w:t>ovala levné financování jejich dluh</w:t>
      </w:r>
      <w:r w:rsidRPr="00340E4C">
        <w:rPr>
          <w:rFonts w:ascii="TimesNewRoman" w:eastAsia="TimesNewRoman"/>
          <w:lang w:eastAsia="cs-CZ"/>
        </w:rPr>
        <w:t>ů</w:t>
      </w:r>
      <w:r w:rsidRPr="00340E4C">
        <w:rPr>
          <w:rFonts w:ascii="TimesNewRoman" w:eastAsia="TimesNewRoman"/>
          <w:lang w:eastAsia="cs-CZ"/>
        </w:rPr>
        <w:t xml:space="preserve">  </w:t>
      </w:r>
      <w:r w:rsidRPr="00340E4C">
        <w:rPr>
          <w:lang w:eastAsia="cs-CZ"/>
        </w:rPr>
        <w:t>- klidn</w:t>
      </w:r>
      <w:r w:rsidRPr="00340E4C">
        <w:rPr>
          <w:rFonts w:ascii="TimesNewRoman" w:eastAsia="TimesNewRoman"/>
          <w:lang w:eastAsia="cs-CZ"/>
        </w:rPr>
        <w:t>ě</w:t>
      </w:r>
      <w:r w:rsidRPr="00340E4C">
        <w:rPr>
          <w:rFonts w:ascii="TimesNewRoman" w:eastAsia="TimesNewRoman"/>
          <w:lang w:eastAsia="cs-CZ"/>
        </w:rPr>
        <w:t xml:space="preserve"> </w:t>
      </w:r>
      <w:r w:rsidRPr="00340E4C">
        <w:rPr>
          <w:lang w:eastAsia="cs-CZ"/>
        </w:rPr>
        <w:t>by m</w:t>
      </w:r>
      <w:r w:rsidRPr="00340E4C">
        <w:rPr>
          <w:rFonts w:ascii="TimesNewRoman" w:eastAsia="TimesNewRoman"/>
          <w:lang w:eastAsia="cs-CZ"/>
        </w:rPr>
        <w:t>ě</w:t>
      </w:r>
      <w:r w:rsidRPr="00340E4C">
        <w:rPr>
          <w:lang w:eastAsia="cs-CZ"/>
        </w:rPr>
        <w:t>nili úrokovou míru podle pot</w:t>
      </w:r>
      <w:r w:rsidRPr="00340E4C">
        <w:rPr>
          <w:rFonts w:ascii="TimesNewRoman" w:eastAsia="TimesNewRoman"/>
          <w:lang w:eastAsia="cs-CZ"/>
        </w:rPr>
        <w:t>ř</w:t>
      </w:r>
      <w:r w:rsidRPr="00340E4C">
        <w:rPr>
          <w:lang w:eastAsia="cs-CZ"/>
        </w:rPr>
        <w:t>eby - jak se jim to hodí transmisní mechanizmus - r</w:t>
      </w:r>
      <w:r w:rsidRPr="00340E4C">
        <w:rPr>
          <w:rFonts w:ascii="TimesNewRoman" w:eastAsia="TimesNewRoman"/>
          <w:lang w:eastAsia="cs-CZ"/>
        </w:rPr>
        <w:t>ů</w:t>
      </w:r>
      <w:r w:rsidRPr="00340E4C">
        <w:rPr>
          <w:lang w:eastAsia="cs-CZ"/>
        </w:rPr>
        <w:t>st pen</w:t>
      </w:r>
      <w:r w:rsidRPr="00340E4C">
        <w:rPr>
          <w:rFonts w:ascii="TimesNewRoman" w:eastAsia="TimesNewRoman"/>
          <w:lang w:eastAsia="cs-CZ"/>
        </w:rPr>
        <w:t>ě</w:t>
      </w:r>
      <w:r w:rsidRPr="00340E4C">
        <w:rPr>
          <w:lang w:eastAsia="cs-CZ"/>
        </w:rPr>
        <w:t>žní zásoby -&gt; pokles úrokové míry -&gt; r</w:t>
      </w:r>
      <w:r w:rsidRPr="00340E4C">
        <w:rPr>
          <w:rFonts w:ascii="TimesNewRoman" w:eastAsia="TimesNewRoman"/>
          <w:lang w:eastAsia="cs-CZ"/>
        </w:rPr>
        <w:t>ů</w:t>
      </w:r>
      <w:r w:rsidRPr="00340E4C">
        <w:rPr>
          <w:lang w:eastAsia="cs-CZ"/>
        </w:rPr>
        <w:t>st investic, spot</w:t>
      </w:r>
      <w:r w:rsidRPr="00340E4C">
        <w:rPr>
          <w:rFonts w:ascii="TimesNewRoman" w:eastAsia="TimesNewRoman"/>
          <w:lang w:eastAsia="cs-CZ"/>
        </w:rPr>
        <w:t>ř</w:t>
      </w:r>
      <w:r w:rsidRPr="00340E4C">
        <w:rPr>
          <w:lang w:eastAsia="cs-CZ"/>
        </w:rPr>
        <w:t>eby... -&gt; r</w:t>
      </w:r>
      <w:r w:rsidRPr="00340E4C">
        <w:rPr>
          <w:rFonts w:ascii="TimesNewRoman" w:eastAsia="TimesNewRoman"/>
          <w:lang w:eastAsia="cs-CZ"/>
        </w:rPr>
        <w:t>ů</w:t>
      </w:r>
      <w:r w:rsidRPr="00340E4C">
        <w:rPr>
          <w:lang w:eastAsia="cs-CZ"/>
        </w:rPr>
        <w:t>st agregátní poptávky -&gt; r</w:t>
      </w:r>
      <w:r w:rsidRPr="00340E4C">
        <w:rPr>
          <w:rFonts w:ascii="TimesNewRoman" w:eastAsia="TimesNewRoman"/>
          <w:lang w:eastAsia="cs-CZ"/>
        </w:rPr>
        <w:t>ů</w:t>
      </w:r>
      <w:r w:rsidRPr="00340E4C">
        <w:rPr>
          <w:lang w:eastAsia="cs-CZ"/>
        </w:rPr>
        <w:t>st produktu, zam</w:t>
      </w:r>
      <w:r w:rsidRPr="00340E4C">
        <w:rPr>
          <w:rFonts w:ascii="TimesNewRoman" w:eastAsia="TimesNewRoman"/>
          <w:lang w:eastAsia="cs-CZ"/>
        </w:rPr>
        <w:t>ě</w:t>
      </w:r>
      <w:r w:rsidRPr="00340E4C">
        <w:rPr>
          <w:lang w:eastAsia="cs-CZ"/>
        </w:rPr>
        <w:t xml:space="preserve">stnanosti i cenové hladiny </w:t>
      </w:r>
      <w:r w:rsidRPr="00340E4C">
        <w:rPr>
          <w:rFonts w:eastAsia="Times New Roman"/>
          <w:szCs w:val="20"/>
          <w:lang w:eastAsia="cs-CZ"/>
        </w:rPr>
        <w:t>- m</w:t>
      </w:r>
      <w:r w:rsidRPr="00340E4C">
        <w:rPr>
          <w:rFonts w:ascii="TimesNewRoman" w:eastAsia="TimesNewRoman"/>
          <w:szCs w:val="20"/>
          <w:lang w:eastAsia="cs-CZ"/>
        </w:rPr>
        <w:t>ů</w:t>
      </w:r>
      <w:r w:rsidRPr="00340E4C">
        <w:rPr>
          <w:rFonts w:eastAsia="Times New Roman"/>
          <w:szCs w:val="20"/>
          <w:lang w:eastAsia="cs-CZ"/>
        </w:rPr>
        <w:t>že dojít k defla</w:t>
      </w:r>
      <w:r w:rsidRPr="00340E4C">
        <w:rPr>
          <w:rFonts w:ascii="TimesNewRoman" w:eastAsia="TimesNewRoman"/>
          <w:szCs w:val="20"/>
          <w:lang w:eastAsia="cs-CZ"/>
        </w:rPr>
        <w:t>č</w:t>
      </w:r>
      <w:r w:rsidRPr="00340E4C">
        <w:rPr>
          <w:rFonts w:eastAsia="Times New Roman"/>
          <w:szCs w:val="20"/>
          <w:lang w:eastAsia="cs-CZ"/>
        </w:rPr>
        <w:t>ní impotenci</w:t>
      </w:r>
    </w:p>
    <w:p w:rsidR="00783598" w:rsidRPr="00340E4C" w:rsidRDefault="00783598" w:rsidP="00636A7A">
      <w:pPr>
        <w:pStyle w:val="berschrift3"/>
        <w:rPr>
          <w:lang w:eastAsia="cs-CZ"/>
        </w:rPr>
      </w:pPr>
      <w:r w:rsidRPr="00340E4C">
        <w:rPr>
          <w:lang w:eastAsia="cs-CZ"/>
        </w:rPr>
        <w:lastRenderedPageBreak/>
        <w:t>Politika stálého pravidla</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Monetaristé - obávají se míry inflace - tomu pod</w:t>
      </w:r>
      <w:r w:rsidRPr="00340E4C">
        <w:rPr>
          <w:rFonts w:ascii="TimesNewRoman" w:eastAsia="TimesNewRoman"/>
          <w:szCs w:val="20"/>
          <w:lang w:eastAsia="cs-CZ"/>
        </w:rPr>
        <w:t>ř</w:t>
      </w:r>
      <w:r w:rsidRPr="00340E4C">
        <w:rPr>
          <w:rFonts w:eastAsia="Times New Roman"/>
          <w:szCs w:val="20"/>
          <w:lang w:eastAsia="cs-CZ"/>
        </w:rPr>
        <w:t>ídili m</w:t>
      </w:r>
      <w:r w:rsidRPr="00340E4C">
        <w:rPr>
          <w:rFonts w:ascii="TimesNewRoman" w:eastAsia="TimesNewRoman"/>
          <w:szCs w:val="20"/>
          <w:lang w:eastAsia="cs-CZ"/>
        </w:rPr>
        <w:t>ě</w:t>
      </w:r>
      <w:r w:rsidRPr="00340E4C">
        <w:rPr>
          <w:rFonts w:eastAsia="Times New Roman"/>
          <w:szCs w:val="20"/>
          <w:lang w:eastAsia="cs-CZ"/>
        </w:rPr>
        <w:t>novou politiku</w:t>
      </w:r>
    </w:p>
    <w:p w:rsidR="00783598" w:rsidRPr="00340E4C" w:rsidRDefault="00783598">
      <w:pPr>
        <w:autoSpaceDE w:val="0"/>
        <w:autoSpaceDN w:val="0"/>
        <w:adjustRightInd w:val="0"/>
        <w:jc w:val="both"/>
        <w:rPr>
          <w:lang w:eastAsia="cs-CZ"/>
        </w:rPr>
      </w:pPr>
      <w:r w:rsidRPr="00340E4C">
        <w:rPr>
          <w:lang w:eastAsia="cs-CZ"/>
        </w:rPr>
        <w:t>- na rozdíl od Keynesiánc</w:t>
      </w:r>
      <w:r w:rsidRPr="00340E4C">
        <w:rPr>
          <w:rFonts w:ascii="TimesNewRoman" w:eastAsia="TimesNewRoman"/>
          <w:lang w:eastAsia="cs-CZ"/>
        </w:rPr>
        <w:t>ů</w:t>
      </w:r>
      <w:r w:rsidRPr="00340E4C">
        <w:rPr>
          <w:rFonts w:ascii="TimesNewRoman" w:eastAsia="TimesNewRoman"/>
          <w:lang w:eastAsia="cs-CZ"/>
        </w:rPr>
        <w:t xml:space="preserve"> </w:t>
      </w:r>
      <w:r w:rsidRPr="00340E4C">
        <w:rPr>
          <w:lang w:eastAsia="cs-CZ"/>
        </w:rPr>
        <w:t>tvrdí, že m</w:t>
      </w:r>
      <w:r w:rsidRPr="00340E4C">
        <w:rPr>
          <w:rFonts w:ascii="TimesNewRoman" w:eastAsia="TimesNewRoman"/>
          <w:lang w:eastAsia="cs-CZ"/>
        </w:rPr>
        <w:t>ě</w:t>
      </w:r>
      <w:r w:rsidRPr="00340E4C">
        <w:rPr>
          <w:lang w:eastAsia="cs-CZ"/>
        </w:rPr>
        <w:t>nová politika je velmi ú</w:t>
      </w:r>
      <w:r w:rsidRPr="00340E4C">
        <w:rPr>
          <w:rFonts w:ascii="TimesNewRoman" w:eastAsia="TimesNewRoman"/>
          <w:lang w:eastAsia="cs-CZ"/>
        </w:rPr>
        <w:t>č</w:t>
      </w:r>
      <w:r w:rsidRPr="00340E4C">
        <w:rPr>
          <w:lang w:eastAsia="cs-CZ"/>
        </w:rPr>
        <w:t>inná, ale neznamená to, že by jí m</w:t>
      </w:r>
      <w:r w:rsidRPr="00340E4C">
        <w:rPr>
          <w:rFonts w:ascii="TimesNewRoman" w:eastAsia="TimesNewRoman"/>
          <w:lang w:eastAsia="cs-CZ"/>
        </w:rPr>
        <w:t>ě</w:t>
      </w:r>
      <w:r w:rsidRPr="00340E4C">
        <w:rPr>
          <w:lang w:eastAsia="cs-CZ"/>
        </w:rPr>
        <w:t>ly centrální banky používat</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v krátkém období uznávají dopady (6-9 m</w:t>
      </w:r>
      <w:r w:rsidRPr="00340E4C">
        <w:rPr>
          <w:rFonts w:ascii="TimesNewRoman" w:eastAsia="TimesNewRoman"/>
          <w:szCs w:val="20"/>
          <w:lang w:eastAsia="cs-CZ"/>
        </w:rPr>
        <w:t>ě</w:t>
      </w:r>
      <w:r w:rsidRPr="00340E4C">
        <w:rPr>
          <w:rFonts w:eastAsia="Times New Roman"/>
          <w:szCs w:val="20"/>
          <w:lang w:eastAsia="cs-CZ"/>
        </w:rPr>
        <w:t>síc</w:t>
      </w:r>
      <w:r w:rsidRPr="00340E4C">
        <w:rPr>
          <w:rFonts w:ascii="TimesNewRoman" w:eastAsia="TimesNewRoman"/>
          <w:szCs w:val="20"/>
          <w:lang w:eastAsia="cs-CZ"/>
        </w:rPr>
        <w:t>ů</w:t>
      </w:r>
      <w:r w:rsidRPr="00340E4C">
        <w:rPr>
          <w:rFonts w:eastAsia="Times New Roman"/>
          <w:szCs w:val="20"/>
          <w:lang w:eastAsia="cs-CZ"/>
        </w:rPr>
        <w:t>), ale za dalších 9 m</w:t>
      </w:r>
      <w:r w:rsidRPr="00340E4C">
        <w:rPr>
          <w:rFonts w:ascii="TimesNewRoman" w:eastAsia="TimesNewRoman"/>
          <w:szCs w:val="20"/>
          <w:lang w:eastAsia="cs-CZ"/>
        </w:rPr>
        <w:t>ě</w:t>
      </w:r>
      <w:r w:rsidRPr="00340E4C">
        <w:rPr>
          <w:rFonts w:eastAsia="Times New Roman"/>
          <w:szCs w:val="20"/>
          <w:lang w:eastAsia="cs-CZ"/>
        </w:rPr>
        <w:t>síc</w:t>
      </w:r>
      <w:r w:rsidRPr="00340E4C">
        <w:rPr>
          <w:rFonts w:ascii="TimesNewRoman" w:eastAsia="TimesNewRoman"/>
          <w:szCs w:val="20"/>
          <w:lang w:eastAsia="cs-CZ"/>
        </w:rPr>
        <w:t>ů</w:t>
      </w:r>
      <w:r w:rsidRPr="00340E4C">
        <w:rPr>
          <w:rFonts w:ascii="TimesNewRoman" w:eastAsia="TimesNewRoman"/>
          <w:szCs w:val="20"/>
          <w:lang w:eastAsia="cs-CZ"/>
        </w:rPr>
        <w:t xml:space="preserve"> </w:t>
      </w:r>
      <w:r w:rsidRPr="00340E4C">
        <w:rPr>
          <w:rFonts w:eastAsia="Times New Roman"/>
          <w:szCs w:val="20"/>
          <w:lang w:eastAsia="cs-CZ"/>
        </w:rPr>
        <w:t>by byl jediný dopad zvýšení cenové hladiny</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pen</w:t>
      </w:r>
      <w:r w:rsidRPr="00340E4C">
        <w:rPr>
          <w:rFonts w:ascii="TimesNewRoman" w:eastAsia="TimesNewRoman"/>
          <w:szCs w:val="20"/>
          <w:lang w:eastAsia="cs-CZ"/>
        </w:rPr>
        <w:t>ě</w:t>
      </w:r>
      <w:r w:rsidRPr="00340E4C">
        <w:rPr>
          <w:rFonts w:eastAsia="Times New Roman"/>
          <w:szCs w:val="20"/>
          <w:lang w:eastAsia="cs-CZ"/>
        </w:rPr>
        <w:t>žní zásoba by m</w:t>
      </w:r>
      <w:r w:rsidRPr="00340E4C">
        <w:rPr>
          <w:rFonts w:ascii="TimesNewRoman" w:eastAsia="TimesNewRoman"/>
          <w:szCs w:val="20"/>
          <w:lang w:eastAsia="cs-CZ"/>
        </w:rPr>
        <w:t>ě</w:t>
      </w:r>
      <w:r w:rsidRPr="00340E4C">
        <w:rPr>
          <w:rFonts w:eastAsia="Times New Roman"/>
          <w:szCs w:val="20"/>
          <w:lang w:eastAsia="cs-CZ"/>
        </w:rPr>
        <w:t>la r</w:t>
      </w:r>
      <w:r w:rsidRPr="00340E4C">
        <w:rPr>
          <w:rFonts w:ascii="TimesNewRoman" w:eastAsia="TimesNewRoman"/>
          <w:szCs w:val="20"/>
          <w:lang w:eastAsia="cs-CZ"/>
        </w:rPr>
        <w:t>ů</w:t>
      </w:r>
      <w:r w:rsidRPr="00340E4C">
        <w:rPr>
          <w:rFonts w:eastAsia="Times New Roman"/>
          <w:szCs w:val="20"/>
          <w:lang w:eastAsia="cs-CZ"/>
        </w:rPr>
        <w:t>st tempem 3 - 5% ro</w:t>
      </w:r>
      <w:r w:rsidRPr="00340E4C">
        <w:rPr>
          <w:rFonts w:ascii="TimesNewRoman" w:eastAsia="TimesNewRoman"/>
          <w:szCs w:val="20"/>
          <w:lang w:eastAsia="cs-CZ"/>
        </w:rPr>
        <w:t>č</w:t>
      </w:r>
      <w:r w:rsidRPr="00340E4C">
        <w:rPr>
          <w:rFonts w:eastAsia="Times New Roman"/>
          <w:szCs w:val="20"/>
          <w:lang w:eastAsia="cs-CZ"/>
        </w:rPr>
        <w:t>n</w:t>
      </w:r>
      <w:r w:rsidRPr="00340E4C">
        <w:rPr>
          <w:rFonts w:ascii="TimesNewRoman" w:eastAsia="TimesNewRoman"/>
          <w:szCs w:val="20"/>
          <w:lang w:eastAsia="cs-CZ"/>
        </w:rPr>
        <w:t>ě</w:t>
      </w:r>
      <w:r w:rsidRPr="00340E4C">
        <w:rPr>
          <w:rFonts w:ascii="TimesNewRoman" w:eastAsia="TimesNewRoman"/>
          <w:szCs w:val="20"/>
          <w:lang w:eastAsia="cs-CZ"/>
        </w:rPr>
        <w:t xml:space="preserve"> </w:t>
      </w:r>
      <w:r w:rsidRPr="00340E4C">
        <w:rPr>
          <w:rFonts w:eastAsia="Times New Roman"/>
          <w:szCs w:val="20"/>
          <w:lang w:eastAsia="cs-CZ"/>
        </w:rPr>
        <w:t>po</w:t>
      </w:r>
      <w:r w:rsidRPr="00340E4C">
        <w:rPr>
          <w:rFonts w:ascii="TimesNewRoman" w:eastAsia="TimesNewRoman"/>
          <w:szCs w:val="20"/>
          <w:lang w:eastAsia="cs-CZ"/>
        </w:rPr>
        <w:t>ř</w:t>
      </w:r>
      <w:r w:rsidRPr="00340E4C">
        <w:rPr>
          <w:rFonts w:eastAsia="Times New Roman"/>
          <w:szCs w:val="20"/>
          <w:lang w:eastAsia="cs-CZ"/>
        </w:rPr>
        <w:t>ád a to zajistí, že nedojde ke zvýšení</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míry inflace</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problém je že by centrální banka musela pln</w:t>
      </w:r>
      <w:r w:rsidRPr="00340E4C">
        <w:rPr>
          <w:rFonts w:ascii="TimesNewRoman" w:eastAsia="TimesNewRoman"/>
          <w:szCs w:val="20"/>
          <w:lang w:eastAsia="cs-CZ"/>
        </w:rPr>
        <w:t>ě</w:t>
      </w:r>
      <w:r w:rsidRPr="00340E4C">
        <w:rPr>
          <w:rFonts w:ascii="TimesNewRoman" w:eastAsia="TimesNewRoman"/>
          <w:szCs w:val="20"/>
          <w:lang w:eastAsia="cs-CZ"/>
        </w:rPr>
        <w:t xml:space="preserve"> </w:t>
      </w:r>
      <w:r w:rsidRPr="00340E4C">
        <w:rPr>
          <w:rFonts w:eastAsia="Times New Roman"/>
          <w:szCs w:val="20"/>
          <w:lang w:eastAsia="cs-CZ"/>
        </w:rPr>
        <w:t>ovládat pen</w:t>
      </w:r>
      <w:r w:rsidRPr="00340E4C">
        <w:rPr>
          <w:rFonts w:ascii="TimesNewRoman" w:eastAsia="TimesNewRoman"/>
          <w:szCs w:val="20"/>
          <w:lang w:eastAsia="cs-CZ"/>
        </w:rPr>
        <w:t>ě</w:t>
      </w:r>
      <w:r w:rsidRPr="00340E4C">
        <w:rPr>
          <w:rFonts w:eastAsia="Times New Roman"/>
          <w:szCs w:val="20"/>
          <w:lang w:eastAsia="cs-CZ"/>
        </w:rPr>
        <w:t>žní zásobu a m</w:t>
      </w:r>
      <w:r w:rsidRPr="00340E4C">
        <w:rPr>
          <w:rFonts w:ascii="TimesNewRoman" w:eastAsia="TimesNewRoman"/>
          <w:szCs w:val="20"/>
          <w:lang w:eastAsia="cs-CZ"/>
        </w:rPr>
        <w:t>ě</w:t>
      </w:r>
      <w:r w:rsidRPr="00340E4C">
        <w:rPr>
          <w:rFonts w:eastAsia="Times New Roman"/>
          <w:szCs w:val="20"/>
          <w:lang w:eastAsia="cs-CZ"/>
        </w:rPr>
        <w:t>la by být stabilní nebo p</w:t>
      </w:r>
      <w:r w:rsidRPr="00340E4C">
        <w:rPr>
          <w:rFonts w:ascii="TimesNewRoman" w:eastAsia="TimesNewRoman"/>
          <w:szCs w:val="20"/>
          <w:lang w:eastAsia="cs-CZ"/>
        </w:rPr>
        <w:t>ř</w:t>
      </w:r>
      <w:r w:rsidRPr="00340E4C">
        <w:rPr>
          <w:rFonts w:eastAsia="Times New Roman"/>
          <w:szCs w:val="20"/>
          <w:lang w:eastAsia="cs-CZ"/>
        </w:rPr>
        <w:t>edvídatelná poptávka po pen</w:t>
      </w:r>
      <w:r w:rsidRPr="00340E4C">
        <w:rPr>
          <w:rFonts w:ascii="TimesNewRoman" w:eastAsia="TimesNewRoman"/>
          <w:szCs w:val="20"/>
          <w:lang w:eastAsia="cs-CZ"/>
        </w:rPr>
        <w:t>ě</w:t>
      </w:r>
      <w:r w:rsidRPr="00340E4C">
        <w:rPr>
          <w:rFonts w:eastAsia="Times New Roman"/>
          <w:szCs w:val="20"/>
          <w:lang w:eastAsia="cs-CZ"/>
        </w:rPr>
        <w:t>zích</w:t>
      </w:r>
    </w:p>
    <w:p w:rsidR="00783598" w:rsidRPr="00340E4C" w:rsidRDefault="00783598" w:rsidP="00636A7A">
      <w:pPr>
        <w:pStyle w:val="berschrift3"/>
        <w:rPr>
          <w:lang w:eastAsia="cs-CZ"/>
        </w:rPr>
      </w:pPr>
      <w:r w:rsidRPr="00340E4C">
        <w:rPr>
          <w:lang w:eastAsia="cs-CZ"/>
        </w:rPr>
        <w:t xml:space="preserve">Cílování inflace </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Centrální banka vyhlásí kone</w:t>
      </w:r>
      <w:r w:rsidRPr="00340E4C">
        <w:rPr>
          <w:rFonts w:ascii="TimesNewRoman" w:eastAsia="TimesNewRoman"/>
          <w:szCs w:val="20"/>
          <w:lang w:eastAsia="cs-CZ"/>
        </w:rPr>
        <w:t>č</w:t>
      </w:r>
      <w:r w:rsidRPr="00340E4C">
        <w:rPr>
          <w:rFonts w:eastAsia="Times New Roman"/>
          <w:szCs w:val="20"/>
          <w:lang w:eastAsia="cs-CZ"/>
        </w:rPr>
        <w:t>né cíle a pak se je snaží dodržet</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je to srozumitelné pro ve</w:t>
      </w:r>
      <w:r w:rsidRPr="00340E4C">
        <w:rPr>
          <w:rFonts w:ascii="TimesNewRoman" w:eastAsia="TimesNewRoman"/>
          <w:szCs w:val="20"/>
          <w:lang w:eastAsia="cs-CZ"/>
        </w:rPr>
        <w:t>ř</w:t>
      </w:r>
      <w:r w:rsidRPr="00340E4C">
        <w:rPr>
          <w:rFonts w:eastAsia="Times New Roman"/>
          <w:szCs w:val="20"/>
          <w:lang w:eastAsia="cs-CZ"/>
        </w:rPr>
        <w:t>ejnost</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inflace by se m</w:t>
      </w:r>
      <w:r w:rsidRPr="00340E4C">
        <w:rPr>
          <w:rFonts w:ascii="TimesNewRoman" w:eastAsia="TimesNewRoman"/>
          <w:szCs w:val="20"/>
          <w:lang w:eastAsia="cs-CZ"/>
        </w:rPr>
        <w:t>ě</w:t>
      </w:r>
      <w:r w:rsidRPr="00340E4C">
        <w:rPr>
          <w:rFonts w:eastAsia="Times New Roman"/>
          <w:szCs w:val="20"/>
          <w:lang w:eastAsia="cs-CZ"/>
        </w:rPr>
        <w:t>la pohybovat od 2 - 4%</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kone</w:t>
      </w:r>
      <w:r w:rsidRPr="00340E4C">
        <w:rPr>
          <w:rFonts w:ascii="TimesNewRoman" w:eastAsia="TimesNewRoman"/>
          <w:szCs w:val="20"/>
          <w:lang w:eastAsia="cs-CZ"/>
        </w:rPr>
        <w:t>č</w:t>
      </w:r>
      <w:r w:rsidRPr="00340E4C">
        <w:rPr>
          <w:rFonts w:eastAsia="Times New Roman"/>
          <w:szCs w:val="20"/>
          <w:lang w:eastAsia="cs-CZ"/>
        </w:rPr>
        <w:t>né cíle - u Keynesiánc</w:t>
      </w:r>
      <w:r w:rsidRPr="00340E4C">
        <w:rPr>
          <w:rFonts w:ascii="TimesNewRoman" w:eastAsia="TimesNewRoman"/>
          <w:szCs w:val="20"/>
          <w:lang w:eastAsia="cs-CZ"/>
        </w:rPr>
        <w:t>ů</w:t>
      </w:r>
      <w:r w:rsidRPr="00340E4C">
        <w:rPr>
          <w:rFonts w:ascii="TimesNewRoman" w:eastAsia="TimesNewRoman"/>
          <w:szCs w:val="20"/>
          <w:lang w:eastAsia="cs-CZ"/>
        </w:rPr>
        <w:t xml:space="preserve"> </w:t>
      </w:r>
      <w:r w:rsidRPr="00340E4C">
        <w:rPr>
          <w:rFonts w:eastAsia="Times New Roman"/>
          <w:szCs w:val="20"/>
          <w:lang w:eastAsia="cs-CZ"/>
        </w:rPr>
        <w:t>vysoká zam</w:t>
      </w:r>
      <w:r w:rsidRPr="00340E4C">
        <w:rPr>
          <w:rFonts w:ascii="TimesNewRoman" w:eastAsia="TimesNewRoman"/>
          <w:szCs w:val="20"/>
          <w:lang w:eastAsia="cs-CZ"/>
        </w:rPr>
        <w:t>ě</w:t>
      </w:r>
      <w:r w:rsidRPr="00340E4C">
        <w:rPr>
          <w:rFonts w:eastAsia="Times New Roman"/>
          <w:szCs w:val="20"/>
          <w:lang w:eastAsia="cs-CZ"/>
        </w:rPr>
        <w:t>stnanost</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u monetarist</w:t>
      </w:r>
      <w:r w:rsidRPr="00340E4C">
        <w:rPr>
          <w:rFonts w:ascii="TimesNewRoman" w:eastAsia="TimesNewRoman"/>
          <w:szCs w:val="20"/>
          <w:lang w:eastAsia="cs-CZ"/>
        </w:rPr>
        <w:t>ů</w:t>
      </w:r>
      <w:r w:rsidRPr="00340E4C">
        <w:rPr>
          <w:rFonts w:ascii="TimesNewRoman" w:eastAsia="TimesNewRoman"/>
          <w:szCs w:val="20"/>
          <w:lang w:eastAsia="cs-CZ"/>
        </w:rPr>
        <w:t xml:space="preserve"> </w:t>
      </w:r>
      <w:r w:rsidRPr="00340E4C">
        <w:rPr>
          <w:rFonts w:eastAsia="Times New Roman"/>
          <w:szCs w:val="20"/>
          <w:lang w:eastAsia="cs-CZ"/>
        </w:rPr>
        <w:t>nízká míra inflace</w:t>
      </w:r>
    </w:p>
    <w:p w:rsidR="00783598" w:rsidRPr="00340E4C" w:rsidRDefault="00783598">
      <w:pPr>
        <w:autoSpaceDE w:val="0"/>
        <w:autoSpaceDN w:val="0"/>
        <w:adjustRightInd w:val="0"/>
        <w:jc w:val="both"/>
        <w:rPr>
          <w:rFonts w:ascii="TimesNewRoman" w:eastAsia="TimesNewRoman"/>
          <w:szCs w:val="20"/>
          <w:lang w:eastAsia="cs-CZ"/>
        </w:rPr>
      </w:pPr>
      <w:r w:rsidRPr="00340E4C">
        <w:rPr>
          <w:rFonts w:eastAsia="Times New Roman"/>
          <w:szCs w:val="20"/>
          <w:lang w:eastAsia="cs-CZ"/>
        </w:rPr>
        <w:t>- zprost</w:t>
      </w:r>
      <w:r w:rsidRPr="00340E4C">
        <w:rPr>
          <w:rFonts w:ascii="TimesNewRoman" w:eastAsia="TimesNewRoman"/>
          <w:szCs w:val="20"/>
          <w:lang w:eastAsia="cs-CZ"/>
        </w:rPr>
        <w:t>ř</w:t>
      </w:r>
      <w:r w:rsidRPr="00340E4C">
        <w:rPr>
          <w:rFonts w:eastAsia="Times New Roman"/>
          <w:szCs w:val="20"/>
          <w:lang w:eastAsia="cs-CZ"/>
        </w:rPr>
        <w:t>edkující cíle - pomocí nich m</w:t>
      </w:r>
      <w:r w:rsidRPr="00340E4C">
        <w:rPr>
          <w:rFonts w:ascii="TimesNewRoman" w:eastAsia="TimesNewRoman"/>
          <w:szCs w:val="20"/>
          <w:lang w:eastAsia="cs-CZ"/>
        </w:rPr>
        <w:t>ů</w:t>
      </w:r>
      <w:r w:rsidRPr="00340E4C">
        <w:rPr>
          <w:rFonts w:eastAsia="Times New Roman"/>
          <w:szCs w:val="20"/>
          <w:lang w:eastAsia="cs-CZ"/>
        </w:rPr>
        <w:t>že centrální banka dosáhnout kone</w:t>
      </w:r>
      <w:r w:rsidRPr="00340E4C">
        <w:rPr>
          <w:rFonts w:ascii="TimesNewRoman" w:eastAsia="TimesNewRoman"/>
          <w:szCs w:val="20"/>
          <w:lang w:eastAsia="cs-CZ"/>
        </w:rPr>
        <w:t>č</w:t>
      </w:r>
      <w:r w:rsidRPr="00340E4C">
        <w:rPr>
          <w:rFonts w:eastAsia="Times New Roman"/>
          <w:szCs w:val="20"/>
          <w:lang w:eastAsia="cs-CZ"/>
        </w:rPr>
        <w:t>ných cíl</w:t>
      </w:r>
      <w:r w:rsidRPr="00340E4C">
        <w:rPr>
          <w:rFonts w:ascii="TimesNewRoman" w:eastAsia="TimesNewRoman"/>
          <w:szCs w:val="20"/>
          <w:lang w:eastAsia="cs-CZ"/>
        </w:rPr>
        <w:t>ů</w:t>
      </w:r>
    </w:p>
    <w:p w:rsidR="00783598" w:rsidRPr="00340E4C" w:rsidRDefault="00783598" w:rsidP="00636A7A">
      <w:pPr>
        <w:pStyle w:val="berschrift3"/>
        <w:rPr>
          <w:lang w:eastAsia="cs-CZ"/>
        </w:rPr>
      </w:pPr>
      <w:r w:rsidRPr="00340E4C">
        <w:rPr>
          <w:lang w:eastAsia="cs-CZ"/>
        </w:rPr>
        <w:t>Problémy m</w:t>
      </w:r>
      <w:r w:rsidRPr="00340E4C">
        <w:rPr>
          <w:rFonts w:ascii="TimesNewRoman" w:eastAsia="TimesNewRoman"/>
          <w:lang w:eastAsia="cs-CZ"/>
        </w:rPr>
        <w:t>ě</w:t>
      </w:r>
      <w:r w:rsidRPr="00340E4C">
        <w:rPr>
          <w:lang w:eastAsia="cs-CZ"/>
        </w:rPr>
        <w:t>nové politiky</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1. past na likviditu - poptávka po pen</w:t>
      </w:r>
      <w:r w:rsidRPr="00340E4C">
        <w:rPr>
          <w:rFonts w:ascii="TimesNewRoman" w:eastAsia="TimesNewRoman"/>
          <w:szCs w:val="20"/>
          <w:lang w:eastAsia="cs-CZ"/>
        </w:rPr>
        <w:t>ě</w:t>
      </w:r>
      <w:r w:rsidRPr="00340E4C">
        <w:rPr>
          <w:rFonts w:eastAsia="Times New Roman"/>
          <w:szCs w:val="20"/>
          <w:lang w:eastAsia="cs-CZ"/>
        </w:rPr>
        <w:t>zích je velmi citlivá na úrokovou míru, p</w:t>
      </w:r>
      <w:r w:rsidRPr="00340E4C">
        <w:rPr>
          <w:rFonts w:ascii="TimesNewRoman" w:eastAsia="TimesNewRoman"/>
          <w:szCs w:val="20"/>
          <w:lang w:eastAsia="cs-CZ"/>
        </w:rPr>
        <w:t>ř</w:t>
      </w:r>
      <w:r w:rsidRPr="00340E4C">
        <w:rPr>
          <w:rFonts w:eastAsia="Times New Roman"/>
          <w:szCs w:val="20"/>
          <w:lang w:eastAsia="cs-CZ"/>
        </w:rPr>
        <w:t>i nízké úrokové mí</w:t>
      </w:r>
      <w:r w:rsidRPr="00340E4C">
        <w:rPr>
          <w:rFonts w:ascii="TimesNewRoman" w:eastAsia="TimesNewRoman"/>
          <w:szCs w:val="20"/>
          <w:lang w:eastAsia="cs-CZ"/>
        </w:rPr>
        <w:t>ř</w:t>
      </w:r>
      <w:r w:rsidRPr="00340E4C">
        <w:rPr>
          <w:rFonts w:eastAsia="Times New Roman"/>
          <w:szCs w:val="20"/>
          <w:lang w:eastAsia="cs-CZ"/>
        </w:rPr>
        <w:t>e - neroste produkt ani zam</w:t>
      </w:r>
      <w:r w:rsidRPr="00340E4C">
        <w:rPr>
          <w:rFonts w:ascii="TimesNewRoman" w:eastAsia="TimesNewRoman"/>
          <w:szCs w:val="20"/>
          <w:lang w:eastAsia="cs-CZ"/>
        </w:rPr>
        <w:t>ě</w:t>
      </w:r>
      <w:r w:rsidRPr="00340E4C">
        <w:rPr>
          <w:rFonts w:eastAsia="Times New Roman"/>
          <w:szCs w:val="20"/>
          <w:lang w:eastAsia="cs-CZ"/>
        </w:rPr>
        <w:t>stnanost</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2. defla</w:t>
      </w:r>
      <w:r w:rsidRPr="00340E4C">
        <w:rPr>
          <w:rFonts w:ascii="TimesNewRoman" w:eastAsia="TimesNewRoman"/>
          <w:szCs w:val="20"/>
          <w:lang w:eastAsia="cs-CZ"/>
        </w:rPr>
        <w:t>č</w:t>
      </w:r>
      <w:r w:rsidRPr="00340E4C">
        <w:rPr>
          <w:rFonts w:eastAsia="Times New Roman"/>
          <w:szCs w:val="20"/>
          <w:lang w:eastAsia="cs-CZ"/>
        </w:rPr>
        <w:t>ní impotence - necitlivost soukromých výdaj</w:t>
      </w:r>
      <w:r w:rsidRPr="00340E4C">
        <w:rPr>
          <w:rFonts w:ascii="TimesNewRoman" w:eastAsia="TimesNewRoman"/>
          <w:szCs w:val="20"/>
          <w:lang w:eastAsia="cs-CZ"/>
        </w:rPr>
        <w:t>ů</w:t>
      </w:r>
      <w:r w:rsidRPr="00340E4C">
        <w:rPr>
          <w:rFonts w:ascii="TimesNewRoman" w:eastAsia="TimesNewRoman"/>
          <w:szCs w:val="20"/>
          <w:lang w:eastAsia="cs-CZ"/>
        </w:rPr>
        <w:t xml:space="preserve"> </w:t>
      </w:r>
      <w:r w:rsidRPr="00340E4C">
        <w:rPr>
          <w:rFonts w:eastAsia="Times New Roman"/>
          <w:szCs w:val="20"/>
          <w:lang w:eastAsia="cs-CZ"/>
        </w:rPr>
        <w:t>na úrokovou míru - neroste produkt, neklesá nezam</w:t>
      </w:r>
      <w:r w:rsidRPr="00340E4C">
        <w:rPr>
          <w:rFonts w:ascii="TimesNewRoman" w:eastAsia="TimesNewRoman"/>
          <w:szCs w:val="20"/>
          <w:lang w:eastAsia="cs-CZ"/>
        </w:rPr>
        <w:t>ě</w:t>
      </w:r>
      <w:r w:rsidRPr="00340E4C">
        <w:rPr>
          <w:rFonts w:eastAsia="Times New Roman"/>
          <w:szCs w:val="20"/>
          <w:lang w:eastAsia="cs-CZ"/>
        </w:rPr>
        <w:t>stnanost</w:t>
      </w:r>
    </w:p>
    <w:p w:rsidR="00783598" w:rsidRPr="00340E4C" w:rsidRDefault="00783598">
      <w:pPr>
        <w:autoSpaceDE w:val="0"/>
        <w:autoSpaceDN w:val="0"/>
        <w:adjustRightInd w:val="0"/>
        <w:jc w:val="both"/>
        <w:rPr>
          <w:rFonts w:eastAsia="Times New Roman"/>
          <w:szCs w:val="20"/>
          <w:lang w:eastAsia="cs-CZ"/>
        </w:rPr>
      </w:pPr>
      <w:r w:rsidRPr="00340E4C">
        <w:rPr>
          <w:rFonts w:eastAsia="Times New Roman"/>
          <w:szCs w:val="20"/>
          <w:lang w:eastAsia="cs-CZ"/>
        </w:rPr>
        <w:t xml:space="preserve">3. </w:t>
      </w:r>
      <w:r w:rsidRPr="00340E4C">
        <w:rPr>
          <w:rFonts w:ascii="TimesNewRoman" w:eastAsia="TimesNewRoman"/>
          <w:szCs w:val="20"/>
          <w:lang w:eastAsia="cs-CZ"/>
        </w:rPr>
        <w:t>č</w:t>
      </w:r>
      <w:r w:rsidRPr="00340E4C">
        <w:rPr>
          <w:rFonts w:eastAsia="Times New Roman"/>
          <w:szCs w:val="20"/>
          <w:lang w:eastAsia="cs-CZ"/>
        </w:rPr>
        <w:t>asové zpožd</w:t>
      </w:r>
      <w:r w:rsidRPr="00340E4C">
        <w:rPr>
          <w:rFonts w:ascii="TimesNewRoman" w:eastAsia="TimesNewRoman"/>
          <w:szCs w:val="20"/>
          <w:lang w:eastAsia="cs-CZ"/>
        </w:rPr>
        <w:t>ě</w:t>
      </w:r>
      <w:r w:rsidRPr="00340E4C">
        <w:rPr>
          <w:rFonts w:eastAsia="Times New Roman"/>
          <w:szCs w:val="20"/>
          <w:lang w:eastAsia="cs-CZ"/>
        </w:rPr>
        <w:t>ní - rozpoznat problém, p</w:t>
      </w:r>
      <w:r w:rsidRPr="00340E4C">
        <w:rPr>
          <w:rFonts w:ascii="TimesNewRoman" w:eastAsia="TimesNewRoman"/>
          <w:szCs w:val="20"/>
          <w:lang w:eastAsia="cs-CZ"/>
        </w:rPr>
        <w:t>ř</w:t>
      </w:r>
      <w:r w:rsidRPr="00340E4C">
        <w:rPr>
          <w:rFonts w:eastAsia="Times New Roman"/>
          <w:szCs w:val="20"/>
          <w:lang w:eastAsia="cs-CZ"/>
        </w:rPr>
        <w:t>ijmout opat</w:t>
      </w:r>
      <w:r w:rsidRPr="00340E4C">
        <w:rPr>
          <w:rFonts w:ascii="TimesNewRoman" w:eastAsia="TimesNewRoman"/>
          <w:szCs w:val="20"/>
          <w:lang w:eastAsia="cs-CZ"/>
        </w:rPr>
        <w:t>ř</w:t>
      </w:r>
      <w:r w:rsidRPr="00340E4C">
        <w:rPr>
          <w:rFonts w:eastAsia="Times New Roman"/>
          <w:szCs w:val="20"/>
          <w:lang w:eastAsia="cs-CZ"/>
        </w:rPr>
        <w:t>ení a pak teprve to za</w:t>
      </w:r>
      <w:r w:rsidRPr="00340E4C">
        <w:rPr>
          <w:rFonts w:ascii="TimesNewRoman" w:eastAsia="TimesNewRoman"/>
          <w:szCs w:val="20"/>
          <w:lang w:eastAsia="cs-CZ"/>
        </w:rPr>
        <w:t>č</w:t>
      </w:r>
      <w:r w:rsidRPr="00340E4C">
        <w:rPr>
          <w:rFonts w:eastAsia="Times New Roman"/>
          <w:szCs w:val="20"/>
          <w:lang w:eastAsia="cs-CZ"/>
        </w:rPr>
        <w:t>ne p</w:t>
      </w:r>
      <w:r w:rsidRPr="00340E4C">
        <w:rPr>
          <w:rFonts w:ascii="TimesNewRoman" w:eastAsia="TimesNewRoman"/>
          <w:szCs w:val="20"/>
          <w:lang w:eastAsia="cs-CZ"/>
        </w:rPr>
        <w:t>ů</w:t>
      </w:r>
      <w:r w:rsidRPr="00340E4C">
        <w:rPr>
          <w:rFonts w:eastAsia="Times New Roman"/>
          <w:szCs w:val="20"/>
          <w:lang w:eastAsia="cs-CZ"/>
        </w:rPr>
        <w:t>sobit - rychlejší než u fiskální politiky</w:t>
      </w:r>
    </w:p>
    <w:p w:rsidR="00783598" w:rsidRPr="00340E4C" w:rsidRDefault="00783598">
      <w:pPr>
        <w:jc w:val="both"/>
      </w:pPr>
      <w:r w:rsidRPr="00340E4C">
        <w:rPr>
          <w:rFonts w:eastAsia="Times New Roman"/>
          <w:szCs w:val="20"/>
          <w:lang w:eastAsia="cs-CZ"/>
        </w:rPr>
        <w:t>4. omezení podle fixního nebo flexibilního - u fixního ú</w:t>
      </w:r>
      <w:r w:rsidRPr="00340E4C">
        <w:rPr>
          <w:rFonts w:ascii="TimesNewRoman" w:eastAsia="TimesNewRoman"/>
          <w:szCs w:val="20"/>
          <w:lang w:eastAsia="cs-CZ"/>
        </w:rPr>
        <w:t>č</w:t>
      </w:r>
      <w:r w:rsidRPr="00340E4C">
        <w:rPr>
          <w:rFonts w:eastAsia="Times New Roman"/>
          <w:szCs w:val="20"/>
          <w:lang w:eastAsia="cs-CZ"/>
        </w:rPr>
        <w:t>inná není</w:t>
      </w:r>
    </w:p>
    <w:p w:rsidR="00783598" w:rsidRPr="00340E4C" w:rsidRDefault="00783598"/>
    <w:p w:rsidR="00783598" w:rsidRPr="00340E4C" w:rsidRDefault="00783598">
      <w:pPr>
        <w:pStyle w:val="berschrift8"/>
      </w:pPr>
      <w:r w:rsidRPr="00340E4C">
        <w:t>Poznámka: Quantitative easing (množstevní uvolňování)</w:t>
      </w:r>
    </w:p>
    <w:p w:rsidR="00783598" w:rsidRPr="00340E4C" w:rsidRDefault="00783598">
      <w:r w:rsidRPr="00340E4C">
        <w:t>Soubor opatření, jež mají odvrátit deflaci, například:</w:t>
      </w:r>
    </w:p>
    <w:p w:rsidR="00783598" w:rsidRPr="00340E4C" w:rsidRDefault="00783598" w:rsidP="001741A7">
      <w:pPr>
        <w:numPr>
          <w:ilvl w:val="0"/>
          <w:numId w:val="1"/>
        </w:numPr>
      </w:pPr>
      <w:r w:rsidRPr="00340E4C">
        <w:t>zvýšený nákup zahraničních aktiv s cílem oslabit měnu</w:t>
      </w:r>
    </w:p>
    <w:p w:rsidR="00783598" w:rsidRPr="00340E4C" w:rsidRDefault="00783598" w:rsidP="001741A7">
      <w:pPr>
        <w:numPr>
          <w:ilvl w:val="0"/>
          <w:numId w:val="1"/>
        </w:numPr>
      </w:pPr>
      <w:r w:rsidRPr="00340E4C">
        <w:t>nákup cenných papírů s cílem zvyšovat množství peněz</w:t>
      </w:r>
    </w:p>
    <w:p w:rsidR="00783598" w:rsidRPr="00340E4C" w:rsidRDefault="00783598" w:rsidP="001741A7">
      <w:pPr>
        <w:numPr>
          <w:ilvl w:val="0"/>
          <w:numId w:val="1"/>
        </w:numPr>
      </w:pPr>
      <w:r w:rsidRPr="00340E4C">
        <w:t xml:space="preserve">změkčení parametrů úvěrů (menší požadavky na záruky, bonitu, nižší úroky) s cílem zvýšit výnosy soukromých aktiv </w:t>
      </w:r>
    </w:p>
    <w:p w:rsidR="00783598" w:rsidRPr="00340E4C" w:rsidRDefault="00783598" w:rsidP="001741A7">
      <w:pPr>
        <w:numPr>
          <w:ilvl w:val="0"/>
          <w:numId w:val="1"/>
        </w:numPr>
      </w:pPr>
      <w:r w:rsidRPr="00340E4C">
        <w:t xml:space="preserve">expanzivní fiskální politika </w:t>
      </w:r>
    </w:p>
    <w:p w:rsidR="00783598" w:rsidRPr="00340E4C" w:rsidRDefault="00783598">
      <w:pPr>
        <w:pStyle w:val="Textkrper"/>
      </w:pPr>
      <w:r w:rsidRPr="00340E4C">
        <w:t>Hodnocení: rozporuplná. Narušuje se nebo zpomaluje očistný účinek krize. Dlouhodobý negativní efekt převažuje nad krátkodobými pozitivy.</w:t>
      </w:r>
    </w:p>
    <w:p w:rsidR="00783598" w:rsidRPr="00340E4C" w:rsidRDefault="00783598"/>
    <w:p w:rsidR="00783598" w:rsidRPr="00340E4C" w:rsidRDefault="00783598" w:rsidP="00636A7A">
      <w:pPr>
        <w:pStyle w:val="berschrift3"/>
      </w:pPr>
      <w:r w:rsidRPr="00340E4C">
        <w:t>Konvergenční kritéria pro přijetí společné měny Euro</w:t>
      </w:r>
    </w:p>
    <w:p w:rsidR="00783598" w:rsidRPr="003A0CB6" w:rsidRDefault="00783598" w:rsidP="00636A7A">
      <w:pPr>
        <w:pStyle w:val="StandardWeb"/>
      </w:pPr>
      <w:r w:rsidRPr="003A0CB6">
        <w:rPr>
          <w:b/>
          <w:bCs/>
        </w:rPr>
        <w:t>Maastrichtská kritéria</w:t>
      </w:r>
      <w:r w:rsidRPr="003A0CB6">
        <w:t xml:space="preserve"> (známa také jako </w:t>
      </w:r>
      <w:r w:rsidRPr="003A0CB6">
        <w:rPr>
          <w:b/>
          <w:bCs/>
        </w:rPr>
        <w:t>konvergenční kritéria</w:t>
      </w:r>
      <w:r w:rsidRPr="003A0CB6">
        <w:t xml:space="preserve">) jsou kritéria pro členské státy </w:t>
      </w:r>
      <w:hyperlink r:id="rId148" w:tooltip="Evropská unie" w:history="1">
        <w:r w:rsidRPr="003A0CB6">
          <w:rPr>
            <w:rStyle w:val="Hyperlink"/>
          </w:rPr>
          <w:t>Evropské unie</w:t>
        </w:r>
      </w:hyperlink>
      <w:r w:rsidRPr="003A0CB6">
        <w:t xml:space="preserve"> pro vstup do </w:t>
      </w:r>
      <w:hyperlink r:id="rId149" w:tooltip="Evropská měnová unie" w:history="1">
        <w:r w:rsidRPr="003A0CB6">
          <w:rPr>
            <w:rStyle w:val="Hyperlink"/>
          </w:rPr>
          <w:t>Evropské hospodářské a měnové unie</w:t>
        </w:r>
      </w:hyperlink>
      <w:r w:rsidRPr="003A0CB6">
        <w:t xml:space="preserve"> (EMU) a pro zavedení společné měny – </w:t>
      </w:r>
      <w:hyperlink r:id="rId150" w:tooltip="Euro" w:history="1">
        <w:r w:rsidRPr="003A0CB6">
          <w:rPr>
            <w:rStyle w:val="Hyperlink"/>
          </w:rPr>
          <w:t>eura</w:t>
        </w:r>
      </w:hyperlink>
      <w:r w:rsidRPr="003A0CB6">
        <w:t xml:space="preserve">. Čtyři hlavní kritéria jsou založena na článku 121(1) </w:t>
      </w:r>
      <w:hyperlink r:id="rId151" w:tooltip="Smlouva o založení Evropského společenství" w:history="1">
        <w:r w:rsidRPr="003A0CB6">
          <w:rPr>
            <w:rStyle w:val="Hyperlink"/>
          </w:rPr>
          <w:t>Smlouvy o založení Evropského společenství</w:t>
        </w:r>
      </w:hyperlink>
      <w:r w:rsidRPr="003A0CB6">
        <w:t>.</w:t>
      </w:r>
    </w:p>
    <w:p w:rsidR="00783598" w:rsidRPr="003A0CB6" w:rsidRDefault="00783598" w:rsidP="00636A7A">
      <w:pPr>
        <w:pStyle w:val="StandardWeb"/>
      </w:pPr>
      <w:r w:rsidRPr="003A0CB6">
        <w:t>Členské státy EU, které chtějí zavést euro, musí splnit tato kritéria:</w:t>
      </w:r>
    </w:p>
    <w:p w:rsidR="00783598" w:rsidRPr="003A0CB6" w:rsidRDefault="00783598" w:rsidP="00636A7A">
      <w:pPr>
        <w:numPr>
          <w:ilvl w:val="0"/>
          <w:numId w:val="23"/>
        </w:numPr>
        <w:spacing w:before="100" w:beforeAutospacing="1" w:after="100" w:afterAutospacing="1"/>
      </w:pPr>
      <w:r w:rsidRPr="003A0CB6">
        <w:rPr>
          <w:b/>
          <w:bCs/>
        </w:rPr>
        <w:t>Cenová stabilita</w:t>
      </w:r>
      <w:r w:rsidRPr="003A0CB6">
        <w:t xml:space="preserve"> – průměrná roční inflace nesmí překročit o více než 1,5 % průměrnou roční inflaci tří členských zemí s nejnižší inflací. </w:t>
      </w:r>
    </w:p>
    <w:p w:rsidR="00783598" w:rsidRPr="003A0CB6" w:rsidRDefault="00783598" w:rsidP="00636A7A">
      <w:pPr>
        <w:numPr>
          <w:ilvl w:val="0"/>
          <w:numId w:val="23"/>
        </w:numPr>
        <w:spacing w:before="100" w:beforeAutospacing="1" w:after="100" w:afterAutospacing="1"/>
      </w:pPr>
      <w:r w:rsidRPr="003A0CB6">
        <w:rPr>
          <w:b/>
          <w:bCs/>
        </w:rPr>
        <w:lastRenderedPageBreak/>
        <w:t>Stabilita devizového kurzu</w:t>
      </w:r>
      <w:r w:rsidRPr="003A0CB6">
        <w:t xml:space="preserve"> – měnový kurz musí být zafixován v rámci mezinárodních měnových kurzů alespoň 2 roky před vstupem do unie. </w:t>
      </w:r>
    </w:p>
    <w:p w:rsidR="00783598" w:rsidRPr="003A0CB6" w:rsidRDefault="00783598" w:rsidP="00636A7A">
      <w:pPr>
        <w:numPr>
          <w:ilvl w:val="0"/>
          <w:numId w:val="23"/>
        </w:numPr>
        <w:spacing w:before="100" w:beforeAutospacing="1" w:after="100" w:afterAutospacing="1"/>
      </w:pPr>
      <w:r w:rsidRPr="003A0CB6">
        <w:rPr>
          <w:b/>
          <w:bCs/>
        </w:rPr>
        <w:t>Konvergence dlouhodobých úrokových sazeb</w:t>
      </w:r>
      <w:r w:rsidRPr="003A0CB6">
        <w:t xml:space="preserve"> – dlouhodobá nominální úroková míra nesmí přesahovat o více než 2 % průměr tří zemí s nejnižší úrokovou mírou. </w:t>
      </w:r>
    </w:p>
    <w:p w:rsidR="00783598" w:rsidRPr="003A0CB6" w:rsidRDefault="00783598" w:rsidP="00636A7A">
      <w:pPr>
        <w:numPr>
          <w:ilvl w:val="0"/>
          <w:numId w:val="23"/>
        </w:numPr>
        <w:spacing w:before="100" w:beforeAutospacing="1" w:after="100" w:afterAutospacing="1"/>
      </w:pPr>
      <w:r w:rsidRPr="003A0CB6">
        <w:rPr>
          <w:b/>
          <w:bCs/>
        </w:rPr>
        <w:t>Veřejné finance</w:t>
      </w:r>
      <w:r w:rsidRPr="003A0CB6">
        <w:t xml:space="preserve"> </w:t>
      </w:r>
    </w:p>
    <w:p w:rsidR="00783598" w:rsidRPr="003A0CB6" w:rsidRDefault="00783598" w:rsidP="00636A7A">
      <w:pPr>
        <w:ind w:left="720"/>
      </w:pPr>
      <w:r w:rsidRPr="003A0CB6">
        <w:rPr>
          <w:b/>
          <w:bCs/>
        </w:rPr>
        <w:t>Výše hrubého veřejného dluhu</w:t>
      </w:r>
      <w:r w:rsidRPr="003A0CB6">
        <w:t xml:space="preserve"> – podíl veřejného dluhu na </w:t>
      </w:r>
      <w:hyperlink r:id="rId152" w:tooltip="HDP" w:history="1">
        <w:r w:rsidRPr="003A0CB6">
          <w:rPr>
            <w:color w:val="0000FF"/>
            <w:u w:val="single"/>
          </w:rPr>
          <w:t>HDP</w:t>
        </w:r>
      </w:hyperlink>
      <w:r w:rsidRPr="003A0CB6">
        <w:t xml:space="preserve"> nesmí překročit 60 %. </w:t>
      </w:r>
    </w:p>
    <w:p w:rsidR="00783598" w:rsidRPr="003A0CB6" w:rsidRDefault="00783598" w:rsidP="00636A7A">
      <w:pPr>
        <w:ind w:left="720"/>
      </w:pPr>
      <w:r w:rsidRPr="003A0CB6">
        <w:rPr>
          <w:b/>
          <w:bCs/>
        </w:rPr>
        <w:t>Deficit veřejného rozpočtu</w:t>
      </w:r>
      <w:r w:rsidRPr="003A0CB6">
        <w:t xml:space="preserve"> – podíl deficitu státního rozpočtu na HDP musí být menší než 3 %. </w:t>
      </w:r>
    </w:p>
    <w:p w:rsidR="00783598" w:rsidRPr="003A0CB6" w:rsidRDefault="00783598" w:rsidP="00636A7A">
      <w:pPr>
        <w:pStyle w:val="StandardWeb"/>
      </w:pPr>
      <w:r w:rsidRPr="003A0CB6">
        <w:t xml:space="preserve">Shodné statuty centrálních bank </w:t>
      </w:r>
      <w:r w:rsidRPr="003A0CB6">
        <w:rPr>
          <w:vertAlign w:val="superscript"/>
        </w:rPr>
        <w:t>[</w:t>
      </w:r>
      <w:hyperlink r:id="rId153" w:tooltip="Wikipedie:Ověřitelnost" w:history="1">
        <w:r w:rsidRPr="003A0CB6">
          <w:rPr>
            <w:rStyle w:val="Hyperlink"/>
            <w:vertAlign w:val="superscript"/>
          </w:rPr>
          <w:t>zdroj?</w:t>
        </w:r>
      </w:hyperlink>
      <w:r w:rsidRPr="003A0CB6">
        <w:rPr>
          <w:vertAlign w:val="superscript"/>
        </w:rPr>
        <w:t>]</w:t>
      </w:r>
    </w:p>
    <w:p w:rsidR="00783598" w:rsidRPr="00340E4C" w:rsidRDefault="00783598" w:rsidP="00636A7A">
      <w:pPr>
        <w:pStyle w:val="StandardWeb"/>
      </w:pPr>
      <w:r w:rsidRPr="003A0CB6">
        <w:t>Maastrichtská konvergenční kritéria musí splnit každý stát, který chce vstoupit do Evropské měnové unie.</w:t>
      </w:r>
    </w:p>
    <w:p w:rsidR="00783598" w:rsidRDefault="00783598"/>
    <w:p w:rsidR="00D7604D" w:rsidRDefault="00D7604D">
      <w:pPr>
        <w:rPr>
          <w:b/>
        </w:rPr>
      </w:pPr>
      <w:r>
        <w:rPr>
          <w:b/>
        </w:rPr>
        <w:t>Poznámka „Volckerovo pravidlo“:</w:t>
      </w:r>
    </w:p>
    <w:p w:rsidR="00D7604D" w:rsidRDefault="00D7604D" w:rsidP="00D7604D">
      <w:pPr>
        <w:jc w:val="both"/>
      </w:pPr>
      <w:r>
        <w:t xml:space="preserve">Během poslední hospodářské krize od roku 2008 se opět ukázalo, že krize může být zesílena nefunkčností trhu v bankovním sektoru. Protože management je prakticky nezávislý na akcionářích a nenese následky chybných rozhodnutí (stává se, že bankovní makléř na burze prohospodaří několik miliard dolarů. Takovou škodu nemůže nikdy nahradit). Proto bylo </w:t>
      </w:r>
      <w:r w:rsidR="00903C8C">
        <w:t xml:space="preserve">roku 2010 </w:t>
      </w:r>
      <w:r>
        <w:t>přijato takzvané Volckerovo</w:t>
      </w:r>
      <w:r>
        <w:rPr>
          <w:rStyle w:val="Funotenzeichen"/>
        </w:rPr>
        <w:footnoteReference w:id="20"/>
      </w:r>
      <w:r>
        <w:t xml:space="preserve"> pravidlo.</w:t>
      </w:r>
      <w:r w:rsidR="00903C8C">
        <w:t xml:space="preserve"> Říká, že banky nesmějí samy spekulovat se svými prostředky. Mohou spekulovat na finančních trzích pouze podle pokynů a s penězi zákazníků. Toto pravidlo znamená samozřejmě zásah do svobody trhu a je předmětem kritiky zejména ze strany bank. Je však také výrazem, jak obtížné je udržovat tržní prostředí v oligopolním prostředí, porušujícím zásadně většinu podmínek dokonalé konkurence. </w:t>
      </w:r>
    </w:p>
    <w:p w:rsidR="00D7604D" w:rsidRDefault="00D7604D" w:rsidP="00D7604D">
      <w:pPr>
        <w:jc w:val="both"/>
      </w:pPr>
    </w:p>
    <w:p w:rsidR="00D7604D" w:rsidRDefault="00D7604D" w:rsidP="00D7604D">
      <w:pPr>
        <w:jc w:val="both"/>
      </w:pPr>
    </w:p>
    <w:p w:rsidR="00D7604D" w:rsidRDefault="00D7604D" w:rsidP="00D7604D">
      <w:pPr>
        <w:jc w:val="both"/>
      </w:pPr>
    </w:p>
    <w:p w:rsidR="00D7604D" w:rsidRPr="00340E4C" w:rsidRDefault="00D7604D" w:rsidP="00D7604D">
      <w:pPr>
        <w:jc w:val="both"/>
        <w:sectPr w:rsidR="00D7604D" w:rsidRPr="00340E4C">
          <w:pgSz w:w="11906" w:h="16838"/>
          <w:pgMar w:top="1417" w:right="1417" w:bottom="1417" w:left="1417" w:header="708" w:footer="708" w:gutter="0"/>
          <w:cols w:space="708"/>
          <w:docGrid w:linePitch="360"/>
        </w:sectPr>
      </w:pPr>
    </w:p>
    <w:p w:rsidR="00783598" w:rsidRPr="00340E4C" w:rsidRDefault="00783598"/>
    <w:p w:rsidR="00783598" w:rsidRPr="00340E4C" w:rsidRDefault="00783598" w:rsidP="00636A7A">
      <w:pPr>
        <w:pStyle w:val="berschrift1"/>
      </w:pPr>
      <w:bookmarkStart w:id="177" w:name="_Toc240444153"/>
      <w:bookmarkStart w:id="178" w:name="_Toc240775353"/>
      <w:bookmarkStart w:id="179" w:name="_Toc281979955"/>
      <w:bookmarkStart w:id="180" w:name="_Toc281979997"/>
      <w:bookmarkStart w:id="181" w:name="_Toc296073448"/>
      <w:bookmarkStart w:id="182" w:name="_Toc297533156"/>
      <w:bookmarkStart w:id="183" w:name="_Toc303675516"/>
      <w:bookmarkStart w:id="184" w:name="_Toc303963017"/>
      <w:bookmarkStart w:id="185" w:name="_Toc306176406"/>
      <w:bookmarkStart w:id="186" w:name="_Toc315341175"/>
      <w:bookmarkStart w:id="187" w:name="_Toc316459970"/>
      <w:bookmarkStart w:id="188" w:name="_Toc316460445"/>
      <w:bookmarkStart w:id="189" w:name="_Toc318291422"/>
      <w:bookmarkStart w:id="190" w:name="_Toc328466828"/>
      <w:bookmarkStart w:id="191" w:name="_Toc335724885"/>
      <w:bookmarkStart w:id="192" w:name="_Toc411926290"/>
      <w:bookmarkStart w:id="193" w:name="_Toc1629143"/>
      <w:r w:rsidRPr="00340E4C">
        <w:t>Fiskální</w:t>
      </w:r>
      <w:r w:rsidR="00903C8C">
        <w:rPr>
          <w:rStyle w:val="Funotenzeichen"/>
        </w:rPr>
        <w:footnoteReference w:id="21"/>
      </w:r>
      <w:r w:rsidRPr="00340E4C">
        <w:t xml:space="preserve"> politika</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783598" w:rsidRPr="00340E4C" w:rsidRDefault="00783598" w:rsidP="00636A7A">
      <w:pPr>
        <w:pStyle w:val="berschrift2"/>
      </w:pPr>
      <w:r w:rsidRPr="00340E4C">
        <w:t>Pojetí fiskální politiky</w:t>
      </w:r>
    </w:p>
    <w:p w:rsidR="00783598" w:rsidRPr="00340E4C" w:rsidRDefault="00783598">
      <w:pPr>
        <w:pStyle w:val="Textkrper"/>
      </w:pPr>
      <w:r w:rsidRPr="00340E4C">
        <w:t>Fiskální politika je makroekonomicky motivované využití systému veřejných financí – stavů a toků s cílem dosáhnout požadované úrovně makroekonomických proměnných (magický čtverec).</w:t>
      </w:r>
    </w:p>
    <w:p w:rsidR="00783598" w:rsidRPr="00340E4C" w:rsidRDefault="00783598">
      <w:pPr>
        <w:pStyle w:val="Textkrper"/>
      </w:pPr>
      <w:r w:rsidRPr="00340E4C">
        <w:t>O fiskální politika je pojímána ze dvou pohledů:</w:t>
      </w:r>
    </w:p>
    <w:p w:rsidR="00783598" w:rsidRPr="00340E4C" w:rsidRDefault="00783598" w:rsidP="001741A7">
      <w:pPr>
        <w:pStyle w:val="Textkrper"/>
        <w:numPr>
          <w:ilvl w:val="0"/>
          <w:numId w:val="1"/>
        </w:numPr>
      </w:pPr>
      <w:r w:rsidRPr="00340E4C">
        <w:t>liberální přístup: všude tam, kde není třeba, by stát neměl zasahovat, takže zůstane jen doplňkové řešení sociálních dávek a zdravotnictví, externality, obrana, policie, soudnictví a správa. Rozpočtový schodek je znakem neschopnosti a nezodpovědnosti veřejné správy</w:t>
      </w:r>
    </w:p>
    <w:p w:rsidR="00783598" w:rsidRPr="00340E4C" w:rsidRDefault="00783598" w:rsidP="001741A7">
      <w:pPr>
        <w:pStyle w:val="Textkrper"/>
        <w:numPr>
          <w:ilvl w:val="0"/>
          <w:numId w:val="1"/>
        </w:numPr>
      </w:pPr>
      <w:r w:rsidRPr="00340E4C">
        <w:t>aktivní přístup: keynesovsky aktivní napravování neduhů tržního mechanismu, neustálá expanze působnosti. Trh má doplňkovou funkci k sociálnímu státu. Schodek je nezbytnou daní za fiskální politiku.</w:t>
      </w:r>
    </w:p>
    <w:p w:rsidR="00783598" w:rsidRPr="00340E4C" w:rsidRDefault="00783598">
      <w:pPr>
        <w:jc w:val="both"/>
      </w:pPr>
    </w:p>
    <w:p w:rsidR="00783598" w:rsidRPr="00340E4C" w:rsidRDefault="00783598">
      <w:pPr>
        <w:jc w:val="both"/>
      </w:pPr>
      <w:r w:rsidRPr="00340E4C">
        <w:t xml:space="preserve">Rozpočtová politika: provádí ministerstvo financí </w:t>
      </w:r>
      <w:hyperlink r:id="rId154" w:history="1">
        <w:r w:rsidRPr="00340E4C">
          <w:rPr>
            <w:rStyle w:val="Hyperlink"/>
          </w:rPr>
          <w:t>www.mfcr.cz</w:t>
        </w:r>
      </w:hyperlink>
      <w:r w:rsidRPr="00340E4C">
        <w:t xml:space="preserve">  </w:t>
      </w:r>
    </w:p>
    <w:p w:rsidR="00783598" w:rsidRPr="00340E4C" w:rsidRDefault="00783598">
      <w:pPr>
        <w:jc w:val="both"/>
      </w:pPr>
    </w:p>
    <w:p w:rsidR="00783598" w:rsidRPr="00340E4C" w:rsidRDefault="00783598" w:rsidP="00636A7A">
      <w:pPr>
        <w:pStyle w:val="berschrift3"/>
      </w:pPr>
      <w:r w:rsidRPr="00340E4C">
        <w:t>Typy fiskální politiky:</w:t>
      </w:r>
    </w:p>
    <w:p w:rsidR="00783598" w:rsidRPr="00340E4C" w:rsidRDefault="00783598" w:rsidP="001741A7">
      <w:pPr>
        <w:pStyle w:val="Textkrper"/>
        <w:numPr>
          <w:ilvl w:val="0"/>
          <w:numId w:val="1"/>
        </w:numPr>
      </w:pPr>
      <w:r w:rsidRPr="00340E4C">
        <w:t>expanzivní fiskální politika – usiluje o růst agregátní poptávky, důchod a zaměstnanost. Jisté oprávnění může tato politika mít, pokud skutečný produkt chronicky nedosahuje produktu potenciálního, nejsou tedy využívány výrobní faktory. Účinná může být pouze v krátkém období. V dlouhém období se cenová hladina promítne do trhů a efekt zmizí. Pokud jsou výrobní faktory plně využívány, bude jediným efektem fiskální expanze růst cenové hladiny. Dlouhodobě dojde k </w:t>
      </w:r>
      <w:r w:rsidRPr="00340E4C">
        <w:rPr>
          <w:b/>
          <w:bCs/>
        </w:rPr>
        <w:t>vytěsňovacímu efektu:</w:t>
      </w:r>
      <w:r w:rsidRPr="00340E4C">
        <w:t xml:space="preserve"> objem statků a výrobních faktorů je stejný, fiskus emituje peníze, potom zákonitě musí být někde peněz méně, nastane-li rovnováha. Méně je jich u soukromých investorů a ti jsou vytěsňováni.</w:t>
      </w:r>
    </w:p>
    <w:p w:rsidR="00783598" w:rsidRPr="00340E4C" w:rsidRDefault="00783598" w:rsidP="001741A7">
      <w:pPr>
        <w:numPr>
          <w:ilvl w:val="0"/>
          <w:numId w:val="1"/>
        </w:numPr>
        <w:jc w:val="both"/>
      </w:pPr>
      <w:r w:rsidRPr="00340E4C">
        <w:t>Restriktivní fiskální politika: jsou-li v ekonomice nevyužité výrobní faktory, restrikce snižuje nejen cenovou hladinu, ale i produkt a zaměstnanost. Jsou-li faktory plně využité i během restrikce, klesá pouze cenová hladina. Z dlouhodobého hlediska restriktivní fiskální politika způsobuje pokles cenové hladiny, úrokové míry a soukromé investice. Produkt se nezmění, pokud se soukromá investiční expanze právě rovná fiskální restrikci.</w:t>
      </w:r>
    </w:p>
    <w:p w:rsidR="00783598" w:rsidRPr="00340E4C" w:rsidRDefault="00783598">
      <w:pPr>
        <w:jc w:val="both"/>
      </w:pPr>
    </w:p>
    <w:p w:rsidR="00783598" w:rsidRPr="00340E4C" w:rsidRDefault="00783598" w:rsidP="00636A7A">
      <w:pPr>
        <w:pStyle w:val="berschrift3"/>
      </w:pPr>
      <w:r w:rsidRPr="00340E4C">
        <w:t>Bariéry účinnosti fiskální politiky:</w:t>
      </w:r>
    </w:p>
    <w:p w:rsidR="00783598" w:rsidRPr="00340E4C" w:rsidRDefault="00783598" w:rsidP="001741A7">
      <w:pPr>
        <w:numPr>
          <w:ilvl w:val="0"/>
          <w:numId w:val="1"/>
        </w:numPr>
        <w:jc w:val="both"/>
      </w:pPr>
      <w:r w:rsidRPr="00340E4C">
        <w:t>časové zpoždění</w:t>
      </w:r>
    </w:p>
    <w:p w:rsidR="00783598" w:rsidRPr="00340E4C" w:rsidRDefault="00783598" w:rsidP="001741A7">
      <w:pPr>
        <w:numPr>
          <w:ilvl w:val="0"/>
          <w:numId w:val="1"/>
        </w:numPr>
        <w:jc w:val="both"/>
      </w:pPr>
      <w:r w:rsidRPr="00340E4C">
        <w:t>vytěsňovací efekt</w:t>
      </w:r>
    </w:p>
    <w:p w:rsidR="00783598" w:rsidRPr="00340E4C" w:rsidRDefault="00783598" w:rsidP="001741A7">
      <w:pPr>
        <w:numPr>
          <w:ilvl w:val="0"/>
          <w:numId w:val="1"/>
        </w:numPr>
        <w:jc w:val="both"/>
      </w:pPr>
      <w:r w:rsidRPr="00340E4C">
        <w:t>negativní dopady veřejného dluhu</w:t>
      </w:r>
    </w:p>
    <w:p w:rsidR="00783598" w:rsidRPr="00340E4C" w:rsidRDefault="00783598" w:rsidP="001741A7">
      <w:pPr>
        <w:numPr>
          <w:ilvl w:val="0"/>
          <w:numId w:val="1"/>
        </w:numPr>
        <w:jc w:val="both"/>
      </w:pPr>
      <w:r w:rsidRPr="00340E4C">
        <w:t>pohyblivé měnové kurzy</w:t>
      </w:r>
    </w:p>
    <w:p w:rsidR="00783598" w:rsidRDefault="00783598">
      <w:pPr>
        <w:jc w:val="both"/>
      </w:pPr>
    </w:p>
    <w:p w:rsidR="00903C8C" w:rsidRDefault="00903C8C" w:rsidP="00636A7A">
      <w:pPr>
        <w:pStyle w:val="berschrift3"/>
      </w:pPr>
      <w:r>
        <w:lastRenderedPageBreak/>
        <w:t>Deficit</w:t>
      </w:r>
    </w:p>
    <w:p w:rsidR="00903C8C" w:rsidRDefault="00903C8C" w:rsidP="00903C8C">
      <w:r>
        <w:t>Obvyklým výsledkem hospodaření státu bývá deficit, neboli stav, kdy výdaje převyšují příjmy. „Chybějící obnos“ se označuje jako schodek neboli deficit.  Zpravidla se uvádí, že deficit může mít dvě části:</w:t>
      </w:r>
    </w:p>
    <w:p w:rsidR="00903C8C" w:rsidRDefault="00903C8C" w:rsidP="00903C8C">
      <w:r>
        <w:t>-  cyklický: způsobený tím, že v depresi klesá HDP a tím i daňové příjmy,</w:t>
      </w:r>
      <w:r w:rsidR="00DE7CBC">
        <w:t xml:space="preserve"> zatímco výdaje státního rozpočtu reagují pomaleji a slaběji. Jinými slovy cyklický deficit plyne z nevyužití výrobních kapacit v době deprese, pokud byly příjmy státního rozpočtu naplánovány na plné vytížení těchto kapacit.</w:t>
      </w:r>
    </w:p>
    <w:p w:rsidR="00903C8C" w:rsidRPr="00903C8C" w:rsidRDefault="00903C8C" w:rsidP="00903C8C">
      <w:r>
        <w:t>- strukturální: způsobený vládními rozhodnutími, případně platnými zákony.</w:t>
      </w:r>
      <w:r w:rsidR="00DE7CBC">
        <w:t xml:space="preserve"> Vláda vychází z reálného využití výrobních kapacit, ale vydává více, než přijme.</w:t>
      </w:r>
    </w:p>
    <w:p w:rsidR="00783598" w:rsidRPr="00340E4C" w:rsidRDefault="00783598" w:rsidP="00636A7A">
      <w:pPr>
        <w:pStyle w:val="berschrift2"/>
      </w:pPr>
      <w:r w:rsidRPr="00340E4C">
        <w:t>Státní rozpočet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2916"/>
        <w:gridCol w:w="1584"/>
        <w:gridCol w:w="3022"/>
      </w:tblGrid>
      <w:tr w:rsidR="00783598" w:rsidRPr="00340E4C">
        <w:trPr>
          <w:cantSplit/>
        </w:trPr>
        <w:tc>
          <w:tcPr>
            <w:tcW w:w="4606" w:type="dxa"/>
            <w:gridSpan w:val="2"/>
          </w:tcPr>
          <w:p w:rsidR="00783598" w:rsidRPr="00340E4C" w:rsidRDefault="00783598">
            <w:pPr>
              <w:autoSpaceDE w:val="0"/>
              <w:autoSpaceDN w:val="0"/>
              <w:adjustRightInd w:val="0"/>
              <w:rPr>
                <w:rFonts w:eastAsia="Times New Roman"/>
                <w:b/>
                <w:bCs/>
                <w:sz w:val="18"/>
                <w:szCs w:val="18"/>
                <w:lang w:eastAsia="cs-CZ"/>
              </w:rPr>
            </w:pPr>
            <w:r w:rsidRPr="00340E4C">
              <w:rPr>
                <w:rFonts w:eastAsia="Times New Roman"/>
                <w:b/>
                <w:bCs/>
                <w:sz w:val="18"/>
                <w:szCs w:val="18"/>
                <w:lang w:eastAsia="cs-CZ"/>
              </w:rPr>
              <w:t xml:space="preserve">Příjmy </w:t>
            </w:r>
          </w:p>
        </w:tc>
        <w:tc>
          <w:tcPr>
            <w:tcW w:w="4606" w:type="dxa"/>
            <w:gridSpan w:val="2"/>
          </w:tcPr>
          <w:p w:rsidR="00783598" w:rsidRPr="00340E4C" w:rsidRDefault="00783598">
            <w:pPr>
              <w:autoSpaceDE w:val="0"/>
              <w:autoSpaceDN w:val="0"/>
              <w:adjustRightInd w:val="0"/>
              <w:rPr>
                <w:rFonts w:eastAsia="Times New Roman"/>
                <w:b/>
                <w:bCs/>
                <w:sz w:val="18"/>
                <w:szCs w:val="18"/>
                <w:lang w:eastAsia="cs-CZ"/>
              </w:rPr>
            </w:pPr>
            <w:r w:rsidRPr="00340E4C">
              <w:rPr>
                <w:rFonts w:eastAsia="Times New Roman"/>
                <w:b/>
                <w:bCs/>
                <w:sz w:val="18"/>
                <w:szCs w:val="18"/>
                <w:lang w:eastAsia="cs-CZ"/>
              </w:rPr>
              <w:t>Výdaje</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r w:rsidRPr="00340E4C">
              <w:rPr>
                <w:rFonts w:eastAsia="Times New Roman"/>
                <w:sz w:val="18"/>
                <w:szCs w:val="18"/>
                <w:lang w:eastAsia="cs-CZ"/>
              </w:rPr>
              <w:t>Daňové příjmy</w:t>
            </w:r>
          </w:p>
        </w:tc>
        <w:tc>
          <w:tcPr>
            <w:tcW w:w="2916" w:type="dxa"/>
          </w:tcPr>
          <w:p w:rsidR="00783598" w:rsidRPr="00340E4C" w:rsidRDefault="00783598">
            <w:pPr>
              <w:autoSpaceDE w:val="0"/>
              <w:autoSpaceDN w:val="0"/>
              <w:adjustRightInd w:val="0"/>
              <w:jc w:val="both"/>
              <w:rPr>
                <w:rFonts w:eastAsia="Times New Roman"/>
                <w:sz w:val="18"/>
                <w:szCs w:val="18"/>
                <w:lang w:eastAsia="cs-CZ"/>
              </w:rPr>
            </w:pPr>
          </w:p>
        </w:tc>
        <w:tc>
          <w:tcPr>
            <w:tcW w:w="1584"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Běžné výdaje</w:t>
            </w:r>
          </w:p>
        </w:tc>
        <w:tc>
          <w:tcPr>
            <w:tcW w:w="3022" w:type="dxa"/>
          </w:tcPr>
          <w:p w:rsidR="00783598" w:rsidRPr="00340E4C" w:rsidRDefault="00783598">
            <w:pPr>
              <w:autoSpaceDE w:val="0"/>
              <w:autoSpaceDN w:val="0"/>
              <w:adjustRightInd w:val="0"/>
              <w:jc w:val="both"/>
              <w:rPr>
                <w:rFonts w:eastAsia="Times New Roman"/>
                <w:sz w:val="18"/>
                <w:szCs w:val="18"/>
                <w:lang w:eastAsia="cs-CZ"/>
              </w:rPr>
            </w:pP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Daně z příjmu fyzických osob</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Výdaje na platy a pojistné</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Daně z příjmů právnických osob</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Neinvestiční nákupy</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DPH</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Neinvestiční transfery podnikatelským subjektům</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Zvláštní daně a poplatky</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Neinvestiční transfery a další zboží a služby v tuzemsku – platby rozpočtům</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Cla</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Neinvestiční transfery obyvatelstvu včetně důchodů</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Majetkové daně</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Neinvestiční transfery do zahraničí</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Sociální pojištění</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Ostatní běžné výdaje</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Ostatní daňové příjmy</w:t>
            </w:r>
          </w:p>
        </w:tc>
        <w:tc>
          <w:tcPr>
            <w:tcW w:w="1584"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Kapitálové výdaje</w:t>
            </w:r>
          </w:p>
        </w:tc>
        <w:tc>
          <w:tcPr>
            <w:tcW w:w="3022" w:type="dxa"/>
          </w:tcPr>
          <w:p w:rsidR="00783598" w:rsidRPr="00340E4C" w:rsidRDefault="00783598">
            <w:pPr>
              <w:autoSpaceDE w:val="0"/>
              <w:autoSpaceDN w:val="0"/>
              <w:adjustRightInd w:val="0"/>
              <w:jc w:val="both"/>
              <w:rPr>
                <w:rFonts w:eastAsia="Times New Roman"/>
                <w:sz w:val="18"/>
                <w:szCs w:val="18"/>
                <w:lang w:eastAsia="cs-CZ"/>
              </w:rPr>
            </w:pP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r w:rsidRPr="00340E4C">
              <w:rPr>
                <w:rFonts w:eastAsia="Times New Roman"/>
                <w:sz w:val="18"/>
                <w:szCs w:val="18"/>
                <w:lang w:eastAsia="cs-CZ"/>
              </w:rPr>
              <w:t>Nedaňové příjmy</w:t>
            </w:r>
          </w:p>
        </w:tc>
        <w:tc>
          <w:tcPr>
            <w:tcW w:w="2916" w:type="dxa"/>
          </w:tcPr>
          <w:p w:rsidR="00783598" w:rsidRPr="00340E4C" w:rsidRDefault="00783598">
            <w:pPr>
              <w:autoSpaceDE w:val="0"/>
              <w:autoSpaceDN w:val="0"/>
              <w:adjustRightInd w:val="0"/>
              <w:jc w:val="both"/>
              <w:rPr>
                <w:rFonts w:eastAsia="Times New Roman"/>
                <w:sz w:val="18"/>
                <w:szCs w:val="18"/>
                <w:lang w:eastAsia="cs-CZ"/>
              </w:rPr>
            </w:pP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Z vlastní činnosti</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Z vlastní činnosti</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Investiční nákupy</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Splátky půjčených prostředků</w:t>
            </w: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Splátky půjčených prostředků</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r w:rsidRPr="00340E4C">
              <w:rPr>
                <w:rFonts w:eastAsia="Times New Roman"/>
                <w:sz w:val="18"/>
                <w:szCs w:val="18"/>
                <w:lang w:eastAsia="cs-CZ"/>
              </w:rPr>
              <w:t>Kapitálové příjmy</w:t>
            </w:r>
          </w:p>
        </w:tc>
        <w:tc>
          <w:tcPr>
            <w:tcW w:w="2916" w:type="dxa"/>
          </w:tcPr>
          <w:p w:rsidR="00783598" w:rsidRPr="00340E4C" w:rsidRDefault="00783598">
            <w:pPr>
              <w:autoSpaceDE w:val="0"/>
              <w:autoSpaceDN w:val="0"/>
              <w:adjustRightInd w:val="0"/>
              <w:jc w:val="both"/>
              <w:rPr>
                <w:rFonts w:eastAsia="Times New Roman"/>
                <w:sz w:val="18"/>
                <w:szCs w:val="18"/>
                <w:lang w:eastAsia="cs-CZ"/>
              </w:rPr>
            </w:pP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Investiční transfery</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r w:rsidRPr="00340E4C">
              <w:rPr>
                <w:rFonts w:eastAsia="Times New Roman"/>
                <w:sz w:val="18"/>
                <w:szCs w:val="18"/>
                <w:lang w:eastAsia="cs-CZ"/>
              </w:rPr>
              <w:t>Přijaté dotace</w:t>
            </w:r>
          </w:p>
        </w:tc>
        <w:tc>
          <w:tcPr>
            <w:tcW w:w="2916" w:type="dxa"/>
          </w:tcPr>
          <w:p w:rsidR="00783598" w:rsidRPr="00340E4C" w:rsidRDefault="00783598">
            <w:pPr>
              <w:autoSpaceDE w:val="0"/>
              <w:autoSpaceDN w:val="0"/>
              <w:adjustRightInd w:val="0"/>
              <w:jc w:val="both"/>
              <w:rPr>
                <w:rFonts w:eastAsia="Times New Roman"/>
                <w:sz w:val="18"/>
                <w:szCs w:val="18"/>
                <w:lang w:eastAsia="cs-CZ"/>
              </w:rPr>
            </w:pP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Investiční transfery</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p>
        </w:tc>
        <w:tc>
          <w:tcPr>
            <w:tcW w:w="2916" w:type="dxa"/>
          </w:tcPr>
          <w:p w:rsidR="00783598" w:rsidRPr="00340E4C" w:rsidRDefault="00783598">
            <w:pPr>
              <w:autoSpaceDE w:val="0"/>
              <w:autoSpaceDN w:val="0"/>
              <w:adjustRightInd w:val="0"/>
              <w:jc w:val="both"/>
              <w:rPr>
                <w:rFonts w:eastAsia="Times New Roman"/>
                <w:sz w:val="18"/>
                <w:szCs w:val="18"/>
                <w:lang w:eastAsia="cs-CZ"/>
              </w:rPr>
            </w:pPr>
          </w:p>
        </w:tc>
        <w:tc>
          <w:tcPr>
            <w:tcW w:w="1584" w:type="dxa"/>
          </w:tcPr>
          <w:p w:rsidR="00783598" w:rsidRPr="00340E4C" w:rsidRDefault="00783598">
            <w:pPr>
              <w:autoSpaceDE w:val="0"/>
              <w:autoSpaceDN w:val="0"/>
              <w:adjustRightInd w:val="0"/>
              <w:jc w:val="both"/>
              <w:rPr>
                <w:rFonts w:eastAsia="Times New Roman"/>
                <w:sz w:val="18"/>
                <w:szCs w:val="18"/>
                <w:lang w:eastAsia="cs-CZ"/>
              </w:rPr>
            </w:pPr>
          </w:p>
        </w:tc>
        <w:tc>
          <w:tcPr>
            <w:tcW w:w="3022" w:type="dxa"/>
          </w:tcPr>
          <w:p w:rsidR="00783598" w:rsidRPr="00340E4C" w:rsidRDefault="00783598">
            <w:pPr>
              <w:autoSpaceDE w:val="0"/>
              <w:autoSpaceDN w:val="0"/>
              <w:adjustRightInd w:val="0"/>
              <w:jc w:val="both"/>
              <w:rPr>
                <w:rFonts w:eastAsia="Times New Roman"/>
                <w:sz w:val="18"/>
                <w:szCs w:val="18"/>
                <w:lang w:eastAsia="cs-CZ"/>
              </w:rPr>
            </w:pPr>
            <w:r w:rsidRPr="00340E4C">
              <w:rPr>
                <w:rFonts w:eastAsia="Times New Roman"/>
                <w:sz w:val="18"/>
                <w:szCs w:val="18"/>
                <w:lang w:eastAsia="cs-CZ"/>
              </w:rPr>
              <w:t>Ostatní kapitálové výdaje</w:t>
            </w:r>
          </w:p>
        </w:tc>
      </w:tr>
      <w:tr w:rsidR="00783598" w:rsidRPr="00340E4C">
        <w:tc>
          <w:tcPr>
            <w:tcW w:w="1690" w:type="dxa"/>
          </w:tcPr>
          <w:p w:rsidR="00783598" w:rsidRPr="00340E4C" w:rsidRDefault="00783598">
            <w:pPr>
              <w:autoSpaceDE w:val="0"/>
              <w:autoSpaceDN w:val="0"/>
              <w:adjustRightInd w:val="0"/>
              <w:rPr>
                <w:rFonts w:eastAsia="Times New Roman"/>
                <w:sz w:val="18"/>
                <w:szCs w:val="18"/>
                <w:lang w:eastAsia="cs-CZ"/>
              </w:rPr>
            </w:pPr>
            <w:r w:rsidRPr="00340E4C">
              <w:rPr>
                <w:rFonts w:eastAsia="Times New Roman"/>
                <w:sz w:val="18"/>
                <w:szCs w:val="18"/>
                <w:lang w:eastAsia="cs-CZ"/>
              </w:rPr>
              <w:t>Příjmy celkem</w:t>
            </w:r>
          </w:p>
        </w:tc>
        <w:tc>
          <w:tcPr>
            <w:tcW w:w="2916" w:type="dxa"/>
          </w:tcPr>
          <w:p w:rsidR="00783598" w:rsidRPr="00340E4C" w:rsidRDefault="00783598">
            <w:pPr>
              <w:autoSpaceDE w:val="0"/>
              <w:autoSpaceDN w:val="0"/>
              <w:adjustRightInd w:val="0"/>
              <w:jc w:val="both"/>
              <w:rPr>
                <w:rFonts w:eastAsia="Times New Roman"/>
                <w:b/>
                <w:bCs/>
                <w:sz w:val="18"/>
                <w:szCs w:val="18"/>
                <w:lang w:eastAsia="cs-CZ"/>
              </w:rPr>
            </w:pPr>
          </w:p>
        </w:tc>
        <w:tc>
          <w:tcPr>
            <w:tcW w:w="1584" w:type="dxa"/>
          </w:tcPr>
          <w:p w:rsidR="00783598" w:rsidRPr="00340E4C" w:rsidRDefault="00783598">
            <w:pPr>
              <w:autoSpaceDE w:val="0"/>
              <w:autoSpaceDN w:val="0"/>
              <w:adjustRightInd w:val="0"/>
              <w:jc w:val="both"/>
              <w:rPr>
                <w:rFonts w:eastAsia="Times New Roman"/>
                <w:b/>
                <w:bCs/>
                <w:sz w:val="18"/>
                <w:szCs w:val="18"/>
                <w:lang w:eastAsia="cs-CZ"/>
              </w:rPr>
            </w:pPr>
            <w:r w:rsidRPr="00340E4C">
              <w:rPr>
                <w:rFonts w:eastAsia="Times New Roman"/>
                <w:b/>
                <w:bCs/>
                <w:sz w:val="18"/>
                <w:szCs w:val="18"/>
                <w:lang w:eastAsia="cs-CZ"/>
              </w:rPr>
              <w:t>Výdaje celkem</w:t>
            </w:r>
          </w:p>
        </w:tc>
        <w:tc>
          <w:tcPr>
            <w:tcW w:w="3022" w:type="dxa"/>
          </w:tcPr>
          <w:p w:rsidR="00783598" w:rsidRPr="00340E4C" w:rsidRDefault="00783598">
            <w:pPr>
              <w:autoSpaceDE w:val="0"/>
              <w:autoSpaceDN w:val="0"/>
              <w:adjustRightInd w:val="0"/>
              <w:jc w:val="both"/>
              <w:rPr>
                <w:rFonts w:eastAsia="Times New Roman"/>
                <w:b/>
                <w:bCs/>
                <w:sz w:val="18"/>
                <w:szCs w:val="18"/>
                <w:lang w:eastAsia="cs-CZ"/>
              </w:rPr>
            </w:pPr>
          </w:p>
        </w:tc>
      </w:tr>
      <w:tr w:rsidR="00783598" w:rsidRPr="00340E4C">
        <w:tc>
          <w:tcPr>
            <w:tcW w:w="1690" w:type="dxa"/>
          </w:tcPr>
          <w:p w:rsidR="00783598" w:rsidRPr="00340E4C" w:rsidRDefault="00783598">
            <w:pPr>
              <w:autoSpaceDE w:val="0"/>
              <w:autoSpaceDN w:val="0"/>
              <w:adjustRightInd w:val="0"/>
              <w:rPr>
                <w:rFonts w:eastAsia="Times New Roman"/>
                <w:b/>
                <w:bCs/>
                <w:sz w:val="18"/>
                <w:szCs w:val="18"/>
                <w:lang w:eastAsia="cs-CZ"/>
              </w:rPr>
            </w:pPr>
            <w:r w:rsidRPr="00340E4C">
              <w:rPr>
                <w:rFonts w:eastAsia="Times New Roman"/>
                <w:b/>
                <w:bCs/>
                <w:sz w:val="18"/>
                <w:szCs w:val="18"/>
                <w:lang w:eastAsia="cs-CZ"/>
              </w:rPr>
              <w:t>Saldo</w:t>
            </w:r>
          </w:p>
        </w:tc>
        <w:tc>
          <w:tcPr>
            <w:tcW w:w="2916" w:type="dxa"/>
          </w:tcPr>
          <w:p w:rsidR="00783598" w:rsidRPr="00340E4C" w:rsidRDefault="00783598">
            <w:pPr>
              <w:autoSpaceDE w:val="0"/>
              <w:autoSpaceDN w:val="0"/>
              <w:adjustRightInd w:val="0"/>
              <w:jc w:val="both"/>
              <w:rPr>
                <w:rFonts w:eastAsia="Times New Roman"/>
                <w:b/>
                <w:bCs/>
                <w:sz w:val="18"/>
                <w:szCs w:val="18"/>
                <w:lang w:eastAsia="cs-CZ"/>
              </w:rPr>
            </w:pPr>
          </w:p>
        </w:tc>
        <w:tc>
          <w:tcPr>
            <w:tcW w:w="1584" w:type="dxa"/>
          </w:tcPr>
          <w:p w:rsidR="00783598" w:rsidRPr="00340E4C" w:rsidRDefault="00783598">
            <w:pPr>
              <w:autoSpaceDE w:val="0"/>
              <w:autoSpaceDN w:val="0"/>
              <w:adjustRightInd w:val="0"/>
              <w:jc w:val="both"/>
              <w:rPr>
                <w:rFonts w:eastAsia="Times New Roman"/>
                <w:b/>
                <w:bCs/>
                <w:sz w:val="18"/>
                <w:szCs w:val="18"/>
                <w:lang w:eastAsia="cs-CZ"/>
              </w:rPr>
            </w:pPr>
          </w:p>
        </w:tc>
        <w:tc>
          <w:tcPr>
            <w:tcW w:w="3022" w:type="dxa"/>
          </w:tcPr>
          <w:p w:rsidR="00783598" w:rsidRPr="00340E4C" w:rsidRDefault="00783598">
            <w:pPr>
              <w:autoSpaceDE w:val="0"/>
              <w:autoSpaceDN w:val="0"/>
              <w:adjustRightInd w:val="0"/>
              <w:jc w:val="both"/>
              <w:rPr>
                <w:rFonts w:eastAsia="Times New Roman"/>
                <w:b/>
                <w:bCs/>
                <w:sz w:val="18"/>
                <w:szCs w:val="18"/>
                <w:lang w:eastAsia="cs-CZ"/>
              </w:rPr>
            </w:pPr>
          </w:p>
        </w:tc>
      </w:tr>
    </w:tbl>
    <w:p w:rsidR="00783598" w:rsidRPr="00340E4C" w:rsidRDefault="00783598">
      <w:pPr>
        <w:autoSpaceDE w:val="0"/>
        <w:autoSpaceDN w:val="0"/>
        <w:adjustRightInd w:val="0"/>
        <w:rPr>
          <w:rFonts w:eastAsia="Times New Roman"/>
          <w:b/>
          <w:bCs/>
          <w:sz w:val="18"/>
          <w:szCs w:val="18"/>
          <w:lang w:eastAsia="cs-CZ"/>
        </w:rPr>
      </w:pPr>
    </w:p>
    <w:p w:rsidR="00783598" w:rsidRPr="00340E4C" w:rsidRDefault="00783598">
      <w:pPr>
        <w:autoSpaceDE w:val="0"/>
        <w:autoSpaceDN w:val="0"/>
        <w:adjustRightInd w:val="0"/>
        <w:rPr>
          <w:rFonts w:eastAsia="Times New Roman"/>
          <w:b/>
          <w:bCs/>
          <w:color w:val="000000"/>
          <w:lang w:eastAsia="cs-CZ"/>
        </w:rPr>
      </w:pPr>
      <w:r w:rsidRPr="00340E4C">
        <w:rPr>
          <w:rFonts w:eastAsia="Times New Roman"/>
          <w:b/>
          <w:bCs/>
          <w:color w:val="000000"/>
          <w:lang w:eastAsia="cs-CZ"/>
        </w:rPr>
        <w:t xml:space="preserve">Česká republika </w:t>
      </w:r>
    </w:p>
    <w:p w:rsidR="00783598" w:rsidRPr="00340E4C" w:rsidRDefault="00783598">
      <w:pPr>
        <w:autoSpaceDE w:val="0"/>
        <w:autoSpaceDN w:val="0"/>
        <w:adjustRightInd w:val="0"/>
        <w:rPr>
          <w:rFonts w:eastAsia="Times New Roman"/>
          <w:color w:val="000000"/>
          <w:lang w:eastAsia="cs-CZ"/>
        </w:rPr>
      </w:pPr>
      <w:r w:rsidRPr="00340E4C">
        <w:rPr>
          <w:rFonts w:eastAsia="Times New Roman"/>
          <w:b/>
          <w:bCs/>
          <w:color w:val="000000"/>
          <w:lang w:eastAsia="cs-CZ"/>
        </w:rPr>
        <w:t>ÚHRNNÁ BILANCE PŘÍJMŮ A VÝDAJŮ STÁTNÍHO ROZPOČTU 2009</w:t>
      </w:r>
    </w:p>
    <w:p w:rsidR="00783598" w:rsidRPr="00340E4C" w:rsidRDefault="00783598">
      <w:pPr>
        <w:autoSpaceDE w:val="0"/>
        <w:autoSpaceDN w:val="0"/>
        <w:adjustRightInd w:val="0"/>
        <w:rPr>
          <w:rFonts w:eastAsia="Times New Roman"/>
          <w:color w:val="000000"/>
          <w:lang w:eastAsia="cs-CZ"/>
        </w:rPr>
      </w:pPr>
    </w:p>
    <w:p w:rsidR="00783598" w:rsidRPr="00340E4C" w:rsidRDefault="00783598">
      <w:pPr>
        <w:autoSpaceDE w:val="0"/>
        <w:autoSpaceDN w:val="0"/>
        <w:adjustRightInd w:val="0"/>
        <w:rPr>
          <w:rFonts w:eastAsia="Times New Roman"/>
          <w:b/>
          <w:bCs/>
          <w:color w:val="000000"/>
          <w:lang w:eastAsia="cs-CZ"/>
        </w:rPr>
      </w:pPr>
      <w:r w:rsidRPr="00340E4C">
        <w:rPr>
          <w:rFonts w:eastAsia="Times New Roman"/>
          <w:b/>
          <w:bCs/>
          <w:color w:val="000000"/>
          <w:lang w:eastAsia="cs-CZ"/>
        </w:rPr>
        <w:t>Ukazatel v tis. Kč</w:t>
      </w:r>
    </w:p>
    <w:p w:rsidR="00783598" w:rsidRPr="00340E4C" w:rsidRDefault="00783598">
      <w:pPr>
        <w:autoSpaceDE w:val="0"/>
        <w:autoSpaceDN w:val="0"/>
        <w:adjustRightInd w:val="0"/>
        <w:rPr>
          <w:rFonts w:eastAsia="Times New Roman"/>
          <w:color w:val="3333CD"/>
          <w:lang w:eastAsia="cs-CZ"/>
        </w:rPr>
      </w:pPr>
      <w:r w:rsidRPr="00340E4C">
        <w:rPr>
          <w:rFonts w:eastAsia="Times New Roman"/>
          <w:color w:val="000000"/>
          <w:lang w:eastAsia="cs-CZ"/>
        </w:rPr>
        <w:t xml:space="preserve">Příjmy státního rozpočtu celkem </w:t>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3333CD"/>
          <w:lang w:eastAsia="cs-CZ"/>
        </w:rPr>
        <w:t>1 114 001 697</w:t>
      </w:r>
    </w:p>
    <w:p w:rsidR="00783598" w:rsidRPr="00340E4C" w:rsidRDefault="00783598">
      <w:pPr>
        <w:autoSpaceDE w:val="0"/>
        <w:autoSpaceDN w:val="0"/>
        <w:adjustRightInd w:val="0"/>
        <w:rPr>
          <w:rFonts w:eastAsia="Times New Roman"/>
          <w:color w:val="3333CD"/>
          <w:lang w:eastAsia="cs-CZ"/>
        </w:rPr>
      </w:pPr>
      <w:r w:rsidRPr="00340E4C">
        <w:rPr>
          <w:rFonts w:eastAsia="Times New Roman"/>
          <w:color w:val="000000"/>
          <w:lang w:eastAsia="cs-CZ"/>
        </w:rPr>
        <w:t xml:space="preserve">Výdaje státního rozpočtu celkem </w:t>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3333CD"/>
          <w:lang w:eastAsia="cs-CZ"/>
        </w:rPr>
        <w:t>1 152 101 697</w:t>
      </w:r>
    </w:p>
    <w:p w:rsidR="00783598" w:rsidRPr="00340E4C" w:rsidRDefault="00783598">
      <w:pPr>
        <w:autoSpaceDE w:val="0"/>
        <w:autoSpaceDN w:val="0"/>
        <w:adjustRightInd w:val="0"/>
        <w:ind w:left="708"/>
        <w:rPr>
          <w:rFonts w:eastAsia="Times New Roman"/>
          <w:color w:val="000000"/>
          <w:lang w:eastAsia="cs-CZ"/>
        </w:rPr>
      </w:pPr>
      <w:r w:rsidRPr="00340E4C">
        <w:rPr>
          <w:rFonts w:eastAsia="Times New Roman"/>
          <w:color w:val="000000"/>
          <w:lang w:eastAsia="cs-CZ"/>
        </w:rPr>
        <w:t>z toho: finanční vztahy k rozpočtům</w:t>
      </w:r>
    </w:p>
    <w:p w:rsidR="00783598" w:rsidRPr="00340E4C" w:rsidRDefault="00783598">
      <w:pPr>
        <w:autoSpaceDE w:val="0"/>
        <w:autoSpaceDN w:val="0"/>
        <w:adjustRightInd w:val="0"/>
        <w:ind w:left="708"/>
        <w:rPr>
          <w:rFonts w:eastAsia="Times New Roman"/>
          <w:color w:val="000000"/>
          <w:lang w:eastAsia="cs-CZ"/>
        </w:rPr>
      </w:pPr>
      <w:r w:rsidRPr="00340E4C">
        <w:rPr>
          <w:rFonts w:eastAsia="Times New Roman"/>
          <w:color w:val="000000"/>
          <w:lang w:eastAsia="cs-CZ"/>
        </w:rPr>
        <w:t xml:space="preserve">- krajů </w:t>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004D67D9" w:rsidRPr="00340E4C">
        <w:rPr>
          <w:rFonts w:eastAsia="Times New Roman"/>
          <w:color w:val="000000"/>
          <w:lang w:eastAsia="cs-CZ"/>
        </w:rPr>
        <w:t xml:space="preserve">       </w:t>
      </w:r>
      <w:r w:rsidRPr="00340E4C">
        <w:rPr>
          <w:rFonts w:eastAsia="Times New Roman"/>
          <w:color w:val="000000"/>
          <w:lang w:eastAsia="cs-CZ"/>
        </w:rPr>
        <w:t>1 178 928</w:t>
      </w:r>
    </w:p>
    <w:p w:rsidR="00783598" w:rsidRPr="00340E4C" w:rsidRDefault="00783598">
      <w:pPr>
        <w:autoSpaceDE w:val="0"/>
        <w:autoSpaceDN w:val="0"/>
        <w:adjustRightInd w:val="0"/>
        <w:ind w:left="708"/>
        <w:rPr>
          <w:rFonts w:eastAsia="Times New Roman"/>
          <w:color w:val="000000"/>
          <w:lang w:eastAsia="cs-CZ"/>
        </w:rPr>
      </w:pPr>
      <w:r w:rsidRPr="00340E4C">
        <w:rPr>
          <w:rFonts w:eastAsia="Times New Roman"/>
          <w:color w:val="000000"/>
          <w:lang w:eastAsia="cs-CZ"/>
        </w:rPr>
        <w:t xml:space="preserve">- obcí v úhrnech po jednotlivých krajích </w:t>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004D67D9" w:rsidRPr="00340E4C">
        <w:rPr>
          <w:rFonts w:eastAsia="Times New Roman"/>
          <w:color w:val="000000"/>
          <w:lang w:eastAsia="cs-CZ"/>
        </w:rPr>
        <w:t xml:space="preserve">       </w:t>
      </w:r>
      <w:r w:rsidRPr="00340E4C">
        <w:rPr>
          <w:rFonts w:eastAsia="Times New Roman"/>
          <w:color w:val="000000"/>
          <w:lang w:eastAsia="cs-CZ"/>
        </w:rPr>
        <w:t>8 979 617</w:t>
      </w:r>
    </w:p>
    <w:p w:rsidR="00783598" w:rsidRPr="00340E4C" w:rsidRDefault="00783598">
      <w:pPr>
        <w:autoSpaceDE w:val="0"/>
        <w:autoSpaceDN w:val="0"/>
        <w:adjustRightInd w:val="0"/>
        <w:ind w:left="708"/>
        <w:rPr>
          <w:rFonts w:eastAsia="Times New Roman"/>
          <w:color w:val="000000"/>
          <w:lang w:eastAsia="cs-CZ"/>
        </w:rPr>
      </w:pPr>
      <w:r w:rsidRPr="00340E4C">
        <w:rPr>
          <w:rFonts w:eastAsia="Times New Roman"/>
          <w:color w:val="000000"/>
          <w:lang w:eastAsia="cs-CZ"/>
        </w:rPr>
        <w:t xml:space="preserve">- finanční vztah k rozpočtu hlavního města Prahy </w:t>
      </w:r>
      <w:r w:rsidRPr="00340E4C">
        <w:rPr>
          <w:rFonts w:eastAsia="Times New Roman"/>
          <w:color w:val="000000"/>
          <w:lang w:eastAsia="cs-CZ"/>
        </w:rPr>
        <w:tab/>
        <w:t xml:space="preserve">             </w:t>
      </w:r>
      <w:r w:rsidR="004D67D9" w:rsidRPr="00340E4C">
        <w:rPr>
          <w:rFonts w:eastAsia="Times New Roman"/>
          <w:color w:val="000000"/>
          <w:lang w:eastAsia="cs-CZ"/>
        </w:rPr>
        <w:t xml:space="preserve">        </w:t>
      </w:r>
      <w:r w:rsidRPr="00340E4C">
        <w:rPr>
          <w:rFonts w:eastAsia="Times New Roman"/>
          <w:color w:val="000000"/>
          <w:lang w:eastAsia="cs-CZ"/>
        </w:rPr>
        <w:t>706 535</w:t>
      </w:r>
    </w:p>
    <w:p w:rsidR="00783598" w:rsidRPr="00340E4C" w:rsidRDefault="00783598">
      <w:pPr>
        <w:autoSpaceDE w:val="0"/>
        <w:autoSpaceDN w:val="0"/>
        <w:adjustRightInd w:val="0"/>
        <w:rPr>
          <w:rFonts w:eastAsia="Times New Roman"/>
          <w:b/>
          <w:bCs/>
          <w:color w:val="0000FF"/>
          <w:lang w:eastAsia="cs-CZ"/>
        </w:rPr>
      </w:pPr>
      <w:r w:rsidRPr="00340E4C">
        <w:rPr>
          <w:rFonts w:eastAsia="Times New Roman"/>
          <w:b/>
          <w:bCs/>
          <w:color w:val="000000"/>
          <w:lang w:eastAsia="cs-CZ"/>
        </w:rPr>
        <w:t xml:space="preserve">Schodek </w:t>
      </w:r>
      <w:r w:rsidR="00903C8C">
        <w:rPr>
          <w:rFonts w:eastAsia="Times New Roman"/>
          <w:b/>
          <w:bCs/>
          <w:color w:val="000000"/>
          <w:lang w:eastAsia="cs-CZ"/>
        </w:rPr>
        <w:t>(deficit)</w:t>
      </w:r>
      <w:r w:rsidRPr="00340E4C">
        <w:rPr>
          <w:rFonts w:eastAsia="Times New Roman"/>
          <w:b/>
          <w:bCs/>
          <w:color w:val="000000"/>
          <w:lang w:eastAsia="cs-CZ"/>
        </w:rPr>
        <w:tab/>
      </w:r>
      <w:r w:rsidRPr="00340E4C">
        <w:rPr>
          <w:rFonts w:eastAsia="Times New Roman"/>
          <w:b/>
          <w:bCs/>
          <w:color w:val="000000"/>
          <w:lang w:eastAsia="cs-CZ"/>
        </w:rPr>
        <w:tab/>
      </w:r>
      <w:r w:rsidRPr="00340E4C">
        <w:rPr>
          <w:rFonts w:eastAsia="Times New Roman"/>
          <w:b/>
          <w:bCs/>
          <w:color w:val="000000"/>
          <w:lang w:eastAsia="cs-CZ"/>
        </w:rPr>
        <w:tab/>
      </w:r>
      <w:r w:rsidRPr="00340E4C">
        <w:rPr>
          <w:rFonts w:eastAsia="Times New Roman"/>
          <w:b/>
          <w:bCs/>
          <w:color w:val="000000"/>
          <w:lang w:eastAsia="cs-CZ"/>
        </w:rPr>
        <w:tab/>
      </w:r>
      <w:r w:rsidRPr="00340E4C">
        <w:rPr>
          <w:rFonts w:eastAsia="Times New Roman"/>
          <w:b/>
          <w:bCs/>
          <w:color w:val="000000"/>
          <w:lang w:eastAsia="cs-CZ"/>
        </w:rPr>
        <w:tab/>
      </w:r>
      <w:r w:rsidRPr="00340E4C">
        <w:rPr>
          <w:rFonts w:eastAsia="Times New Roman"/>
          <w:b/>
          <w:bCs/>
          <w:color w:val="000000"/>
          <w:lang w:eastAsia="cs-CZ"/>
        </w:rPr>
        <w:tab/>
      </w:r>
      <w:r w:rsidRPr="00340E4C">
        <w:rPr>
          <w:rFonts w:eastAsia="Times New Roman"/>
          <w:b/>
          <w:bCs/>
          <w:color w:val="000000"/>
          <w:lang w:eastAsia="cs-CZ"/>
        </w:rPr>
        <w:tab/>
        <w:t xml:space="preserve">    </w:t>
      </w:r>
      <w:r w:rsidRPr="00340E4C">
        <w:rPr>
          <w:rFonts w:eastAsia="Times New Roman"/>
          <w:b/>
          <w:bCs/>
          <w:color w:val="0000FF"/>
          <w:lang w:eastAsia="cs-CZ"/>
        </w:rPr>
        <w:t>-38 100 000</w:t>
      </w:r>
    </w:p>
    <w:p w:rsidR="00783598" w:rsidRPr="00340E4C" w:rsidRDefault="00783598">
      <w:pPr>
        <w:autoSpaceDE w:val="0"/>
        <w:autoSpaceDN w:val="0"/>
        <w:adjustRightInd w:val="0"/>
        <w:rPr>
          <w:rFonts w:eastAsia="Times New Roman"/>
          <w:color w:val="000000"/>
          <w:lang w:eastAsia="cs-CZ"/>
        </w:rPr>
      </w:pPr>
      <w:r w:rsidRPr="00340E4C">
        <w:rPr>
          <w:rFonts w:eastAsia="Times New Roman"/>
          <w:color w:val="000000"/>
          <w:lang w:eastAsia="cs-CZ"/>
        </w:rPr>
        <w:t>Financování:</w:t>
      </w:r>
    </w:p>
    <w:p w:rsidR="00783598" w:rsidRPr="00340E4C" w:rsidRDefault="00783598">
      <w:pPr>
        <w:autoSpaceDE w:val="0"/>
        <w:autoSpaceDN w:val="0"/>
        <w:adjustRightInd w:val="0"/>
        <w:rPr>
          <w:rFonts w:eastAsia="Times New Roman"/>
          <w:color w:val="000000"/>
          <w:lang w:eastAsia="cs-CZ"/>
        </w:rPr>
      </w:pPr>
      <w:r w:rsidRPr="00340E4C">
        <w:rPr>
          <w:rFonts w:eastAsia="Times New Roman"/>
          <w:color w:val="000000"/>
          <w:lang w:eastAsia="cs-CZ"/>
        </w:rPr>
        <w:t xml:space="preserve">Zvýšení stavu státních dluhopisů </w:t>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r>
      <w:r w:rsidRPr="00340E4C">
        <w:rPr>
          <w:rFonts w:eastAsia="Times New Roman"/>
          <w:color w:val="000000"/>
          <w:lang w:eastAsia="cs-CZ"/>
        </w:rPr>
        <w:tab/>
        <w:t xml:space="preserve">     23 600 605</w:t>
      </w:r>
    </w:p>
    <w:p w:rsidR="00783598" w:rsidRPr="00340E4C" w:rsidRDefault="00783598">
      <w:pPr>
        <w:autoSpaceDE w:val="0"/>
        <w:autoSpaceDN w:val="0"/>
        <w:adjustRightInd w:val="0"/>
        <w:rPr>
          <w:rFonts w:eastAsia="Times New Roman"/>
          <w:color w:val="000000"/>
          <w:lang w:eastAsia="cs-CZ"/>
        </w:rPr>
      </w:pPr>
      <w:r w:rsidRPr="00340E4C">
        <w:rPr>
          <w:rFonts w:eastAsia="Times New Roman"/>
          <w:color w:val="000000"/>
          <w:lang w:eastAsia="cs-CZ"/>
        </w:rPr>
        <w:t xml:space="preserve">Zvýšení stavu přijatých dlouhodobých úvěrů                       </w:t>
      </w:r>
      <w:r w:rsidR="004D67D9" w:rsidRPr="00340E4C">
        <w:rPr>
          <w:rFonts w:eastAsia="Times New Roman"/>
          <w:color w:val="000000"/>
          <w:lang w:eastAsia="cs-CZ"/>
        </w:rPr>
        <w:t xml:space="preserve">    </w:t>
      </w:r>
      <w:r w:rsidRPr="00340E4C">
        <w:rPr>
          <w:rFonts w:eastAsia="Times New Roman"/>
          <w:color w:val="000000"/>
          <w:lang w:eastAsia="cs-CZ"/>
        </w:rPr>
        <w:t xml:space="preserve">            15 823 034</w:t>
      </w:r>
    </w:p>
    <w:p w:rsidR="00783598" w:rsidRPr="00340E4C" w:rsidRDefault="00783598">
      <w:pPr>
        <w:autoSpaceDE w:val="0"/>
        <w:autoSpaceDN w:val="0"/>
        <w:adjustRightInd w:val="0"/>
        <w:rPr>
          <w:rFonts w:eastAsia="Times New Roman"/>
          <w:color w:val="000000"/>
          <w:lang w:eastAsia="cs-CZ"/>
        </w:rPr>
      </w:pPr>
      <w:r w:rsidRPr="00340E4C">
        <w:rPr>
          <w:rFonts w:eastAsia="Times New Roman"/>
          <w:color w:val="000000"/>
          <w:lang w:eastAsia="cs-CZ"/>
        </w:rPr>
        <w:t xml:space="preserve">Změna stavu na účtech státních finančních aktiv                     </w:t>
      </w:r>
      <w:r w:rsidR="004D67D9" w:rsidRPr="00340E4C">
        <w:rPr>
          <w:rFonts w:eastAsia="Times New Roman"/>
          <w:color w:val="000000"/>
          <w:lang w:eastAsia="cs-CZ"/>
        </w:rPr>
        <w:t xml:space="preserve">    </w:t>
      </w:r>
      <w:r w:rsidRPr="00340E4C">
        <w:rPr>
          <w:rFonts w:eastAsia="Times New Roman"/>
          <w:color w:val="000000"/>
          <w:lang w:eastAsia="cs-CZ"/>
        </w:rPr>
        <w:t xml:space="preserve">         -1 323 639</w:t>
      </w:r>
    </w:p>
    <w:p w:rsidR="00783598" w:rsidRPr="00340E4C" w:rsidRDefault="00783598">
      <w:pPr>
        <w:autoSpaceDE w:val="0"/>
        <w:autoSpaceDN w:val="0"/>
        <w:adjustRightInd w:val="0"/>
        <w:rPr>
          <w:rFonts w:eastAsia="Times New Roman"/>
          <w:b/>
          <w:bCs/>
          <w:lang w:eastAsia="cs-CZ"/>
        </w:rPr>
      </w:pPr>
    </w:p>
    <w:p w:rsidR="00783598" w:rsidRPr="00340E4C" w:rsidRDefault="00783598">
      <w:r w:rsidRPr="00340E4C">
        <w:t xml:space="preserve"> </w:t>
      </w:r>
      <w:r w:rsidR="00557111">
        <w:t>Státní rozpočet 2018:  Příjmy: 1314 mld CZK, výdaje 1364,5 mld CZK.</w:t>
      </w:r>
    </w:p>
    <w:p w:rsidR="00783598" w:rsidRPr="00340E4C" w:rsidRDefault="00783598">
      <w:pPr>
        <w:autoSpaceDE w:val="0"/>
        <w:autoSpaceDN w:val="0"/>
        <w:adjustRightInd w:val="0"/>
        <w:rPr>
          <w:rFonts w:eastAsia="Times New Roman"/>
          <w:b/>
          <w:bCs/>
          <w:sz w:val="18"/>
          <w:szCs w:val="18"/>
          <w:lang w:eastAsia="cs-CZ"/>
        </w:rPr>
      </w:pPr>
    </w:p>
    <w:p w:rsidR="00783598" w:rsidRPr="00340E4C" w:rsidRDefault="00783598">
      <w:pPr>
        <w:autoSpaceDE w:val="0"/>
        <w:autoSpaceDN w:val="0"/>
        <w:adjustRightInd w:val="0"/>
        <w:rPr>
          <w:rFonts w:eastAsia="Times New Roman"/>
          <w:b/>
          <w:bCs/>
          <w:sz w:val="18"/>
          <w:szCs w:val="18"/>
          <w:lang w:eastAsia="cs-CZ"/>
        </w:rPr>
      </w:pPr>
    </w:p>
    <w:p w:rsidR="00783598" w:rsidRPr="00340E4C" w:rsidRDefault="00783598" w:rsidP="00636A7A">
      <w:pPr>
        <w:pStyle w:val="berschrift2"/>
      </w:pPr>
      <w:r w:rsidRPr="00340E4C">
        <w:lastRenderedPageBreak/>
        <w:t>Cíle a nástroje fiskální politiky</w:t>
      </w:r>
    </w:p>
    <w:p w:rsidR="00783598" w:rsidRPr="00340E4C" w:rsidRDefault="00783598">
      <w:r w:rsidRPr="00340E4C">
        <w:rPr>
          <w:b/>
          <w:bCs/>
        </w:rPr>
        <w:t>Funkce státního rozpočtu</w:t>
      </w:r>
      <w:r w:rsidRPr="00340E4C">
        <w:t>:</w:t>
      </w:r>
    </w:p>
    <w:p w:rsidR="00783598" w:rsidRPr="00340E4C" w:rsidRDefault="00783598" w:rsidP="001741A7">
      <w:pPr>
        <w:numPr>
          <w:ilvl w:val="0"/>
          <w:numId w:val="1"/>
        </w:numPr>
      </w:pPr>
      <w:r w:rsidRPr="00340E4C">
        <w:t>úhrada výdajů státu</w:t>
      </w:r>
    </w:p>
    <w:p w:rsidR="00783598" w:rsidRPr="00340E4C" w:rsidRDefault="00783598" w:rsidP="001741A7">
      <w:pPr>
        <w:numPr>
          <w:ilvl w:val="0"/>
          <w:numId w:val="1"/>
        </w:numPr>
      </w:pPr>
      <w:r w:rsidRPr="00340E4C">
        <w:t>řešení externalit – včetně zmírňování nerovnosti mezi subjekty</w:t>
      </w:r>
    </w:p>
    <w:p w:rsidR="00783598" w:rsidRPr="00340E4C" w:rsidRDefault="00783598" w:rsidP="001741A7">
      <w:pPr>
        <w:numPr>
          <w:ilvl w:val="0"/>
          <w:numId w:val="1"/>
        </w:numPr>
      </w:pPr>
      <w:r w:rsidRPr="00340E4C">
        <w:t>stabilizace ekonomiky</w:t>
      </w:r>
    </w:p>
    <w:p w:rsidR="00783598" w:rsidRPr="00340E4C" w:rsidRDefault="00783598"/>
    <w:p w:rsidR="00783598" w:rsidRPr="00340E4C" w:rsidRDefault="00783598">
      <w:r w:rsidRPr="00340E4C">
        <w:rPr>
          <w:b/>
          <w:bCs/>
        </w:rPr>
        <w:t>Nástroje</w:t>
      </w:r>
      <w:r w:rsidRPr="00340E4C">
        <w:t xml:space="preserve">: </w:t>
      </w:r>
    </w:p>
    <w:p w:rsidR="00783598" w:rsidRPr="00340E4C" w:rsidRDefault="00783598" w:rsidP="001741A7">
      <w:pPr>
        <w:numPr>
          <w:ilvl w:val="3"/>
          <w:numId w:val="1"/>
        </w:numPr>
        <w:tabs>
          <w:tab w:val="clear" w:pos="2880"/>
        </w:tabs>
        <w:ind w:left="720"/>
      </w:pPr>
      <w:r w:rsidRPr="00340E4C">
        <w:t>daňová soustava a další příjmy státního rozpočtu</w:t>
      </w:r>
    </w:p>
    <w:p w:rsidR="00783598" w:rsidRPr="00340E4C" w:rsidRDefault="00783598" w:rsidP="001741A7">
      <w:pPr>
        <w:numPr>
          <w:ilvl w:val="3"/>
          <w:numId w:val="1"/>
        </w:numPr>
        <w:tabs>
          <w:tab w:val="clear" w:pos="2880"/>
        </w:tabs>
        <w:ind w:left="720"/>
      </w:pPr>
      <w:r w:rsidRPr="00340E4C">
        <w:t>výdaje státního rozpočtu</w:t>
      </w:r>
    </w:p>
    <w:p w:rsidR="00783598" w:rsidRPr="00340E4C" w:rsidRDefault="00783598" w:rsidP="001741A7">
      <w:pPr>
        <w:numPr>
          <w:ilvl w:val="3"/>
          <w:numId w:val="1"/>
        </w:numPr>
        <w:tabs>
          <w:tab w:val="clear" w:pos="2880"/>
        </w:tabs>
        <w:ind w:left="720"/>
        <w:jc w:val="both"/>
      </w:pPr>
      <w:r w:rsidRPr="00340E4C">
        <w:t>vestavěné stabilizátory (progresívní daně, dávky v nezaměstnanosti, pojištění v nezaměstnanosti, výkup zemědělských přebytků, subvence k cenám zemědělské produkce</w:t>
      </w:r>
    </w:p>
    <w:p w:rsidR="00783598" w:rsidRPr="00340E4C" w:rsidRDefault="00783598">
      <w:pPr>
        <w:pStyle w:val="Fuzeile"/>
        <w:tabs>
          <w:tab w:val="clear" w:pos="4536"/>
          <w:tab w:val="clear" w:pos="9072"/>
        </w:tabs>
      </w:pPr>
    </w:p>
    <w:p w:rsidR="00783598" w:rsidRPr="00340E4C" w:rsidRDefault="00783598">
      <w:pPr>
        <w:rPr>
          <w:b/>
          <w:bCs/>
        </w:rPr>
      </w:pPr>
      <w:r w:rsidRPr="00340E4C">
        <w:rPr>
          <w:b/>
          <w:bCs/>
        </w:rPr>
        <w:t>Vztah daňové sazby a daňového výnosu</w:t>
      </w:r>
    </w:p>
    <w:p w:rsidR="00783598" w:rsidRPr="00340E4C" w:rsidRDefault="00783598">
      <w:r w:rsidRPr="00340E4C">
        <w:t>Ekonomie si kladla otázku, v jaké závislosti je daňová sazba (cena státu) a daňový výnos. Z této úvahy vznikla Lafferova</w:t>
      </w:r>
      <w:r w:rsidR="00557111">
        <w:rPr>
          <w:rStyle w:val="Funotenzeichen"/>
        </w:rPr>
        <w:footnoteReference w:id="22"/>
      </w:r>
      <w:r w:rsidRPr="00340E4C">
        <w:t xml:space="preserve"> křivka (závislost daňového výnosu na daňové sazbě):</w:t>
      </w:r>
    </w:p>
    <w:p w:rsidR="00783598" w:rsidRPr="00340E4C" w:rsidRDefault="00783598"/>
    <w:p w:rsidR="00783598" w:rsidRPr="00340E4C" w:rsidRDefault="00783598"/>
    <w:p w:rsidR="00783598" w:rsidRPr="00340E4C" w:rsidRDefault="0033114D">
      <w:r w:rsidRPr="00340E4C">
        <w:rPr>
          <w:noProof/>
          <w:lang w:val="de-DE" w:eastAsia="de-DE"/>
        </w:rPr>
        <w:drawing>
          <wp:inline distT="0" distB="0" distL="0" distR="0" wp14:anchorId="5A98BCEF" wp14:editId="3094F1B8">
            <wp:extent cx="4752975" cy="3800475"/>
            <wp:effectExtent l="0" t="0" r="9525" b="9525"/>
            <wp:docPr id="167" name="obrázek 167" descr="Lafferova kři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afferova křivka"/>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752975" cy="3800475"/>
                    </a:xfrm>
                    <a:prstGeom prst="rect">
                      <a:avLst/>
                    </a:prstGeom>
                    <a:noFill/>
                    <a:ln>
                      <a:noFill/>
                    </a:ln>
                  </pic:spPr>
                </pic:pic>
              </a:graphicData>
            </a:graphic>
          </wp:inline>
        </w:drawing>
      </w:r>
    </w:p>
    <w:p w:rsidR="00783598" w:rsidRPr="00340E4C" w:rsidRDefault="00783598">
      <w:pPr>
        <w:pStyle w:val="Textkrper"/>
      </w:pPr>
      <w:r w:rsidRPr="00340E4C">
        <w:t>Jako celá řada ekonomických tvrzení, ani Lafferova křivka není přijímána všemi ekonomy. Zejména je však odmítána praktickou veřejnou sférou, viz dále:</w:t>
      </w:r>
    </w:p>
    <w:p w:rsidR="00783598" w:rsidRPr="00340E4C" w:rsidRDefault="00783598"/>
    <w:p w:rsidR="00783598" w:rsidRPr="00340E4C" w:rsidRDefault="00783598">
      <w:pPr>
        <w:pStyle w:val="Textkrper3"/>
      </w:pPr>
      <w:r w:rsidRPr="00340E4C">
        <w:t xml:space="preserve">Pravděpodobně největším ekonomickým experimentem s Lafferovou křivkou byly známé Reaganovy daňové škrty. Jak popisuje ve své klasické učebnici ekonomie nositel Nobelovy ceny Paul Samuelson, je až podivuhodné, jak je možné, že tak pochybná a empiricky nepodložená ekonomická teorie se mohla stát hnací silou ekonomicko-politických rozhodnutí s tak dalekosáhlými důsledky. Ronald Reagan byl na začátku svého působení vzhledem ke </w:t>
      </w:r>
      <w:r w:rsidRPr="00340E4C">
        <w:lastRenderedPageBreak/>
        <w:t>svým omezeným ekonomickým znalostem svými poradci poslán na základní národohospodářské školení. Zde se od Arte Laffera dozvěděl o konceptu „Lafferovy křivky.“ Ta hovoří o vztahu mezi mezními daňovými sazbami z příjmů a skutečným daňovým výnosem, její příznivci argumentují tím, že vyšší daňové sazby snižují motivaci k práce a zvyšují motivaci k daňovým únikům. Proto podle nich při zvyšování daňových sazeb skutečné příjmy rostou pomaleji než lineárně a od jistého bodu dokonce klesají. Tato teorie se odkazuje zejména na období po 2.</w:t>
      </w:r>
      <w:r w:rsidR="00557111">
        <w:t xml:space="preserve"> </w:t>
      </w:r>
      <w:r w:rsidRPr="00340E4C">
        <w:t xml:space="preserve">světové válce, kdy vláda USA potřebovala splácet vysoké válečné dluhy a mezní sazby z příjmu dosahovaly až 90%. Ronald Reagan na základě těchto argumentů a své vlastní poválečné zkušenosti prosadil program rozsáhlých daňových škrtů. Praktické výsledky jeho politiky však teoretickým předpokladům neodpovídaly: daňové příjmy se snížily prakticky lineárně s poklesem daňových sazeb a konzervativní Reagonova administrativa se tak zasloužila o rekordně astronomické deficity státního rozpočtu. Ani hospodářský růst USA v době Reaganovy administrativy objektivně nijak nepředčil předcházející a následující období s vyššími daňovými sazbami. Empirické studie později prokázaly, že efekt Lafferovy křivky může skutečně existovat, avšak pouze v oblasti extrémních daňových sazeb, tedy někde v rozmezí 70%-100%, v oblasti běžných sazeb, okolo 10-60%, naopak tyto studie kupodivu ukazují spíše na opačný efekt, kdy při zvyšování daňových sazeb rostou skutečné daňové výnosy rychleji než lineárně. Vysvětlením může být motivace daňových poplatníků při mírném zvýšení sazeb zvýšit svůj hrubý příjem s cílem udržet dosavadní čistý příjem a životní úroveň. </w:t>
      </w:r>
    </w:p>
    <w:p w:rsidR="00783598" w:rsidRPr="00340E4C" w:rsidRDefault="00783598">
      <w:pPr>
        <w:jc w:val="both"/>
        <w:rPr>
          <w:i/>
          <w:iCs/>
        </w:rPr>
      </w:pPr>
      <w:r w:rsidRPr="00340E4C">
        <w:rPr>
          <w:i/>
          <w:iCs/>
        </w:rPr>
        <w:t>Pramen: http://www.witzany.cz/clanky/Laff_krivka.htm</w:t>
      </w:r>
    </w:p>
    <w:p w:rsidR="00783598" w:rsidRPr="00340E4C" w:rsidRDefault="00783598"/>
    <w:p w:rsidR="00783598" w:rsidRPr="00340E4C" w:rsidRDefault="00783598">
      <w:pPr>
        <w:rPr>
          <w:b/>
          <w:bCs/>
          <w:u w:val="single"/>
        </w:rPr>
      </w:pPr>
      <w:r w:rsidRPr="00340E4C">
        <w:rPr>
          <w:b/>
          <w:bCs/>
          <w:u w:val="single"/>
        </w:rPr>
        <w:t>Poznámka: Veřejný dluh</w:t>
      </w:r>
    </w:p>
    <w:p w:rsidR="00783598" w:rsidRPr="00340E4C" w:rsidRDefault="00783598"/>
    <w:p w:rsidR="00783598" w:rsidRPr="00340E4C" w:rsidRDefault="00783598">
      <w:pPr>
        <w:jc w:val="both"/>
      </w:pPr>
      <w:r w:rsidRPr="00340E4C">
        <w:t>Veřejný dluh je výsledný stav schodků veřejných rozpočtů. Příčina jeho existence je politická. Zvyšování veřejných výdajů je populární a přináší růst volebních preferencí (což poněkud protiřečí „škole racionálních očekávání“), zatímco zvyšování daní populární není.</w:t>
      </w:r>
    </w:p>
    <w:p w:rsidR="00783598" w:rsidRPr="00340E4C" w:rsidRDefault="00783598">
      <w:pPr>
        <w:jc w:val="both"/>
      </w:pPr>
      <w:r w:rsidRPr="00340E4C">
        <w:t>Jaký má veřejný dluh dlouhodobý dopad na agregátní poptávku?</w:t>
      </w:r>
    </w:p>
    <w:p w:rsidR="00783598" w:rsidRPr="00340E4C" w:rsidRDefault="00783598">
      <w:pPr>
        <w:jc w:val="both"/>
      </w:pPr>
    </w:p>
    <w:p w:rsidR="00783598" w:rsidRPr="00340E4C" w:rsidRDefault="00783598">
      <w:pPr>
        <w:jc w:val="both"/>
      </w:pPr>
      <w:r w:rsidRPr="00340E4C">
        <w:rPr>
          <w:b/>
        </w:rPr>
        <w:t>Tradiční teorie</w:t>
      </w:r>
      <w:r w:rsidRPr="00340E4C">
        <w:t>: růst veřejného dluhu neovlivňuje spotřebu dnešní generace. Dluhopisy budou nabídnuty na trhu, kde ale panuje rovnováha a neexistuje dost volných peněz na jejich nákup. Vláda je bude muset prodat do zahraničí. Veřejný dluh se z velké části mění v zahraniční dluh. Dluh dopadne na budoucí generace.</w:t>
      </w:r>
    </w:p>
    <w:p w:rsidR="00783598" w:rsidRPr="00340E4C" w:rsidRDefault="00783598">
      <w:pPr>
        <w:jc w:val="both"/>
      </w:pPr>
    </w:p>
    <w:p w:rsidR="00783598" w:rsidRPr="00340E4C" w:rsidRDefault="00783598">
      <w:pPr>
        <w:jc w:val="both"/>
      </w:pPr>
      <w:r w:rsidRPr="00340E4C">
        <w:rPr>
          <w:b/>
        </w:rPr>
        <w:t>Ricardova-Barroova teorie</w:t>
      </w:r>
      <w:r w:rsidRPr="00340E4C">
        <w:t>: domácnosti předjímají vliv deficitu, aby ulehčily svým potomkům, nakoupí samy vládní dluhopisy. Až nastane čas dluhy splácet, budou splaceny z těchto dluhopisů.</w:t>
      </w:r>
    </w:p>
    <w:p w:rsidR="00783598" w:rsidRPr="00340E4C" w:rsidRDefault="00783598">
      <w:pPr>
        <w:jc w:val="both"/>
      </w:pPr>
    </w:p>
    <w:p w:rsidR="00783598" w:rsidRPr="00340E4C" w:rsidRDefault="00783598">
      <w:pPr>
        <w:jc w:val="both"/>
      </w:pPr>
      <w:r w:rsidRPr="00340E4C">
        <w:t>Je velmi obtížné jednou nastavenou hladinu veřejných výdajů odbourat – velký tlak voličské většiny. Přesto se v některých zemích podařilo veřejný dluh snížit. Švédsko (veřejný dluh klesl ze 76,6% HDP na 60% HDP), Nizozemsko v 90.</w:t>
      </w:r>
      <w:r w:rsidR="00557111">
        <w:t xml:space="preserve"> </w:t>
      </w:r>
      <w:r w:rsidRPr="00340E4C">
        <w:t>letech 20.století.</w:t>
      </w:r>
    </w:p>
    <w:p w:rsidR="00783598" w:rsidRPr="00340E4C" w:rsidRDefault="00783598">
      <w:pPr>
        <w:jc w:val="both"/>
      </w:pPr>
    </w:p>
    <w:p w:rsidR="00783598" w:rsidRPr="00340E4C" w:rsidRDefault="00783598">
      <w:pPr>
        <w:jc w:val="both"/>
      </w:pPr>
    </w:p>
    <w:p w:rsidR="00783598" w:rsidRPr="00340E4C" w:rsidRDefault="00623C40">
      <w:pPr>
        <w:rPr>
          <w:b/>
          <w:u w:val="single"/>
        </w:rPr>
      </w:pPr>
      <w:r w:rsidRPr="00340E4C">
        <w:rPr>
          <w:b/>
          <w:u w:val="single"/>
        </w:rPr>
        <w:t>Doplněk: boj fiskální politiky USA proti velké hospodářské krizi po roce 1929</w:t>
      </w:r>
    </w:p>
    <w:p w:rsidR="00871116" w:rsidRPr="00340E4C" w:rsidRDefault="00623C40" w:rsidP="00623C40">
      <w:pPr>
        <w:jc w:val="both"/>
      </w:pPr>
      <w:r w:rsidRPr="00340E4C">
        <w:t xml:space="preserve">Ministr financí prezidenta Roosevelta byl konzervativním ekonomem předkeynesiánského ražení. Zastával vyrovnaný rozpočet a zlatý standard. Vláda se sice snažila stimulovat ekonomiku velkými výdaji, současně ale k jejich pokrytí zvyšovala daňové příjmy. </w:t>
      </w:r>
      <w:r w:rsidR="00871116" w:rsidRPr="00340E4C">
        <w:t>Vysoké daně ztlumily hospodářský růst.</w:t>
      </w:r>
    </w:p>
    <w:p w:rsidR="00623C40" w:rsidRPr="00340E4C" w:rsidRDefault="00623C40" w:rsidP="00623C40">
      <w:pPr>
        <w:jc w:val="both"/>
      </w:pPr>
      <w:r w:rsidRPr="00340E4C">
        <w:t xml:space="preserve">Po </w:t>
      </w:r>
      <w:r w:rsidR="00871116" w:rsidRPr="00340E4C">
        <w:t>o</w:t>
      </w:r>
      <w:r w:rsidRPr="00340E4C">
        <w:t xml:space="preserve">smi letech boje, v roce 1939, byla nezaměstnanost stále stejně vysoká, ačkoli vládní výdaje vzrostly několikanásobně. </w:t>
      </w:r>
    </w:p>
    <w:p w:rsidR="00783598" w:rsidRDefault="00871116">
      <w:r w:rsidRPr="00340E4C">
        <w:lastRenderedPageBreak/>
        <w:t>Navíc nárůst daňových sazeb způsobil pokles daňových výnosů a prohloubení deficitu. Krize byla definitivně ukončena až deficitním financováním válečných výdajů.</w:t>
      </w:r>
    </w:p>
    <w:p w:rsidR="00636A7A" w:rsidRDefault="00636A7A"/>
    <w:p w:rsidR="00783598" w:rsidRPr="00340E4C" w:rsidRDefault="00783598" w:rsidP="00636A7A">
      <w:pPr>
        <w:pStyle w:val="berschrift1"/>
      </w:pPr>
      <w:bookmarkStart w:id="194" w:name="_Toc240444154"/>
      <w:bookmarkStart w:id="195" w:name="_Toc240775354"/>
      <w:bookmarkStart w:id="196" w:name="_Toc281979956"/>
      <w:bookmarkStart w:id="197" w:name="_Toc281979998"/>
      <w:bookmarkStart w:id="198" w:name="_Toc296073449"/>
      <w:bookmarkStart w:id="199" w:name="_Toc297533157"/>
      <w:bookmarkStart w:id="200" w:name="_Toc303675517"/>
      <w:bookmarkStart w:id="201" w:name="_Toc303963018"/>
      <w:bookmarkStart w:id="202" w:name="_Toc306176407"/>
      <w:bookmarkStart w:id="203" w:name="_Toc315341176"/>
      <w:bookmarkStart w:id="204" w:name="_Toc316459971"/>
      <w:bookmarkStart w:id="205" w:name="_Toc316460446"/>
      <w:bookmarkStart w:id="206" w:name="_Toc318291423"/>
      <w:bookmarkStart w:id="207" w:name="_Toc328466829"/>
      <w:bookmarkStart w:id="208" w:name="_Toc335724886"/>
      <w:bookmarkStart w:id="209" w:name="_Toc411926291"/>
      <w:bookmarkStart w:id="210" w:name="_Toc1629144"/>
      <w:r w:rsidRPr="00340E4C">
        <w:t>Vnější obchodní a měnová politika</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783598" w:rsidRPr="00340E4C" w:rsidRDefault="00783598" w:rsidP="00636A7A">
      <w:pPr>
        <w:pStyle w:val="berschrift2"/>
      </w:pPr>
      <w:r w:rsidRPr="00340E4C">
        <w:t>Pojetí a cíle</w:t>
      </w:r>
    </w:p>
    <w:p w:rsidR="00783598" w:rsidRPr="00340E4C" w:rsidRDefault="00783598">
      <w:pPr>
        <w:pStyle w:val="Textkrper"/>
      </w:pPr>
      <w:r w:rsidRPr="00340E4C">
        <w:t>Vnější obchodní a měnová politika jsou zásahy státu do pohybu statků, služeb, výrobních faktorů a peněz vně jeho území.</w:t>
      </w:r>
    </w:p>
    <w:p w:rsidR="00783598" w:rsidRPr="00340E4C" w:rsidRDefault="00783598">
      <w:pPr>
        <w:pStyle w:val="Textkrper"/>
      </w:pPr>
      <w:r w:rsidRPr="00340E4C">
        <w:t>Cílem těchto zásahů je magický „čtverec“ (cenová stabilita, zaměstnanost, růst a vyrovnaná platební bilance).</w:t>
      </w:r>
    </w:p>
    <w:p w:rsidR="00783598" w:rsidRPr="00340E4C" w:rsidRDefault="00783598">
      <w:pPr>
        <w:pStyle w:val="Textkrper"/>
      </w:pPr>
    </w:p>
    <w:p w:rsidR="00783598" w:rsidRPr="00340E4C" w:rsidRDefault="00783598">
      <w:pPr>
        <w:pStyle w:val="Textkrper"/>
      </w:pPr>
      <w:r w:rsidRPr="00340E4C">
        <w:rPr>
          <w:b/>
          <w:bCs/>
        </w:rPr>
        <w:t>Pojetí</w:t>
      </w:r>
      <w:r w:rsidRPr="00340E4C">
        <w:t xml:space="preserve"> je zase dvojí:</w:t>
      </w:r>
    </w:p>
    <w:p w:rsidR="00783598" w:rsidRPr="00340E4C" w:rsidRDefault="00783598" w:rsidP="001741A7">
      <w:pPr>
        <w:pStyle w:val="Textkrper"/>
        <w:numPr>
          <w:ilvl w:val="0"/>
          <w:numId w:val="1"/>
        </w:numPr>
      </w:pPr>
      <w:r w:rsidRPr="00340E4C">
        <w:t>liberální – nejefektivnější je, když tržní subjekty volně pohybují statky a faktory přes hranice, aby vznikaly a měnily se ceny tak, že bude dlouhodobě dosahována rovnováha,</w:t>
      </w:r>
    </w:p>
    <w:p w:rsidR="00783598" w:rsidRPr="00340E4C" w:rsidRDefault="00783598" w:rsidP="001741A7">
      <w:pPr>
        <w:pStyle w:val="Textkrper"/>
        <w:numPr>
          <w:ilvl w:val="0"/>
          <w:numId w:val="1"/>
        </w:numPr>
      </w:pPr>
      <w:r w:rsidRPr="00340E4C">
        <w:t xml:space="preserve">protekcionistický – domácí ekonomika vyžaduje podporu státu: domácí trh musí být chráněn před zahraniční konkurencí, export domácích výrobků musí být podporován, zanikající odvětví musí být ze sociálních důvodů chráněna před příliš prudkým nárazem vnější reality </w:t>
      </w:r>
    </w:p>
    <w:p w:rsidR="00783598" w:rsidRPr="00340E4C" w:rsidRDefault="00783598">
      <w:pPr>
        <w:pStyle w:val="Textkrper"/>
      </w:pPr>
      <w:r w:rsidRPr="00340E4C">
        <w:rPr>
          <w:b/>
          <w:bCs/>
        </w:rPr>
        <w:t>Cíle</w:t>
      </w:r>
      <w:r w:rsidRPr="00340E4C">
        <w:t>:</w:t>
      </w:r>
    </w:p>
    <w:p w:rsidR="00783598" w:rsidRPr="00340E4C" w:rsidRDefault="00783598" w:rsidP="001741A7">
      <w:pPr>
        <w:pStyle w:val="Textkrper"/>
        <w:numPr>
          <w:ilvl w:val="0"/>
          <w:numId w:val="1"/>
        </w:numPr>
      </w:pPr>
      <w:r w:rsidRPr="00340E4C">
        <w:t>udržení domácích pracovních míst</w:t>
      </w:r>
    </w:p>
    <w:p w:rsidR="00783598" w:rsidRPr="00340E4C" w:rsidRDefault="00783598" w:rsidP="001741A7">
      <w:pPr>
        <w:pStyle w:val="Textkrper"/>
        <w:numPr>
          <w:ilvl w:val="0"/>
          <w:numId w:val="1"/>
        </w:numPr>
      </w:pPr>
      <w:r w:rsidRPr="00340E4C">
        <w:t>zabránit přílišné specializaci a zranitelnosti národního hospodářství</w:t>
      </w:r>
    </w:p>
    <w:p w:rsidR="00783598" w:rsidRPr="00340E4C" w:rsidRDefault="00783598" w:rsidP="001741A7">
      <w:pPr>
        <w:pStyle w:val="Textkrper"/>
        <w:numPr>
          <w:ilvl w:val="0"/>
          <w:numId w:val="1"/>
        </w:numPr>
      </w:pPr>
      <w:r w:rsidRPr="00340E4C">
        <w:t>udržení směnných relací vývozu a dovozu clem</w:t>
      </w:r>
    </w:p>
    <w:p w:rsidR="00783598" w:rsidRPr="00340E4C" w:rsidRDefault="00783598" w:rsidP="001741A7">
      <w:pPr>
        <w:pStyle w:val="Textkrper"/>
        <w:numPr>
          <w:ilvl w:val="0"/>
          <w:numId w:val="1"/>
        </w:numPr>
      </w:pPr>
      <w:r w:rsidRPr="00340E4C">
        <w:t xml:space="preserve">neekonomické cíle: strategické vojenské zájmy, udržení národní tradice, udržení výzkumu, ekologické aspekty, například v zemědělství </w:t>
      </w:r>
    </w:p>
    <w:p w:rsidR="00783598" w:rsidRPr="00340E4C" w:rsidRDefault="00783598" w:rsidP="00636A7A">
      <w:pPr>
        <w:pStyle w:val="berschrift2"/>
      </w:pPr>
      <w:r w:rsidRPr="00340E4C">
        <w:t>Nástroje vnější obchodní měnové politiky</w:t>
      </w:r>
    </w:p>
    <w:p w:rsidR="00783598" w:rsidRPr="00340E4C" w:rsidRDefault="00783598" w:rsidP="00636A7A">
      <w:pPr>
        <w:pStyle w:val="berschrift3"/>
      </w:pPr>
      <w:r w:rsidRPr="00340E4C">
        <w:t>Jednostranné nástroje</w:t>
      </w:r>
    </w:p>
    <w:p w:rsidR="00783598" w:rsidRPr="00340E4C" w:rsidRDefault="00783598">
      <w:pPr>
        <w:jc w:val="both"/>
      </w:pPr>
      <w:r w:rsidRPr="00340E4C">
        <w:t>Cla, licence, kvantitativní restrikce, embarga, devizové restrikce, hygienické překážky</w:t>
      </w:r>
    </w:p>
    <w:p w:rsidR="00783598" w:rsidRPr="00340E4C" w:rsidRDefault="00783598">
      <w:pPr>
        <w:jc w:val="both"/>
      </w:pPr>
      <w:r w:rsidRPr="00340E4C">
        <w:t>Příklad cla: dovozní clo zvýší cenu výrobku na domácím trhu a poptávka po něm se sníží. Vyšší ceny však umožní domácí výrobu a zaměstnanost. Alokace výrobních faktorů je méně efektivní.</w:t>
      </w:r>
    </w:p>
    <w:p w:rsidR="00783598" w:rsidRPr="00340E4C" w:rsidRDefault="00783598">
      <w:pPr>
        <w:jc w:val="both"/>
      </w:pPr>
      <w:r w:rsidRPr="00340E4C">
        <w:t>Proexportní nástroje:</w:t>
      </w:r>
    </w:p>
    <w:p w:rsidR="00783598" w:rsidRPr="00340E4C" w:rsidRDefault="00783598" w:rsidP="001741A7">
      <w:pPr>
        <w:numPr>
          <w:ilvl w:val="0"/>
          <w:numId w:val="1"/>
        </w:numPr>
        <w:jc w:val="both"/>
      </w:pPr>
      <w:r w:rsidRPr="00340E4C">
        <w:t>zvýhodněné úvěry a záruky za úvěry pro export</w:t>
      </w:r>
    </w:p>
    <w:p w:rsidR="00783598" w:rsidRPr="00340E4C" w:rsidRDefault="00783598" w:rsidP="001741A7">
      <w:pPr>
        <w:numPr>
          <w:ilvl w:val="0"/>
          <w:numId w:val="1"/>
        </w:numPr>
        <w:jc w:val="both"/>
      </w:pPr>
      <w:r w:rsidRPr="00340E4C">
        <w:t>daňové úlevy</w:t>
      </w:r>
    </w:p>
    <w:p w:rsidR="00783598" w:rsidRPr="00340E4C" w:rsidRDefault="00783598" w:rsidP="001741A7">
      <w:pPr>
        <w:numPr>
          <w:ilvl w:val="0"/>
          <w:numId w:val="1"/>
        </w:numPr>
        <w:jc w:val="both"/>
      </w:pPr>
      <w:r w:rsidRPr="00340E4C">
        <w:t>poradenství a státní promotion (účast ve vládní delegaci, dotace účasti na veletrhu  apod.)</w:t>
      </w:r>
    </w:p>
    <w:p w:rsidR="00783598" w:rsidRPr="00340E4C" w:rsidRDefault="00783598" w:rsidP="00636A7A">
      <w:pPr>
        <w:pStyle w:val="berschrift3"/>
      </w:pPr>
      <w:r w:rsidRPr="00340E4C">
        <w:t>Smluvní nástroje dvou- nebo vícestranné</w:t>
      </w:r>
    </w:p>
    <w:p w:rsidR="00783598" w:rsidRPr="00340E4C" w:rsidRDefault="00783598">
      <w:r w:rsidRPr="00340E4C">
        <w:t>Obchodní dohody, platební dohody, dohody o zamezení dvojího zdanění</w:t>
      </w:r>
    </w:p>
    <w:p w:rsidR="00783598" w:rsidRPr="00340E4C" w:rsidRDefault="00783598">
      <w:pPr>
        <w:pStyle w:val="Fuzeile"/>
        <w:tabs>
          <w:tab w:val="clear" w:pos="4536"/>
          <w:tab w:val="clear" w:pos="9072"/>
        </w:tabs>
      </w:pPr>
    </w:p>
    <w:p w:rsidR="00783598" w:rsidRPr="00340E4C" w:rsidRDefault="00783598">
      <w:pPr>
        <w:jc w:val="both"/>
      </w:pPr>
      <w:r w:rsidRPr="00340E4C">
        <w:rPr>
          <w:b/>
          <w:bCs/>
        </w:rPr>
        <w:t>Poznámka:</w:t>
      </w:r>
      <w:r w:rsidRPr="00340E4C">
        <w:t xml:space="preserve"> v dobách regulovaných kurzů byl významným nástrojem vnější politiky i státem ovlivňovaný pohyb kurzu.</w:t>
      </w:r>
    </w:p>
    <w:p w:rsidR="00783598" w:rsidRPr="00340E4C" w:rsidRDefault="00783598"/>
    <w:p w:rsidR="00783598" w:rsidRPr="00340E4C" w:rsidRDefault="00783598">
      <w:pPr>
        <w:pStyle w:val="berschrift3"/>
      </w:pPr>
      <w:r w:rsidRPr="00340E4C">
        <w:t>Kooperace a integrace</w:t>
      </w:r>
    </w:p>
    <w:p w:rsidR="00783598" w:rsidRPr="00340E4C" w:rsidRDefault="00783598">
      <w:pPr>
        <w:pStyle w:val="Textkrper"/>
      </w:pPr>
      <w:r w:rsidRPr="00340E4C">
        <w:t>Jednotlivé nástroje musejí být koordinovány nejen uvnitř jednoho státu, ale zejména menší státy se dnes již neobejdou bez koordinace s ostatními státy.</w:t>
      </w:r>
    </w:p>
    <w:p w:rsidR="00783598" w:rsidRPr="00340E4C" w:rsidRDefault="00783598">
      <w:pPr>
        <w:jc w:val="both"/>
      </w:pPr>
      <w:r w:rsidRPr="00340E4C">
        <w:lastRenderedPageBreak/>
        <w:t>Spolupráce se může týkat jen některých toků přes hranice.</w:t>
      </w:r>
    </w:p>
    <w:p w:rsidR="00783598" w:rsidRPr="00340E4C" w:rsidRDefault="00783598">
      <w:pPr>
        <w:jc w:val="both"/>
      </w:pPr>
    </w:p>
    <w:p w:rsidR="00783598" w:rsidRPr="00340E4C" w:rsidRDefault="00783598">
      <w:pPr>
        <w:jc w:val="both"/>
      </w:pPr>
      <w:r w:rsidRPr="00340E4C">
        <w:t>Integrace je intenzívnější formou spolupráce. V</w:t>
      </w:r>
      <w:r w:rsidR="00557111">
        <w:t xml:space="preserve"> </w:t>
      </w:r>
      <w:r w:rsidRPr="00340E4C">
        <w:t>podstatě se menší celky slučují ve větší komplexy.</w:t>
      </w:r>
    </w:p>
    <w:p w:rsidR="00783598" w:rsidRPr="00340E4C" w:rsidRDefault="00783598">
      <w:pPr>
        <w:jc w:val="both"/>
      </w:pPr>
      <w:r w:rsidRPr="00340E4C">
        <w:t>Má několik stupňů intenzity. Ukažme si je na Evropské unii:</w:t>
      </w:r>
    </w:p>
    <w:p w:rsidR="00783598" w:rsidRPr="00340E4C" w:rsidRDefault="00783598" w:rsidP="001741A7">
      <w:pPr>
        <w:numPr>
          <w:ilvl w:val="0"/>
          <w:numId w:val="24"/>
        </w:numPr>
        <w:jc w:val="both"/>
      </w:pPr>
      <w:r w:rsidRPr="00340E4C">
        <w:t>uvolňuje se obchod nejprve jen s některým zbožím (Evropské společenství uhlí a oceli)</w:t>
      </w:r>
    </w:p>
    <w:p w:rsidR="00783598" w:rsidRPr="00340E4C" w:rsidRDefault="00783598" w:rsidP="001741A7">
      <w:pPr>
        <w:numPr>
          <w:ilvl w:val="0"/>
          <w:numId w:val="24"/>
        </w:numPr>
        <w:jc w:val="both"/>
      </w:pPr>
      <w:r w:rsidRPr="00340E4C">
        <w:t>uvolňuje se pohyb výrobních faktorů a současně vzniká koordinační jednotka, která má pomoci nejslabším regionům překonat náraz silné konkurence (Evropské hospodářské společenství) – kapitál a pracovní síla se pohybují volně.</w:t>
      </w:r>
    </w:p>
    <w:p w:rsidR="00783598" w:rsidRPr="00340E4C" w:rsidRDefault="00783598" w:rsidP="001741A7">
      <w:pPr>
        <w:numPr>
          <w:ilvl w:val="0"/>
          <w:numId w:val="24"/>
        </w:numPr>
        <w:jc w:val="both"/>
      </w:pPr>
      <w:r w:rsidRPr="00340E4C">
        <w:t>sjednocuje se měnová, fiskální, sociální a anticyklická politika.</w:t>
      </w:r>
    </w:p>
    <w:p w:rsidR="00783598" w:rsidRPr="00340E4C" w:rsidRDefault="00783598" w:rsidP="001741A7">
      <w:pPr>
        <w:numPr>
          <w:ilvl w:val="0"/>
          <w:numId w:val="24"/>
        </w:numPr>
        <w:jc w:val="both"/>
      </w:pPr>
      <w:r w:rsidRPr="00340E4C">
        <w:t>vzniká společná měna (Eurozóna)</w:t>
      </w:r>
    </w:p>
    <w:p w:rsidR="00783598" w:rsidRPr="00340E4C" w:rsidRDefault="00783598" w:rsidP="001741A7">
      <w:pPr>
        <w:numPr>
          <w:ilvl w:val="0"/>
          <w:numId w:val="24"/>
        </w:numPr>
        <w:jc w:val="both"/>
      </w:pPr>
      <w:r w:rsidRPr="00340E4C">
        <w:t>logickým dalším krokem je sjednocení do jednoho státu s jednou centrální legislativou a exekutivou, jestli se dostaneme v EU do této fáze, nevíme.</w:t>
      </w:r>
    </w:p>
    <w:p w:rsidR="00783598" w:rsidRPr="00340E4C" w:rsidRDefault="00783598">
      <w:pPr>
        <w:jc w:val="both"/>
      </w:pPr>
    </w:p>
    <w:p w:rsidR="00955FFE" w:rsidRPr="00340E4C" w:rsidRDefault="00955FFE">
      <w:pPr>
        <w:jc w:val="both"/>
      </w:pPr>
      <w:r w:rsidRPr="00340E4C">
        <w:t>Vedle Evropské unie existují i jiná ekonomická společenství států, například Asijsko</w:t>
      </w:r>
      <w:r w:rsidR="00903C8C">
        <w:t>-</w:t>
      </w:r>
      <w:r w:rsidRPr="00340E4C">
        <w:t xml:space="preserve"> pacifické ekonomické společenství APES.</w:t>
      </w:r>
    </w:p>
    <w:p w:rsidR="00783598" w:rsidRPr="00340E4C" w:rsidRDefault="00955FFE">
      <w:pPr>
        <w:jc w:val="both"/>
        <w:sectPr w:rsidR="00783598" w:rsidRPr="00340E4C">
          <w:pgSz w:w="11906" w:h="16838"/>
          <w:pgMar w:top="1417" w:right="1417" w:bottom="1417" w:left="1417" w:header="708" w:footer="708" w:gutter="0"/>
          <w:cols w:space="708"/>
          <w:docGrid w:linePitch="360"/>
        </w:sectPr>
      </w:pPr>
      <w:r w:rsidRPr="00340E4C">
        <w:t>.</w:t>
      </w:r>
    </w:p>
    <w:p w:rsidR="00783598" w:rsidRPr="00340E4C" w:rsidRDefault="00783598"/>
    <w:p w:rsidR="00783598" w:rsidRPr="00340E4C" w:rsidRDefault="00783598" w:rsidP="00636A7A">
      <w:pPr>
        <w:pStyle w:val="berschrift1"/>
      </w:pPr>
      <w:bookmarkStart w:id="211" w:name="_Toc240444155"/>
      <w:bookmarkStart w:id="212" w:name="_Toc240775355"/>
      <w:bookmarkStart w:id="213" w:name="_Toc281979957"/>
      <w:bookmarkStart w:id="214" w:name="_Toc281979999"/>
      <w:bookmarkStart w:id="215" w:name="_Toc296073450"/>
      <w:bookmarkStart w:id="216" w:name="_Toc297533158"/>
      <w:bookmarkStart w:id="217" w:name="_Toc303675518"/>
      <w:bookmarkStart w:id="218" w:name="_Toc303963019"/>
      <w:bookmarkStart w:id="219" w:name="_Toc306176408"/>
      <w:bookmarkStart w:id="220" w:name="_Toc315341177"/>
      <w:bookmarkStart w:id="221" w:name="_Toc316459972"/>
      <w:bookmarkStart w:id="222" w:name="_Toc316460447"/>
      <w:bookmarkStart w:id="223" w:name="_Toc318291424"/>
      <w:bookmarkStart w:id="224" w:name="_Toc328466830"/>
      <w:bookmarkStart w:id="225" w:name="_Toc335724887"/>
      <w:bookmarkStart w:id="226" w:name="_Toc411926292"/>
      <w:bookmarkStart w:id="227" w:name="_Toc1629145"/>
      <w:r w:rsidRPr="00340E4C">
        <w:t>Hospodářská politika vlády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783598" w:rsidRPr="00340E4C" w:rsidRDefault="00783598"/>
    <w:p w:rsidR="00783598" w:rsidRPr="00340E4C" w:rsidRDefault="00783598">
      <w:pPr>
        <w:pStyle w:val="Textkrper"/>
      </w:pPr>
      <w:r w:rsidRPr="00340E4C">
        <w:t>Doposud jsme se věnovali odděleně monetární, fiskální a vnější politice. V žádné zemi však nefungují odděleně. Doplněné o další nástroje zejména mikroekonomické politiky tvoří komplex hospodářské politiky. Jednotlivé politiky musejí být zkoordinovány, jinak hrozí oslabený účinek nebo dokonce protichůdné působení.</w:t>
      </w:r>
    </w:p>
    <w:p w:rsidR="00783598" w:rsidRPr="00340E4C" w:rsidRDefault="00783598">
      <w:pPr>
        <w:jc w:val="both"/>
      </w:pPr>
      <w:r w:rsidRPr="00340E4C">
        <w:t xml:space="preserve">Aby nevznikala politika jenom v jednom centru se zaměřením jenom na některé cíle, pokládá se za nezbytné, aby monetární politika byla prováděná centrální bankou a ostatní politiky jinými institucemi, zpravidla centrální vládou. </w:t>
      </w:r>
    </w:p>
    <w:p w:rsidR="00783598" w:rsidRPr="00340E4C" w:rsidRDefault="00783598">
      <w:pPr>
        <w:jc w:val="both"/>
      </w:pPr>
      <w:r w:rsidRPr="00340E4C">
        <w:t>Ze zákona a svým faktickým fungováním nezávislé instituce nemají důvod spolu nespolupracovat.</w:t>
      </w:r>
    </w:p>
    <w:p w:rsidR="00783598" w:rsidRPr="00340E4C" w:rsidRDefault="00783598">
      <w:pPr>
        <w:jc w:val="both"/>
      </w:pPr>
      <w:r w:rsidRPr="00340E4C">
        <w:t xml:space="preserve">Příklady: </w:t>
      </w:r>
    </w:p>
    <w:p w:rsidR="00783598" w:rsidRPr="00340E4C" w:rsidRDefault="00783598" w:rsidP="001741A7">
      <w:pPr>
        <w:numPr>
          <w:ilvl w:val="0"/>
          <w:numId w:val="1"/>
        </w:numPr>
        <w:jc w:val="both"/>
      </w:pPr>
      <w:r w:rsidRPr="00340E4C">
        <w:t>při fiskální expanzi může monetární expanzívní politika zvýšit objem peněz tak, že zcela potlačí vytěsňovací efekt,</w:t>
      </w:r>
    </w:p>
    <w:p w:rsidR="00783598" w:rsidRPr="00340E4C" w:rsidRDefault="00783598" w:rsidP="001741A7">
      <w:pPr>
        <w:numPr>
          <w:ilvl w:val="0"/>
          <w:numId w:val="1"/>
        </w:numPr>
        <w:jc w:val="both"/>
      </w:pPr>
      <w:r w:rsidRPr="00340E4C">
        <w:t>expanzívní fiskální politika přinese větší příjmy domácnostem (TR) a souběžná monetární restrikce oslabí kapitálové možnosti firem a tím se zvýší více podíl spotřebních výdajů domácností (C).</w:t>
      </w:r>
    </w:p>
    <w:p w:rsidR="00783598" w:rsidRPr="00340E4C" w:rsidRDefault="00783598" w:rsidP="00636A7A">
      <w:pPr>
        <w:pStyle w:val="berschrift2"/>
      </w:pPr>
      <w:r w:rsidRPr="00340E4C">
        <w:t>Cíle a nástroje</w:t>
      </w:r>
    </w:p>
    <w:p w:rsidR="00783598" w:rsidRPr="00340E4C" w:rsidRDefault="00783598">
      <w:pPr>
        <w:pStyle w:val="berschrift8"/>
      </w:pPr>
      <w:r w:rsidRPr="00340E4C">
        <w:t xml:space="preserve">Podstata </w:t>
      </w:r>
    </w:p>
    <w:p w:rsidR="00783598" w:rsidRPr="00340E4C" w:rsidRDefault="00783598" w:rsidP="001741A7">
      <w:pPr>
        <w:pStyle w:val="Textkrper"/>
        <w:numPr>
          <w:ilvl w:val="0"/>
          <w:numId w:val="1"/>
        </w:numPr>
      </w:pPr>
      <w:r w:rsidRPr="00340E4C">
        <w:t>trh dokonalé konkurence není schopen udržovat sám sebe a degeneruje vždy do nedokonalosti,</w:t>
      </w:r>
    </w:p>
    <w:p w:rsidR="00783598" w:rsidRPr="00340E4C" w:rsidRDefault="00783598" w:rsidP="001741A7">
      <w:pPr>
        <w:pStyle w:val="Textkrper"/>
        <w:numPr>
          <w:ilvl w:val="0"/>
          <w:numId w:val="1"/>
        </w:numPr>
      </w:pPr>
      <w:r w:rsidRPr="00340E4C">
        <w:t>stát (veřejné subjekty) musejí neustále vytvářet a dodržovat pravidla, směřující proti poruchám tržního systému</w:t>
      </w:r>
    </w:p>
    <w:p w:rsidR="00783598" w:rsidRPr="00340E4C" w:rsidRDefault="00783598"/>
    <w:p w:rsidR="00783598" w:rsidRPr="00340E4C" w:rsidRDefault="00783598">
      <w:pPr>
        <w:rPr>
          <w:u w:val="single"/>
        </w:rPr>
      </w:pPr>
      <w:r w:rsidRPr="00340E4C">
        <w:rPr>
          <w:u w:val="single"/>
        </w:rPr>
        <w:t>Cíle hospodářské politiky vlády (veřejného sektoru)</w:t>
      </w:r>
    </w:p>
    <w:p w:rsidR="00783598" w:rsidRPr="00340E4C" w:rsidRDefault="00783598"/>
    <w:p w:rsidR="00783598" w:rsidRPr="00340E4C" w:rsidRDefault="00783598">
      <w:r w:rsidRPr="00340E4C">
        <w:t xml:space="preserve">Platí obecné cíle „Magického čtverce“: </w:t>
      </w:r>
    </w:p>
    <w:p w:rsidR="00783598" w:rsidRPr="00340E4C" w:rsidRDefault="00783598" w:rsidP="001741A7">
      <w:pPr>
        <w:numPr>
          <w:ilvl w:val="0"/>
          <w:numId w:val="1"/>
        </w:numPr>
      </w:pPr>
      <w:r w:rsidRPr="00340E4C">
        <w:t>G - hospodářský růst – měřeno růstem GDP</w:t>
      </w:r>
    </w:p>
    <w:p w:rsidR="00783598" w:rsidRPr="00340E4C" w:rsidRDefault="00783598" w:rsidP="001741A7">
      <w:pPr>
        <w:numPr>
          <w:ilvl w:val="0"/>
          <w:numId w:val="1"/>
        </w:numPr>
      </w:pPr>
      <w:r w:rsidRPr="00340E4C">
        <w:t>P - cenová stabilita – měřeno mírou inflace</w:t>
      </w:r>
    </w:p>
    <w:p w:rsidR="00783598" w:rsidRPr="00340E4C" w:rsidRDefault="00783598" w:rsidP="001741A7">
      <w:pPr>
        <w:numPr>
          <w:ilvl w:val="0"/>
          <w:numId w:val="1"/>
        </w:numPr>
      </w:pPr>
      <w:r w:rsidRPr="00340E4C">
        <w:t>U - zaměstnanost – měřeno mírou nezaměstnanosti</w:t>
      </w:r>
    </w:p>
    <w:p w:rsidR="00783598" w:rsidRDefault="00783598" w:rsidP="001741A7">
      <w:pPr>
        <w:numPr>
          <w:ilvl w:val="0"/>
          <w:numId w:val="1"/>
        </w:numPr>
      </w:pPr>
      <w:r w:rsidRPr="00340E4C">
        <w:t>B - vyrovnaná platební bilance – měřeno saldem běžného účtu ku GDP</w:t>
      </w:r>
    </w:p>
    <w:p w:rsidR="005F1D5F" w:rsidRDefault="005F1D5F" w:rsidP="005F1D5F"/>
    <w:p w:rsidR="005F1D5F" w:rsidRDefault="005F1D5F" w:rsidP="005F1D5F">
      <w:r w:rsidRPr="00340E4C">
        <w:rPr>
          <w:noProof/>
          <w:lang w:val="de-DE" w:eastAsia="de-DE"/>
        </w:rPr>
        <w:drawing>
          <wp:inline distT="0" distB="0" distL="0" distR="0" wp14:anchorId="5D09F1F7" wp14:editId="61946D91">
            <wp:extent cx="2419350" cy="2019300"/>
            <wp:effectExtent l="0" t="0" r="0" b="0"/>
            <wp:docPr id="168" name="obrázek 168" descr="Magický čtve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Magický čtverec"/>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419350" cy="2019300"/>
                    </a:xfrm>
                    <a:prstGeom prst="rect">
                      <a:avLst/>
                    </a:prstGeom>
                    <a:noFill/>
                    <a:ln>
                      <a:noFill/>
                    </a:ln>
                  </pic:spPr>
                </pic:pic>
              </a:graphicData>
            </a:graphic>
          </wp:inline>
        </w:drawing>
      </w:r>
    </w:p>
    <w:p w:rsidR="005F1D5F" w:rsidRPr="005F1D5F" w:rsidRDefault="005F1D5F" w:rsidP="005F1D5F">
      <w:r w:rsidRPr="005F1D5F">
        <w:t>Někdy se ke čtyřem „rohům“ magického čtverce přidávají ještě další cíle:</w:t>
      </w:r>
    </w:p>
    <w:p w:rsidR="005F1D5F" w:rsidRPr="005F1D5F" w:rsidRDefault="005F1D5F" w:rsidP="005F1D5F">
      <w:pPr>
        <w:pStyle w:val="Listenabsatz"/>
        <w:numPr>
          <w:ilvl w:val="0"/>
          <w:numId w:val="3"/>
        </w:numPr>
        <w:rPr>
          <w:rFonts w:ascii="Times New Roman" w:hAnsi="Times New Roman"/>
          <w:sz w:val="24"/>
          <w:szCs w:val="24"/>
          <w:lang w:val="cs-CZ"/>
        </w:rPr>
      </w:pPr>
      <w:r w:rsidRPr="005F1D5F">
        <w:rPr>
          <w:rFonts w:ascii="Times New Roman" w:hAnsi="Times New Roman"/>
          <w:sz w:val="24"/>
          <w:szCs w:val="24"/>
          <w:lang w:val="cs-CZ"/>
        </w:rPr>
        <w:t>Spravedlivé rozdělení důchodů</w:t>
      </w:r>
    </w:p>
    <w:p w:rsidR="005F1D5F" w:rsidRPr="005F1D5F" w:rsidRDefault="005F1D5F" w:rsidP="005F1D5F">
      <w:pPr>
        <w:pStyle w:val="Listenabsatz"/>
        <w:numPr>
          <w:ilvl w:val="0"/>
          <w:numId w:val="3"/>
        </w:numPr>
        <w:rPr>
          <w:rFonts w:ascii="Times New Roman" w:hAnsi="Times New Roman"/>
          <w:sz w:val="24"/>
          <w:szCs w:val="24"/>
          <w:lang w:val="cs-CZ"/>
        </w:rPr>
      </w:pPr>
      <w:r w:rsidRPr="005F1D5F">
        <w:rPr>
          <w:rFonts w:ascii="Times New Roman" w:hAnsi="Times New Roman"/>
          <w:sz w:val="24"/>
          <w:szCs w:val="24"/>
          <w:lang w:val="cs-CZ"/>
        </w:rPr>
        <w:t>Udržitelné životní prostředí</w:t>
      </w:r>
    </w:p>
    <w:p w:rsidR="005F1D5F" w:rsidRPr="00340E4C" w:rsidRDefault="005F1D5F" w:rsidP="005F1D5F"/>
    <w:p w:rsidR="00783598" w:rsidRPr="00340E4C" w:rsidRDefault="00783598">
      <w:pPr>
        <w:pStyle w:val="Textkrper"/>
      </w:pPr>
      <w:r w:rsidRPr="00340E4C">
        <w:t>Jednotlivé cíle za určitých okolností „působí proti sobě“. Dosažení jednoho cíle zhorší cíle jiné.</w:t>
      </w:r>
    </w:p>
    <w:p w:rsidR="00783598" w:rsidRPr="00340E4C" w:rsidRDefault="00783598">
      <w:pPr>
        <w:rPr>
          <w:color w:val="FF0000"/>
        </w:rPr>
      </w:pPr>
    </w:p>
    <w:p w:rsidR="00783598" w:rsidRPr="00340E4C" w:rsidRDefault="00783598">
      <w:pPr>
        <w:jc w:val="both"/>
        <w:rPr>
          <w:color w:val="000000"/>
        </w:rPr>
      </w:pPr>
      <w:r w:rsidRPr="00340E4C">
        <w:rPr>
          <w:color w:val="000000"/>
        </w:rPr>
        <w:t xml:space="preserve">Dosažení i vůbec jen stanovení cílů hospodářské politiky je dnes méně striktní než dříve a musí brát v úvahu: </w:t>
      </w:r>
    </w:p>
    <w:p w:rsidR="00783598" w:rsidRPr="00340E4C" w:rsidRDefault="00783598" w:rsidP="001741A7">
      <w:pPr>
        <w:numPr>
          <w:ilvl w:val="0"/>
          <w:numId w:val="1"/>
        </w:numPr>
        <w:rPr>
          <w:color w:val="000000"/>
        </w:rPr>
      </w:pPr>
      <w:r w:rsidRPr="00340E4C">
        <w:rPr>
          <w:color w:val="000000"/>
        </w:rPr>
        <w:t>splývání jednotlivých států do vyšších celků (EU)</w:t>
      </w:r>
    </w:p>
    <w:p w:rsidR="00783598" w:rsidRPr="00340E4C" w:rsidRDefault="00783598" w:rsidP="001741A7">
      <w:pPr>
        <w:numPr>
          <w:ilvl w:val="0"/>
          <w:numId w:val="1"/>
        </w:numPr>
        <w:rPr>
          <w:color w:val="000000"/>
        </w:rPr>
      </w:pPr>
      <w:r w:rsidRPr="00340E4C">
        <w:rPr>
          <w:color w:val="000000"/>
        </w:rPr>
        <w:t>globalizaci trhů</w:t>
      </w:r>
    </w:p>
    <w:p w:rsidR="00783598" w:rsidRPr="00340E4C" w:rsidRDefault="00783598">
      <w:pPr>
        <w:rPr>
          <w:color w:val="FF0000"/>
        </w:rPr>
      </w:pPr>
    </w:p>
    <w:p w:rsidR="00783598" w:rsidRPr="00340E4C" w:rsidRDefault="00783598">
      <w:pPr>
        <w:pStyle w:val="berschrift9"/>
      </w:pPr>
      <w:r w:rsidRPr="00340E4C">
        <w:t>Pravidla hospodářské politiky</w:t>
      </w:r>
    </w:p>
    <w:p w:rsidR="00783598" w:rsidRPr="00340E4C" w:rsidRDefault="00783598">
      <w:pPr>
        <w:rPr>
          <w:color w:val="000000"/>
          <w:u w:val="single"/>
        </w:rPr>
      </w:pPr>
    </w:p>
    <w:p w:rsidR="00783598" w:rsidRPr="009A594E" w:rsidRDefault="00783598">
      <w:pPr>
        <w:rPr>
          <w:b/>
          <w:color w:val="000000"/>
        </w:rPr>
      </w:pPr>
      <w:r w:rsidRPr="009A594E">
        <w:rPr>
          <w:b/>
          <w:color w:val="000000"/>
        </w:rPr>
        <w:t>Euckenovo</w:t>
      </w:r>
      <w:r w:rsidR="00936185" w:rsidRPr="009A594E">
        <w:rPr>
          <w:rStyle w:val="Funotenzeichen"/>
          <w:b/>
          <w:color w:val="000000"/>
        </w:rPr>
        <w:footnoteReference w:id="23"/>
      </w:r>
      <w:r w:rsidRPr="009A594E">
        <w:rPr>
          <w:b/>
          <w:color w:val="000000"/>
        </w:rPr>
        <w:t xml:space="preserve"> pravidlo: </w:t>
      </w:r>
    </w:p>
    <w:p w:rsidR="00783598" w:rsidRPr="00340E4C" w:rsidRDefault="00783598" w:rsidP="001741A7">
      <w:pPr>
        <w:numPr>
          <w:ilvl w:val="0"/>
          <w:numId w:val="1"/>
        </w:numPr>
        <w:jc w:val="both"/>
        <w:rPr>
          <w:color w:val="000000"/>
        </w:rPr>
      </w:pPr>
      <w:r w:rsidRPr="00340E4C">
        <w:rPr>
          <w:color w:val="000000"/>
        </w:rPr>
        <w:t>nástroje hospodářské politiky musejí být konformní s ekonomickým systémem</w:t>
      </w:r>
    </w:p>
    <w:p w:rsidR="00783598" w:rsidRPr="00340E4C" w:rsidRDefault="00783598">
      <w:pPr>
        <w:rPr>
          <w:color w:val="000000"/>
        </w:rPr>
      </w:pPr>
    </w:p>
    <w:p w:rsidR="00783598" w:rsidRPr="009A594E" w:rsidRDefault="00783598">
      <w:pPr>
        <w:jc w:val="both"/>
        <w:rPr>
          <w:b/>
          <w:color w:val="000000"/>
        </w:rPr>
      </w:pPr>
      <w:r w:rsidRPr="009A594E">
        <w:rPr>
          <w:b/>
          <w:color w:val="000000"/>
        </w:rPr>
        <w:t>Mundellovo</w:t>
      </w:r>
      <w:r w:rsidR="00936185" w:rsidRPr="009A594E">
        <w:rPr>
          <w:rStyle w:val="Funotenzeichen"/>
          <w:b/>
          <w:color w:val="000000"/>
        </w:rPr>
        <w:footnoteReference w:id="24"/>
      </w:r>
      <w:r w:rsidRPr="009A594E">
        <w:rPr>
          <w:b/>
          <w:color w:val="000000"/>
        </w:rPr>
        <w:t xml:space="preserve"> pravidlo:</w:t>
      </w:r>
    </w:p>
    <w:p w:rsidR="00783598" w:rsidRPr="00340E4C" w:rsidRDefault="00783598" w:rsidP="001741A7">
      <w:pPr>
        <w:numPr>
          <w:ilvl w:val="0"/>
          <w:numId w:val="1"/>
        </w:numPr>
        <w:jc w:val="both"/>
        <w:rPr>
          <w:color w:val="000000"/>
        </w:rPr>
      </w:pPr>
      <w:r w:rsidRPr="00340E4C">
        <w:rPr>
          <w:color w:val="000000"/>
        </w:rPr>
        <w:t>každému cíli je přiřazen takový nástroj, který má na něj největší vliv</w:t>
      </w:r>
    </w:p>
    <w:p w:rsidR="00783598" w:rsidRPr="00340E4C" w:rsidRDefault="00783598">
      <w:pPr>
        <w:jc w:val="both"/>
        <w:rPr>
          <w:color w:val="000000"/>
        </w:rPr>
      </w:pPr>
    </w:p>
    <w:p w:rsidR="00783598" w:rsidRPr="009A594E" w:rsidRDefault="00783598">
      <w:pPr>
        <w:jc w:val="both"/>
        <w:rPr>
          <w:b/>
          <w:color w:val="000000"/>
        </w:rPr>
      </w:pPr>
      <w:r w:rsidRPr="009A594E">
        <w:rPr>
          <w:b/>
          <w:color w:val="000000"/>
        </w:rPr>
        <w:t>Meadeho</w:t>
      </w:r>
      <w:r w:rsidR="00936185" w:rsidRPr="009A594E">
        <w:rPr>
          <w:rStyle w:val="Funotenzeichen"/>
          <w:b/>
          <w:color w:val="000000"/>
        </w:rPr>
        <w:footnoteReference w:id="25"/>
      </w:r>
      <w:r w:rsidRPr="009A594E">
        <w:rPr>
          <w:b/>
          <w:color w:val="000000"/>
        </w:rPr>
        <w:t xml:space="preserve"> pravidlo:</w:t>
      </w:r>
    </w:p>
    <w:p w:rsidR="00783598" w:rsidRPr="009A594E" w:rsidRDefault="00783598" w:rsidP="00903C8C">
      <w:pPr>
        <w:pStyle w:val="Listenabsatz"/>
        <w:numPr>
          <w:ilvl w:val="0"/>
          <w:numId w:val="51"/>
        </w:numPr>
        <w:jc w:val="both"/>
        <w:rPr>
          <w:rFonts w:ascii="Times New Roman" w:hAnsi="Times New Roman"/>
          <w:color w:val="000000"/>
          <w:sz w:val="24"/>
          <w:szCs w:val="24"/>
          <w:lang w:val="cs-CZ"/>
        </w:rPr>
      </w:pPr>
      <w:r w:rsidRPr="009A594E">
        <w:rPr>
          <w:rFonts w:ascii="Times New Roman" w:hAnsi="Times New Roman"/>
          <w:color w:val="000000"/>
          <w:sz w:val="24"/>
          <w:szCs w:val="24"/>
          <w:lang w:val="cs-CZ"/>
        </w:rPr>
        <w:t>za každý makroekonomický cíl má být odpovědná jediná státní instituce a ta má na tento nástroj výlučný vliv.</w:t>
      </w:r>
    </w:p>
    <w:p w:rsidR="00903C8C" w:rsidRDefault="00903C8C">
      <w:pPr>
        <w:jc w:val="both"/>
        <w:rPr>
          <w:color w:val="000000"/>
        </w:rPr>
      </w:pPr>
      <w:r w:rsidRPr="009A594E">
        <w:rPr>
          <w:b/>
          <w:color w:val="000000"/>
        </w:rPr>
        <w:t>Taylorovo</w:t>
      </w:r>
      <w:r w:rsidRPr="009A594E">
        <w:rPr>
          <w:rStyle w:val="Funotenzeichen"/>
          <w:b/>
          <w:color w:val="000000"/>
        </w:rPr>
        <w:footnoteReference w:id="26"/>
      </w:r>
      <w:r w:rsidRPr="009A594E">
        <w:rPr>
          <w:b/>
          <w:color w:val="000000"/>
        </w:rPr>
        <w:t xml:space="preserve"> pravidlo</w:t>
      </w:r>
      <w:r>
        <w:rPr>
          <w:color w:val="000000"/>
        </w:rPr>
        <w:t>:</w:t>
      </w:r>
    </w:p>
    <w:p w:rsidR="00903C8C" w:rsidRDefault="00735206" w:rsidP="009A594E">
      <w:pPr>
        <w:pStyle w:val="Listenabsatz"/>
        <w:numPr>
          <w:ilvl w:val="0"/>
          <w:numId w:val="3"/>
        </w:numPr>
        <w:tabs>
          <w:tab w:val="clear" w:pos="1425"/>
          <w:tab w:val="num" w:pos="709"/>
        </w:tabs>
        <w:ind w:left="709" w:hanging="283"/>
        <w:jc w:val="both"/>
        <w:rPr>
          <w:rFonts w:ascii="Times New Roman" w:hAnsi="Times New Roman"/>
          <w:color w:val="000000"/>
          <w:sz w:val="24"/>
          <w:szCs w:val="24"/>
          <w:lang w:val="cs-CZ"/>
        </w:rPr>
      </w:pPr>
      <w:r w:rsidRPr="00735206">
        <w:rPr>
          <w:rFonts w:ascii="Times New Roman" w:hAnsi="Times New Roman"/>
          <w:color w:val="000000"/>
          <w:sz w:val="24"/>
          <w:szCs w:val="24"/>
          <w:lang w:val="cs-CZ"/>
        </w:rPr>
        <w:t>Cílem bylo stanovit formuli pro centrální banku pro určení úrokové míry</w:t>
      </w:r>
      <w:r w:rsidR="009A594E">
        <w:rPr>
          <w:rFonts w:ascii="Times New Roman" w:hAnsi="Times New Roman"/>
          <w:color w:val="000000"/>
          <w:sz w:val="24"/>
          <w:szCs w:val="24"/>
          <w:lang w:val="cs-CZ"/>
        </w:rPr>
        <w:t>. Taylor tak dále rozvedl model IS-LM. Formule zní:</w:t>
      </w:r>
    </w:p>
    <w:p w:rsidR="009A594E" w:rsidRPr="009A594E" w:rsidRDefault="006647E4" w:rsidP="009A594E">
      <w:pPr>
        <w:tabs>
          <w:tab w:val="num" w:pos="709"/>
        </w:tabs>
        <w:jc w:val="both"/>
        <w:rPr>
          <w:color w:val="000000"/>
        </w:rPr>
      </w:pPr>
      <m:oMathPara>
        <m:oMath>
          <m:sSup>
            <m:sSupPr>
              <m:ctrlPr>
                <w:rPr>
                  <w:rFonts w:ascii="Cambria Math" w:hAnsi="Cambria Math"/>
                  <w:i/>
                  <w:color w:val="000000"/>
                </w:rPr>
              </m:ctrlPr>
            </m:sSupPr>
            <m:e>
              <m:r>
                <w:rPr>
                  <w:rFonts w:ascii="Cambria Math" w:hAnsi="Cambria Math"/>
                  <w:color w:val="000000"/>
                </w:rPr>
                <m:t>i</m:t>
              </m:r>
            </m:e>
            <m:sup>
              <m:r>
                <w:rPr>
                  <w:rFonts w:ascii="Cambria Math" w:hAnsi="Cambria Math"/>
                  <w:color w:val="000000"/>
                </w:rPr>
                <m:t>Tay</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π</m:t>
              </m:r>
            </m:e>
            <m:sup>
              <m:r>
                <w:rPr>
                  <w:rFonts w:ascii="Cambria Math" w:hAnsi="Cambria Math"/>
                  <w:color w:val="000000"/>
                </w:rPr>
                <m:t>e</m:t>
              </m:r>
            </m:sup>
          </m:sSup>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m:t>
              </m:r>
            </m:sup>
          </m:sSup>
          <m:r>
            <w:rPr>
              <w:rFonts w:ascii="Cambria Math" w:hAnsi="Cambria Math"/>
              <w:color w:val="000000"/>
            </w:rPr>
            <m:t>+α</m:t>
          </m:r>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π</m:t>
                  </m:r>
                </m:e>
                <m:sup>
                  <m:r>
                    <w:rPr>
                      <w:rFonts w:ascii="Cambria Math" w:hAnsi="Cambria Math"/>
                      <w:color w:val="000000"/>
                    </w:rPr>
                    <m:t>E</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π</m:t>
                  </m:r>
                </m:e>
                <m:sup>
                  <m:r>
                    <w:rPr>
                      <w:rFonts w:ascii="Cambria Math" w:hAnsi="Cambria Math"/>
                      <w:color w:val="000000"/>
                    </w:rPr>
                    <m:t>T</m:t>
                  </m:r>
                </m:sup>
              </m:sSup>
            </m:e>
          </m:d>
          <m:r>
            <w:rPr>
              <w:rFonts w:ascii="Cambria Math" w:hAnsi="Cambria Math"/>
              <w:color w:val="000000"/>
            </w:rPr>
            <m:t>+β×ygap</m:t>
          </m:r>
        </m:oMath>
      </m:oMathPara>
    </w:p>
    <w:p w:rsidR="00903C8C" w:rsidRDefault="009A594E" w:rsidP="009A594E">
      <w:pPr>
        <w:jc w:val="both"/>
        <w:rPr>
          <w:color w:val="000000"/>
        </w:rPr>
      </w:pPr>
      <w:r>
        <w:rPr>
          <w:color w:val="000000"/>
        </w:rPr>
        <w:t>Kde:</w:t>
      </w:r>
    </w:p>
    <w:p w:rsidR="009A594E" w:rsidRPr="009A594E" w:rsidRDefault="006647E4" w:rsidP="009A594E">
      <w:pPr>
        <w:jc w:val="both"/>
        <w:rPr>
          <w:color w:val="000000"/>
        </w:rPr>
      </w:pPr>
      <m:oMathPara>
        <m:oMath>
          <m:sSup>
            <m:sSupPr>
              <m:ctrlPr>
                <w:rPr>
                  <w:rFonts w:ascii="Cambria Math" w:hAnsi="Cambria Math"/>
                  <w:i/>
                  <w:color w:val="000000"/>
                </w:rPr>
              </m:ctrlPr>
            </m:sSupPr>
            <m:e>
              <m:r>
                <w:rPr>
                  <w:rFonts w:ascii="Cambria Math" w:hAnsi="Cambria Math"/>
                  <w:color w:val="000000"/>
                </w:rPr>
                <m:t>i</m:t>
              </m:r>
            </m:e>
            <m:sup>
              <m:r>
                <w:rPr>
                  <w:rFonts w:ascii="Cambria Math" w:hAnsi="Cambria Math"/>
                  <w:color w:val="000000"/>
                </w:rPr>
                <m:t>Tay</m:t>
              </m:r>
            </m:sup>
          </m:sSup>
          <m:r>
            <w:rPr>
              <w:rFonts w:ascii="Cambria Math" w:hAnsi="Cambria Math"/>
              <w:color w:val="000000"/>
            </w:rPr>
            <m:t>=Taylorova úroková míra</m:t>
          </m:r>
        </m:oMath>
      </m:oMathPara>
    </w:p>
    <w:p w:rsidR="009A594E" w:rsidRDefault="006647E4" w:rsidP="009A594E">
      <w:pPr>
        <w:jc w:val="both"/>
        <w:rPr>
          <w:color w:val="000000"/>
        </w:rPr>
      </w:pPr>
      <m:oMathPara>
        <m:oMath>
          <m:sSup>
            <m:sSupPr>
              <m:ctrlPr>
                <w:rPr>
                  <w:rFonts w:ascii="Cambria Math" w:hAnsi="Cambria Math"/>
                  <w:i/>
                  <w:color w:val="000000"/>
                </w:rPr>
              </m:ctrlPr>
            </m:sSupPr>
            <m:e>
              <m:r>
                <w:rPr>
                  <w:rFonts w:ascii="Cambria Math" w:hAnsi="Cambria Math"/>
                  <w:color w:val="000000"/>
                </w:rPr>
                <m:t>π</m:t>
              </m:r>
            </m:e>
            <m:sup>
              <m:r>
                <w:rPr>
                  <w:rFonts w:ascii="Cambria Math" w:hAnsi="Cambria Math"/>
                  <w:color w:val="000000"/>
                </w:rPr>
                <m:t>E</m:t>
              </m:r>
            </m:sup>
          </m:sSup>
          <m:r>
            <w:rPr>
              <w:rFonts w:ascii="Cambria Math" w:hAnsi="Cambria Math"/>
              <w:color w:val="000000"/>
            </w:rPr>
            <m:t>=očekávaná inflace</m:t>
          </m:r>
        </m:oMath>
      </m:oMathPara>
    </w:p>
    <w:p w:rsidR="009A594E" w:rsidRPr="009A594E" w:rsidRDefault="006647E4" w:rsidP="009A594E">
      <w:pPr>
        <w:jc w:val="both"/>
        <w:rPr>
          <w:color w:val="000000"/>
        </w:rPr>
      </w:pPr>
      <m:oMathPara>
        <m:oMath>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m:t>
              </m:r>
            </m:sup>
          </m:sSup>
          <m:r>
            <w:rPr>
              <w:rFonts w:ascii="Cambria Math" w:hAnsi="Cambria Math"/>
              <w:color w:val="000000"/>
            </w:rPr>
            <m:t>=reálná rovnovážná úroková míra</m:t>
          </m:r>
        </m:oMath>
      </m:oMathPara>
    </w:p>
    <w:p w:rsidR="009A594E" w:rsidRPr="009A594E" w:rsidRDefault="006647E4" w:rsidP="009A594E">
      <w:pPr>
        <w:jc w:val="both"/>
        <w:rPr>
          <w:color w:val="000000"/>
        </w:rPr>
      </w:pPr>
      <m:oMathPara>
        <m:oMath>
          <m:sSup>
            <m:sSupPr>
              <m:ctrlPr>
                <w:rPr>
                  <w:rFonts w:ascii="Cambria Math" w:hAnsi="Cambria Math"/>
                  <w:i/>
                  <w:color w:val="000000"/>
                </w:rPr>
              </m:ctrlPr>
            </m:sSupPr>
            <m:e>
              <m:r>
                <w:rPr>
                  <w:rFonts w:ascii="Cambria Math" w:hAnsi="Cambria Math"/>
                  <w:color w:val="000000"/>
                </w:rPr>
                <m:t>π</m:t>
              </m:r>
            </m:e>
            <m:sup>
              <m:r>
                <w:rPr>
                  <w:rFonts w:ascii="Cambria Math" w:hAnsi="Cambria Math"/>
                  <w:color w:val="000000"/>
                </w:rPr>
                <m:t>T</m:t>
              </m:r>
            </m:sup>
          </m:sSup>
          <m:r>
            <w:rPr>
              <w:rFonts w:ascii="Cambria Math" w:hAnsi="Cambria Math"/>
              <w:color w:val="000000"/>
            </w:rPr>
            <m:t>=cílová inflace, tj. ta, o níž centrální banka usiluje</m:t>
          </m:r>
        </m:oMath>
      </m:oMathPara>
    </w:p>
    <w:p w:rsidR="009A594E" w:rsidRDefault="009A594E" w:rsidP="009A594E">
      <w:pPr>
        <w:jc w:val="both"/>
        <w:rPr>
          <w:color w:val="000000"/>
        </w:rPr>
      </w:pPr>
      <m:oMathPara>
        <m:oMath>
          <m:r>
            <w:rPr>
              <w:rFonts w:ascii="Cambria Math" w:hAnsi="Cambria Math"/>
              <w:color w:val="000000"/>
            </w:rPr>
            <m:t>ygap=  produkční mezera mezi skutečným a potenciálním produktem</m:t>
          </m:r>
        </m:oMath>
      </m:oMathPara>
    </w:p>
    <w:p w:rsidR="009A594E" w:rsidRDefault="001F4FF8">
      <w:pPr>
        <w:jc w:val="both"/>
        <w:rPr>
          <w:color w:val="000000"/>
        </w:rPr>
      </w:pPr>
      <w:r>
        <w:rPr>
          <w:color w:val="000000"/>
        </w:rPr>
        <w:t>Ygap bere ohled na fázi hospodářského cyklu.</w:t>
      </w:r>
    </w:p>
    <w:p w:rsidR="001F4FF8" w:rsidRDefault="001F4FF8">
      <w:pPr>
        <w:jc w:val="both"/>
        <w:rPr>
          <w:color w:val="000000"/>
        </w:rPr>
      </w:pPr>
      <w:r>
        <w:rPr>
          <w:color w:val="000000"/>
        </w:rPr>
        <w:t xml:space="preserve">Koeficienty alfa a beta udávají, jak silně by měla reagovat peněžní politika </w:t>
      </w:r>
      <w:r w:rsidR="00986E0F">
        <w:rPr>
          <w:color w:val="000000"/>
        </w:rPr>
        <w:t>na odchylku očekávané inflace od cílové a na odchylku skutečné produkce od potenciální.</w:t>
      </w:r>
    </w:p>
    <w:p w:rsidR="009A594E" w:rsidRPr="00735206" w:rsidRDefault="009A594E">
      <w:pPr>
        <w:jc w:val="both"/>
        <w:rPr>
          <w:color w:val="000000"/>
        </w:rPr>
      </w:pPr>
    </w:p>
    <w:p w:rsidR="00903C8C" w:rsidRPr="009A594E" w:rsidRDefault="00903C8C">
      <w:pPr>
        <w:jc w:val="both"/>
        <w:rPr>
          <w:b/>
          <w:color w:val="000000"/>
        </w:rPr>
      </w:pPr>
      <w:r w:rsidRPr="009A594E">
        <w:rPr>
          <w:b/>
          <w:color w:val="000000"/>
        </w:rPr>
        <w:t>Fisherův efekt:</w:t>
      </w:r>
    </w:p>
    <w:p w:rsidR="00903C8C" w:rsidRPr="00903C8C" w:rsidRDefault="00903C8C" w:rsidP="00903C8C">
      <w:pPr>
        <w:pStyle w:val="Listenabsatz"/>
        <w:numPr>
          <w:ilvl w:val="0"/>
          <w:numId w:val="3"/>
        </w:numPr>
        <w:tabs>
          <w:tab w:val="clear" w:pos="1425"/>
          <w:tab w:val="num" w:pos="142"/>
        </w:tabs>
        <w:ind w:left="142" w:hanging="142"/>
        <w:jc w:val="both"/>
        <w:rPr>
          <w:rFonts w:ascii="Times New Roman" w:hAnsi="Times New Roman"/>
          <w:color w:val="000000"/>
          <w:sz w:val="24"/>
          <w:szCs w:val="24"/>
          <w:lang w:val="cs-CZ"/>
        </w:rPr>
      </w:pPr>
      <w:r w:rsidRPr="00903C8C">
        <w:rPr>
          <w:rFonts w:ascii="Times New Roman" w:hAnsi="Times New Roman"/>
          <w:color w:val="000000"/>
          <w:sz w:val="24"/>
          <w:szCs w:val="24"/>
          <w:lang w:val="cs-CZ"/>
        </w:rPr>
        <w:t>Vzroste-li míra inflace, vzroste i nominální úroková míra, takž</w:t>
      </w:r>
      <w:r w:rsidR="009A594E">
        <w:rPr>
          <w:rFonts w:ascii="Times New Roman" w:hAnsi="Times New Roman"/>
          <w:color w:val="000000"/>
          <w:sz w:val="24"/>
          <w:szCs w:val="24"/>
          <w:lang w:val="cs-CZ"/>
        </w:rPr>
        <w:t>e</w:t>
      </w:r>
      <w:r w:rsidRPr="00903C8C">
        <w:rPr>
          <w:rFonts w:ascii="Times New Roman" w:hAnsi="Times New Roman"/>
          <w:color w:val="000000"/>
          <w:sz w:val="24"/>
          <w:szCs w:val="24"/>
          <w:lang w:val="cs-CZ"/>
        </w:rPr>
        <w:t xml:space="preserve"> reálná úroková míra zůstane stejná.</w:t>
      </w:r>
      <w:r w:rsidR="009A594E">
        <w:rPr>
          <w:rFonts w:ascii="Times New Roman" w:hAnsi="Times New Roman"/>
          <w:color w:val="000000"/>
          <w:sz w:val="24"/>
          <w:szCs w:val="24"/>
          <w:lang w:val="cs-CZ"/>
        </w:rPr>
        <w:t xml:space="preserve"> Pokoušet se tedy ovlivňovat úrokovou míru monetární expanzí nemá smysl.</w:t>
      </w:r>
    </w:p>
    <w:p w:rsidR="00783598" w:rsidRPr="00340E4C" w:rsidRDefault="00783598" w:rsidP="00636A7A">
      <w:pPr>
        <w:pStyle w:val="berschrift2"/>
      </w:pPr>
      <w:r w:rsidRPr="00340E4C">
        <w:t>Typy hospodářské politiky</w:t>
      </w:r>
    </w:p>
    <w:p w:rsidR="00783598" w:rsidRPr="00340E4C" w:rsidRDefault="00783598">
      <w:pPr>
        <w:jc w:val="both"/>
        <w:rPr>
          <w:u w:val="single"/>
        </w:rPr>
      </w:pPr>
      <w:r w:rsidRPr="00340E4C">
        <w:rPr>
          <w:u w:val="single"/>
        </w:rPr>
        <w:t>Keynesovský typ</w:t>
      </w:r>
    </w:p>
    <w:p w:rsidR="00783598" w:rsidRPr="00340E4C" w:rsidRDefault="00783598" w:rsidP="001741A7">
      <w:pPr>
        <w:pStyle w:val="Verzeichnis1"/>
        <w:numPr>
          <w:ilvl w:val="0"/>
          <w:numId w:val="1"/>
        </w:numPr>
      </w:pPr>
      <w:r w:rsidRPr="00340E4C">
        <w:t>stát pružně reaguje na vývoj hospodářství</w:t>
      </w:r>
    </w:p>
    <w:p w:rsidR="00783598" w:rsidRPr="00340E4C" w:rsidRDefault="00783598" w:rsidP="001741A7">
      <w:pPr>
        <w:numPr>
          <w:ilvl w:val="0"/>
          <w:numId w:val="1"/>
        </w:numPr>
        <w:jc w:val="both"/>
      </w:pPr>
      <w:r w:rsidRPr="00340E4C">
        <w:t>stát permanentně dolaďuje chod ekonomiky</w:t>
      </w:r>
    </w:p>
    <w:p w:rsidR="00783598" w:rsidRPr="00340E4C" w:rsidRDefault="00783598" w:rsidP="001741A7">
      <w:pPr>
        <w:numPr>
          <w:ilvl w:val="0"/>
          <w:numId w:val="1"/>
        </w:numPr>
        <w:jc w:val="both"/>
      </w:pPr>
      <w:r w:rsidRPr="00340E4C">
        <w:lastRenderedPageBreak/>
        <w:t>hlavním cílem je vysoký stupeň zaměstnanosti a té se dosáhne dostatečně vysokou poptávkou</w:t>
      </w:r>
    </w:p>
    <w:p w:rsidR="00783598" w:rsidRPr="00340E4C" w:rsidRDefault="00783598" w:rsidP="001741A7">
      <w:pPr>
        <w:numPr>
          <w:ilvl w:val="0"/>
          <w:numId w:val="1"/>
        </w:numPr>
        <w:jc w:val="both"/>
      </w:pPr>
      <w:r w:rsidRPr="00340E4C">
        <w:t>stát podporuje růst poptávky zvyšováním svých výdajů na statky</w:t>
      </w:r>
    </w:p>
    <w:p w:rsidR="00783598" w:rsidRPr="00340E4C" w:rsidRDefault="00783598" w:rsidP="001741A7">
      <w:pPr>
        <w:numPr>
          <w:ilvl w:val="0"/>
          <w:numId w:val="1"/>
        </w:numPr>
        <w:jc w:val="both"/>
      </w:pPr>
      <w:r w:rsidRPr="00340E4C">
        <w:t>neokeynesovský typ reaguje na výtku, že poptávková expanze vede k růstu cenové hladiny a klade důraz na vhodnou kombinaci fiskální a monetární politiky s cílem udržet cenovou hladinu</w:t>
      </w:r>
    </w:p>
    <w:p w:rsidR="00783598" w:rsidRPr="00340E4C" w:rsidRDefault="00783598">
      <w:pPr>
        <w:jc w:val="both"/>
      </w:pPr>
    </w:p>
    <w:p w:rsidR="00783598" w:rsidRPr="00340E4C" w:rsidRDefault="00783598">
      <w:pPr>
        <w:jc w:val="both"/>
        <w:rPr>
          <w:u w:val="single"/>
        </w:rPr>
      </w:pPr>
      <w:r w:rsidRPr="00340E4C">
        <w:rPr>
          <w:u w:val="single"/>
        </w:rPr>
        <w:t>Konzervativní typ</w:t>
      </w:r>
    </w:p>
    <w:p w:rsidR="00783598" w:rsidRPr="00340E4C" w:rsidRDefault="00783598" w:rsidP="001741A7">
      <w:pPr>
        <w:numPr>
          <w:ilvl w:val="0"/>
          <w:numId w:val="1"/>
        </w:numPr>
        <w:jc w:val="both"/>
      </w:pPr>
      <w:r w:rsidRPr="00340E4C">
        <w:t>stát pouze vytváří podmínky pro fungování tržního mechanismu</w:t>
      </w:r>
    </w:p>
    <w:p w:rsidR="00783598" w:rsidRPr="00340E4C" w:rsidRDefault="00783598" w:rsidP="001741A7">
      <w:pPr>
        <w:numPr>
          <w:ilvl w:val="0"/>
          <w:numId w:val="1"/>
        </w:numPr>
        <w:jc w:val="both"/>
      </w:pPr>
      <w:r w:rsidRPr="00340E4C">
        <w:t xml:space="preserve">hlavní podmínkou činnosti tržního mechanismu je cenová stabilita </w:t>
      </w:r>
    </w:p>
    <w:p w:rsidR="00783598" w:rsidRPr="00340E4C" w:rsidRDefault="00783598" w:rsidP="001741A7">
      <w:pPr>
        <w:numPr>
          <w:ilvl w:val="0"/>
          <w:numId w:val="1"/>
        </w:numPr>
        <w:jc w:val="both"/>
      </w:pPr>
      <w:r w:rsidRPr="00340E4C">
        <w:t>stát napomáhá cenové stab</w:t>
      </w:r>
      <w:r w:rsidR="00903C8C">
        <w:t>i</w:t>
      </w:r>
      <w:r w:rsidRPr="00340E4C">
        <w:t>litě vhodnou nabídkou peněz</w:t>
      </w:r>
    </w:p>
    <w:p w:rsidR="00783598" w:rsidRPr="00340E4C" w:rsidRDefault="00783598">
      <w:pPr>
        <w:jc w:val="both"/>
      </w:pPr>
    </w:p>
    <w:p w:rsidR="00783598" w:rsidRPr="00340E4C" w:rsidRDefault="00783598">
      <w:pPr>
        <w:jc w:val="both"/>
        <w:rPr>
          <w:u w:val="single"/>
        </w:rPr>
      </w:pPr>
      <w:r w:rsidRPr="00340E4C">
        <w:rPr>
          <w:u w:val="single"/>
        </w:rPr>
        <w:t>Politika ekonomického rámce</w:t>
      </w:r>
    </w:p>
    <w:p w:rsidR="00783598" w:rsidRPr="00340E4C" w:rsidRDefault="00783598" w:rsidP="001741A7">
      <w:pPr>
        <w:pStyle w:val="Verzeichnis1"/>
        <w:numPr>
          <w:ilvl w:val="0"/>
          <w:numId w:val="1"/>
        </w:numPr>
      </w:pPr>
      <w:r w:rsidRPr="00340E4C">
        <w:t>podpora konkurence, podpora zakládání podniků</w:t>
      </w:r>
    </w:p>
    <w:p w:rsidR="00783598" w:rsidRPr="00340E4C" w:rsidRDefault="00783598" w:rsidP="001741A7">
      <w:pPr>
        <w:numPr>
          <w:ilvl w:val="0"/>
          <w:numId w:val="1"/>
        </w:numPr>
        <w:jc w:val="both"/>
      </w:pPr>
      <w:r w:rsidRPr="00340E4C">
        <w:t>zvýšení ziskových očekávání – inovace, výzkum</w:t>
      </w:r>
    </w:p>
    <w:p w:rsidR="00783598" w:rsidRPr="00340E4C" w:rsidRDefault="00783598" w:rsidP="001741A7">
      <w:pPr>
        <w:numPr>
          <w:ilvl w:val="0"/>
          <w:numId w:val="1"/>
        </w:numPr>
        <w:jc w:val="both"/>
      </w:pPr>
      <w:r w:rsidRPr="00340E4C">
        <w:t>politika nízkého státního vlastnictví a nízkého podílu veřejných rozpočtů na GDP</w:t>
      </w:r>
    </w:p>
    <w:p w:rsidR="00783598" w:rsidRPr="00340E4C" w:rsidRDefault="00783598" w:rsidP="001741A7">
      <w:pPr>
        <w:numPr>
          <w:ilvl w:val="0"/>
          <w:numId w:val="1"/>
        </w:numPr>
        <w:jc w:val="both"/>
      </w:pPr>
      <w:r w:rsidRPr="00340E4C">
        <w:t>rozumné tarifní dohody</w:t>
      </w:r>
      <w:r w:rsidR="00903C8C">
        <w:t xml:space="preserve"> (únosný růst mezd)</w:t>
      </w:r>
    </w:p>
    <w:p w:rsidR="00783598" w:rsidRPr="00340E4C" w:rsidRDefault="00783598" w:rsidP="00636A7A">
      <w:pPr>
        <w:pStyle w:val="berschrift2"/>
      </w:pPr>
      <w:r w:rsidRPr="00340E4C">
        <w:t>Účinnost hospodářské politiky vlády</w:t>
      </w:r>
    </w:p>
    <w:p w:rsidR="00783598" w:rsidRPr="00340E4C" w:rsidRDefault="00783598"/>
    <w:p w:rsidR="00075560" w:rsidRPr="005F1D5F" w:rsidRDefault="00075560" w:rsidP="00075560">
      <w:r w:rsidRPr="005F1D5F">
        <w:t>Jaké jsou slabiny hospodářské politiky:</w:t>
      </w:r>
    </w:p>
    <w:p w:rsidR="00075560" w:rsidRPr="005F1D5F" w:rsidRDefault="00075560" w:rsidP="001741A7">
      <w:pPr>
        <w:numPr>
          <w:ilvl w:val="0"/>
          <w:numId w:val="25"/>
        </w:numPr>
      </w:pPr>
      <w:r w:rsidRPr="005F1D5F">
        <w:t>Časový posun mezi problémem a opatřením,</w:t>
      </w:r>
    </w:p>
    <w:p w:rsidR="00075560" w:rsidRPr="00340E4C" w:rsidRDefault="00075560" w:rsidP="001741A7">
      <w:pPr>
        <w:numPr>
          <w:ilvl w:val="0"/>
          <w:numId w:val="25"/>
        </w:numPr>
      </w:pPr>
      <w:r w:rsidRPr="005F1D5F">
        <w:t>Obtížně ověřitelná správnost</w:t>
      </w:r>
      <w:r w:rsidRPr="00340E4C">
        <w:t xml:space="preserve"> rozhodnutí</w:t>
      </w:r>
    </w:p>
    <w:p w:rsidR="00075560" w:rsidRPr="00340E4C" w:rsidRDefault="00075560" w:rsidP="001741A7">
      <w:pPr>
        <w:numPr>
          <w:ilvl w:val="0"/>
          <w:numId w:val="25"/>
        </w:numPr>
      </w:pPr>
      <w:r w:rsidRPr="00340E4C">
        <w:t>Objektivnost rozhodnutí je ovlivňována lobbyistickými tlaky</w:t>
      </w:r>
    </w:p>
    <w:p w:rsidR="00783598" w:rsidRPr="00340E4C" w:rsidRDefault="00783598" w:rsidP="00636A7A">
      <w:pPr>
        <w:pStyle w:val="berschrift1"/>
      </w:pPr>
      <w:r w:rsidRPr="00340E4C">
        <w:br w:type="page"/>
      </w:r>
      <w:bookmarkStart w:id="228" w:name="_Toc240444156"/>
      <w:bookmarkStart w:id="229" w:name="_Toc240775356"/>
      <w:bookmarkStart w:id="230" w:name="_Toc281979958"/>
      <w:bookmarkStart w:id="231" w:name="_Toc281980000"/>
      <w:bookmarkStart w:id="232" w:name="_Toc296073451"/>
      <w:bookmarkStart w:id="233" w:name="_Toc297533159"/>
      <w:bookmarkStart w:id="234" w:name="_Toc303675519"/>
      <w:bookmarkStart w:id="235" w:name="_Toc303963020"/>
      <w:bookmarkStart w:id="236" w:name="_Toc306176409"/>
      <w:bookmarkStart w:id="237" w:name="_Toc315341178"/>
      <w:bookmarkStart w:id="238" w:name="_Toc316459973"/>
      <w:bookmarkStart w:id="239" w:name="_Toc316460448"/>
      <w:bookmarkStart w:id="240" w:name="_Toc318291425"/>
      <w:bookmarkStart w:id="241" w:name="_Toc328466831"/>
      <w:bookmarkStart w:id="242" w:name="_Toc335724888"/>
      <w:bookmarkStart w:id="243" w:name="_Toc411926293"/>
      <w:bookmarkStart w:id="244" w:name="_Toc1629146"/>
      <w:r w:rsidRPr="00340E4C">
        <w:lastRenderedPageBreak/>
        <w:t xml:space="preserve">Kolokvium LS - </w:t>
      </w:r>
      <w:r w:rsidR="009B4211">
        <w:t>T</w:t>
      </w:r>
      <w:r w:rsidRPr="00340E4C">
        <w:t>est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783598" w:rsidRPr="00340E4C" w:rsidRDefault="00783598">
      <w:pPr>
        <w:jc w:val="both"/>
      </w:pPr>
    </w:p>
    <w:p w:rsidR="008121E9" w:rsidRPr="00340E4C" w:rsidRDefault="008121E9" w:rsidP="008121E9">
      <w:pPr>
        <w:rPr>
          <w:b/>
          <w:i/>
        </w:rPr>
      </w:pPr>
      <w:r w:rsidRPr="00340E4C">
        <w:rPr>
          <w:b/>
          <w:i/>
        </w:rPr>
        <w:t>Cvičebnice:</w:t>
      </w:r>
    </w:p>
    <w:p w:rsidR="008121E9" w:rsidRPr="00340E4C" w:rsidRDefault="008121E9" w:rsidP="001741A7">
      <w:pPr>
        <w:pStyle w:val="Listenabsatz"/>
        <w:numPr>
          <w:ilvl w:val="0"/>
          <w:numId w:val="29"/>
        </w:numPr>
        <w:spacing w:after="0" w:line="240" w:lineRule="auto"/>
        <w:rPr>
          <w:b/>
          <w:i/>
          <w:sz w:val="24"/>
          <w:szCs w:val="24"/>
          <w:lang w:val="cs-CZ"/>
        </w:rPr>
      </w:pPr>
      <w:r w:rsidRPr="00340E4C">
        <w:rPr>
          <w:b/>
          <w:i/>
          <w:sz w:val="24"/>
          <w:szCs w:val="24"/>
          <w:lang w:val="cs-CZ"/>
        </w:rPr>
        <w:t>Makroekonomie cvičebnice: Jindřich Soukup, Vít Pošta, Pavel Neset, Tomáš Pavelka, Jiří Dobrylovský, Melandrium Slaný 2009 (dále jen Soukup)</w:t>
      </w:r>
    </w:p>
    <w:p w:rsidR="008121E9" w:rsidRPr="00340E4C" w:rsidRDefault="008121E9" w:rsidP="001741A7">
      <w:pPr>
        <w:pStyle w:val="Listenabsatz"/>
        <w:numPr>
          <w:ilvl w:val="0"/>
          <w:numId w:val="29"/>
        </w:numPr>
        <w:spacing w:after="0" w:line="240" w:lineRule="auto"/>
        <w:rPr>
          <w:b/>
          <w:i/>
          <w:sz w:val="24"/>
          <w:szCs w:val="24"/>
          <w:lang w:val="cs-CZ"/>
        </w:rPr>
      </w:pPr>
      <w:r w:rsidRPr="00340E4C">
        <w:rPr>
          <w:b/>
          <w:i/>
          <w:sz w:val="24"/>
          <w:szCs w:val="24"/>
          <w:lang w:val="cs-CZ"/>
        </w:rPr>
        <w:t>Makroekonomie základní kurz, cvičebnice: Vít Pošta, Pavel Sirůček, Melandrium Slaný 2008 (dále jen Pošta)</w:t>
      </w:r>
    </w:p>
    <w:p w:rsidR="008121E9" w:rsidRPr="00340E4C" w:rsidRDefault="008121E9" w:rsidP="008121E9"/>
    <w:p w:rsidR="00FC2BF2" w:rsidRDefault="00FC2BF2" w:rsidP="001741A7">
      <w:pPr>
        <w:pStyle w:val="Listenabsatz"/>
        <w:numPr>
          <w:ilvl w:val="0"/>
          <w:numId w:val="28"/>
        </w:numPr>
        <w:spacing w:after="0" w:line="240" w:lineRule="auto"/>
        <w:rPr>
          <w:rFonts w:ascii="Times New Roman" w:hAnsi="Times New Roman"/>
          <w:sz w:val="24"/>
          <w:szCs w:val="24"/>
          <w:lang w:val="cs-CZ"/>
        </w:rPr>
      </w:pPr>
      <w:r>
        <w:rPr>
          <w:rFonts w:ascii="Times New Roman" w:hAnsi="Times New Roman"/>
          <w:sz w:val="24"/>
          <w:szCs w:val="24"/>
          <w:lang w:val="cs-CZ"/>
        </w:rPr>
        <w:t>Dvousektorová ekonomika: Ekonomika vykazuje následující makrodata:</w:t>
      </w:r>
    </w:p>
    <w:p w:rsidR="00FC2BF2" w:rsidRDefault="00FC2BF2" w:rsidP="00FC2BF2">
      <w:pPr>
        <w:ind w:left="644"/>
      </w:pPr>
      <w:r>
        <w:t>I = 700</w:t>
      </w:r>
    </w:p>
    <w:tbl>
      <w:tblPr>
        <w:tblStyle w:val="Tabellenraster"/>
        <w:tblW w:w="0" w:type="auto"/>
        <w:tblInd w:w="3510" w:type="dxa"/>
        <w:tblLook w:val="04A0" w:firstRow="1" w:lastRow="0" w:firstColumn="1" w:lastColumn="0" w:noHBand="0" w:noVBand="1"/>
      </w:tblPr>
      <w:tblGrid>
        <w:gridCol w:w="1456"/>
        <w:gridCol w:w="1379"/>
      </w:tblGrid>
      <w:tr w:rsidR="00FC2BF2" w:rsidTr="00FC2BF2">
        <w:tc>
          <w:tcPr>
            <w:tcW w:w="1456" w:type="dxa"/>
          </w:tcPr>
          <w:p w:rsidR="00FC2BF2" w:rsidRDefault="00FC2BF2" w:rsidP="00FC2BF2">
            <w:pPr>
              <w:jc w:val="center"/>
            </w:pPr>
            <w:r>
              <w:t>Y</w:t>
            </w:r>
          </w:p>
        </w:tc>
        <w:tc>
          <w:tcPr>
            <w:tcW w:w="1379" w:type="dxa"/>
          </w:tcPr>
          <w:p w:rsidR="00FC2BF2" w:rsidRDefault="00FC2BF2" w:rsidP="00FC2BF2">
            <w:pPr>
              <w:jc w:val="center"/>
            </w:pPr>
            <w:r>
              <w:t>C</w:t>
            </w:r>
          </w:p>
        </w:tc>
      </w:tr>
      <w:tr w:rsidR="00FC2BF2" w:rsidTr="00FC2BF2">
        <w:tc>
          <w:tcPr>
            <w:tcW w:w="1456" w:type="dxa"/>
          </w:tcPr>
          <w:p w:rsidR="00FC2BF2" w:rsidRDefault="00FC2BF2" w:rsidP="00FC2BF2">
            <w:pPr>
              <w:jc w:val="right"/>
            </w:pPr>
            <w:r>
              <w:t>1000</w:t>
            </w:r>
          </w:p>
        </w:tc>
        <w:tc>
          <w:tcPr>
            <w:tcW w:w="1379" w:type="dxa"/>
          </w:tcPr>
          <w:p w:rsidR="00FC2BF2" w:rsidRDefault="00FC2BF2" w:rsidP="00FC2BF2">
            <w:pPr>
              <w:jc w:val="right"/>
            </w:pPr>
            <w:r>
              <w:t>900</w:t>
            </w:r>
          </w:p>
        </w:tc>
      </w:tr>
      <w:tr w:rsidR="00FC2BF2" w:rsidTr="00FC2BF2">
        <w:tc>
          <w:tcPr>
            <w:tcW w:w="1456" w:type="dxa"/>
          </w:tcPr>
          <w:p w:rsidR="00FC2BF2" w:rsidRDefault="00FC2BF2" w:rsidP="00FC2BF2">
            <w:pPr>
              <w:jc w:val="right"/>
            </w:pPr>
            <w:r>
              <w:t>1200</w:t>
            </w:r>
          </w:p>
        </w:tc>
        <w:tc>
          <w:tcPr>
            <w:tcW w:w="1379" w:type="dxa"/>
          </w:tcPr>
          <w:p w:rsidR="00FC2BF2" w:rsidRDefault="00FC2BF2" w:rsidP="00FC2BF2">
            <w:pPr>
              <w:jc w:val="right"/>
            </w:pPr>
            <w:r>
              <w:t>1060</w:t>
            </w:r>
          </w:p>
        </w:tc>
      </w:tr>
      <w:tr w:rsidR="00FC2BF2" w:rsidTr="00FC2BF2">
        <w:tc>
          <w:tcPr>
            <w:tcW w:w="1456" w:type="dxa"/>
          </w:tcPr>
          <w:p w:rsidR="00FC2BF2" w:rsidRDefault="00FC2BF2" w:rsidP="00FC2BF2">
            <w:pPr>
              <w:jc w:val="right"/>
            </w:pPr>
            <w:r>
              <w:t>1400</w:t>
            </w:r>
          </w:p>
        </w:tc>
        <w:tc>
          <w:tcPr>
            <w:tcW w:w="1379" w:type="dxa"/>
          </w:tcPr>
          <w:p w:rsidR="00FC2BF2" w:rsidRDefault="00FC2BF2" w:rsidP="00FC2BF2">
            <w:pPr>
              <w:jc w:val="right"/>
            </w:pPr>
            <w:r>
              <w:t>1220</w:t>
            </w:r>
          </w:p>
        </w:tc>
      </w:tr>
      <w:tr w:rsidR="00FC2BF2" w:rsidTr="00FC2BF2">
        <w:tc>
          <w:tcPr>
            <w:tcW w:w="1456" w:type="dxa"/>
          </w:tcPr>
          <w:p w:rsidR="00FC2BF2" w:rsidRDefault="00FC2BF2" w:rsidP="00FC2BF2">
            <w:pPr>
              <w:jc w:val="right"/>
            </w:pPr>
            <w:r>
              <w:t>1600</w:t>
            </w:r>
          </w:p>
        </w:tc>
        <w:tc>
          <w:tcPr>
            <w:tcW w:w="1379" w:type="dxa"/>
          </w:tcPr>
          <w:p w:rsidR="00FC2BF2" w:rsidRDefault="00FC2BF2" w:rsidP="00FC2BF2">
            <w:pPr>
              <w:jc w:val="right"/>
            </w:pPr>
            <w:r>
              <w:t>1380</w:t>
            </w:r>
          </w:p>
        </w:tc>
      </w:tr>
    </w:tbl>
    <w:p w:rsidR="00FC2BF2" w:rsidRDefault="00FC2BF2" w:rsidP="00FC2BF2">
      <w:pPr>
        <w:pStyle w:val="Listenabsatz"/>
        <w:numPr>
          <w:ilvl w:val="4"/>
          <w:numId w:val="1"/>
        </w:numPr>
        <w:ind w:left="709" w:firstLine="0"/>
        <w:rPr>
          <w:rFonts w:ascii="Times New Roman" w:hAnsi="Times New Roman"/>
          <w:sz w:val="24"/>
          <w:szCs w:val="24"/>
        </w:rPr>
      </w:pPr>
      <w:r w:rsidRPr="00FC2BF2">
        <w:rPr>
          <w:rFonts w:ascii="Times New Roman" w:hAnsi="Times New Roman"/>
          <w:sz w:val="24"/>
          <w:szCs w:val="24"/>
        </w:rPr>
        <w:t>Stanovte spotřební funkci!</w:t>
      </w:r>
    </w:p>
    <w:p w:rsidR="00FC2BF2" w:rsidRDefault="00FC2BF2" w:rsidP="00FC2BF2">
      <w:pPr>
        <w:pStyle w:val="Listenabsatz"/>
        <w:numPr>
          <w:ilvl w:val="4"/>
          <w:numId w:val="1"/>
        </w:numPr>
        <w:ind w:left="709" w:firstLine="0"/>
        <w:rPr>
          <w:rFonts w:ascii="Times New Roman" w:hAnsi="Times New Roman"/>
          <w:sz w:val="24"/>
          <w:szCs w:val="24"/>
        </w:rPr>
      </w:pPr>
      <w:r>
        <w:rPr>
          <w:rFonts w:ascii="Times New Roman" w:hAnsi="Times New Roman"/>
          <w:sz w:val="24"/>
          <w:szCs w:val="24"/>
        </w:rPr>
        <w:t>Určete rovnici funkce úspor!</w:t>
      </w:r>
    </w:p>
    <w:p w:rsidR="00FC2BF2" w:rsidRDefault="00FC2BF2" w:rsidP="00FC2BF2">
      <w:pPr>
        <w:pStyle w:val="Listenabsatz"/>
        <w:numPr>
          <w:ilvl w:val="4"/>
          <w:numId w:val="1"/>
        </w:numPr>
        <w:ind w:left="709" w:firstLine="0"/>
        <w:rPr>
          <w:rFonts w:ascii="Times New Roman" w:hAnsi="Times New Roman"/>
          <w:sz w:val="24"/>
          <w:szCs w:val="24"/>
        </w:rPr>
      </w:pPr>
      <w:r>
        <w:rPr>
          <w:rFonts w:ascii="Times New Roman" w:hAnsi="Times New Roman"/>
          <w:sz w:val="24"/>
          <w:szCs w:val="24"/>
        </w:rPr>
        <w:t>Určete rovnovážný důchod!</w:t>
      </w:r>
    </w:p>
    <w:p w:rsidR="00FC2BF2" w:rsidRPr="00FC2BF2" w:rsidRDefault="00FC2BF2" w:rsidP="00FC2BF2">
      <w:pPr>
        <w:pStyle w:val="Listenabsatz"/>
        <w:numPr>
          <w:ilvl w:val="4"/>
          <w:numId w:val="1"/>
        </w:numPr>
        <w:ind w:left="709" w:firstLine="0"/>
        <w:rPr>
          <w:rFonts w:ascii="Times New Roman" w:hAnsi="Times New Roman"/>
          <w:sz w:val="24"/>
          <w:szCs w:val="24"/>
        </w:rPr>
      </w:pPr>
      <w:r>
        <w:rPr>
          <w:rFonts w:ascii="Times New Roman" w:hAnsi="Times New Roman"/>
          <w:sz w:val="24"/>
          <w:szCs w:val="24"/>
        </w:rPr>
        <w:t>Jak se změní Y, když investice klesnou na 500?</w:t>
      </w:r>
    </w:p>
    <w:p w:rsidR="00FC2BF2" w:rsidRPr="00FC2BF2" w:rsidRDefault="00FC2BF2" w:rsidP="00FC2BF2"/>
    <w:p w:rsidR="008121E9" w:rsidRPr="004F4441" w:rsidRDefault="008121E9" w:rsidP="001741A7">
      <w:pPr>
        <w:pStyle w:val="Listenabsatz"/>
        <w:numPr>
          <w:ilvl w:val="0"/>
          <w:numId w:val="28"/>
        </w:numPr>
        <w:spacing w:after="0" w:line="240" w:lineRule="auto"/>
        <w:rPr>
          <w:rFonts w:ascii="Times New Roman" w:hAnsi="Times New Roman"/>
          <w:sz w:val="24"/>
          <w:szCs w:val="24"/>
          <w:lang w:val="cs-CZ"/>
        </w:rPr>
      </w:pPr>
      <w:r w:rsidRPr="004F4441">
        <w:rPr>
          <w:rFonts w:ascii="Times New Roman" w:hAnsi="Times New Roman"/>
          <w:sz w:val="24"/>
          <w:szCs w:val="24"/>
          <w:lang w:val="cs-CZ"/>
        </w:rPr>
        <w:t>Spotřeba v krátkém období (Soukup příklad 3/ strana 29). Krátkodobá fce spotřeby je C=140+0,9*Yd (Yd = disponibilní důchod). Od jaké výše Yd začínají domácnosti spořit?</w:t>
      </w:r>
    </w:p>
    <w:p w:rsidR="008121E9" w:rsidRPr="00340E4C" w:rsidRDefault="008121E9" w:rsidP="008121E9"/>
    <w:p w:rsidR="00DB06D6" w:rsidRPr="00DB06D6" w:rsidRDefault="00DB06D6" w:rsidP="001741A7">
      <w:pPr>
        <w:pStyle w:val="Listenabsatz"/>
        <w:numPr>
          <w:ilvl w:val="0"/>
          <w:numId w:val="28"/>
        </w:numPr>
        <w:spacing w:after="0" w:line="240" w:lineRule="auto"/>
        <w:rPr>
          <w:rFonts w:ascii="Times New Roman" w:hAnsi="Times New Roman"/>
          <w:sz w:val="24"/>
          <w:szCs w:val="24"/>
          <w:lang w:val="cs-CZ"/>
        </w:rPr>
      </w:pPr>
      <w:r w:rsidRPr="00DB06D6">
        <w:rPr>
          <w:rFonts w:ascii="Times New Roman" w:hAnsi="Times New Roman"/>
          <w:sz w:val="24"/>
          <w:szCs w:val="24"/>
          <w:lang w:val="cs-CZ"/>
        </w:rPr>
        <w:t>Třísektorová ekonomika má tyto charakteristiky:</w:t>
      </w:r>
    </w:p>
    <w:tbl>
      <w:tblPr>
        <w:tblStyle w:val="Tabellenraster"/>
        <w:tblW w:w="0" w:type="auto"/>
        <w:tblInd w:w="2943" w:type="dxa"/>
        <w:tblLook w:val="04A0" w:firstRow="1" w:lastRow="0" w:firstColumn="1" w:lastColumn="0" w:noHBand="0" w:noVBand="1"/>
      </w:tblPr>
      <w:tblGrid>
        <w:gridCol w:w="2023"/>
        <w:gridCol w:w="1946"/>
      </w:tblGrid>
      <w:tr w:rsidR="00DB06D6" w:rsidRPr="00DB06D6" w:rsidTr="00DB06D6">
        <w:tc>
          <w:tcPr>
            <w:tcW w:w="2023" w:type="dxa"/>
          </w:tcPr>
          <w:p w:rsidR="00DB06D6" w:rsidRPr="00DB06D6" w:rsidRDefault="00DB06D6" w:rsidP="00DB06D6">
            <w:pPr>
              <w:jc w:val="center"/>
              <w:rPr>
                <w:vertAlign w:val="subscript"/>
              </w:rPr>
            </w:pPr>
            <w:r>
              <w:t>S</w:t>
            </w:r>
            <w:r>
              <w:rPr>
                <w:vertAlign w:val="subscript"/>
              </w:rPr>
              <w:t>a</w:t>
            </w:r>
          </w:p>
        </w:tc>
        <w:tc>
          <w:tcPr>
            <w:tcW w:w="1946" w:type="dxa"/>
          </w:tcPr>
          <w:p w:rsidR="00DB06D6" w:rsidRPr="00DB06D6" w:rsidRDefault="00DB06D6" w:rsidP="00DB06D6">
            <w:pPr>
              <w:jc w:val="right"/>
            </w:pPr>
            <w:r>
              <w:t>-200</w:t>
            </w:r>
          </w:p>
        </w:tc>
      </w:tr>
      <w:tr w:rsidR="00DB06D6" w:rsidRPr="00DB06D6" w:rsidTr="00DB06D6">
        <w:tc>
          <w:tcPr>
            <w:tcW w:w="2023" w:type="dxa"/>
          </w:tcPr>
          <w:p w:rsidR="00DB06D6" w:rsidRPr="00DB06D6" w:rsidRDefault="00DB06D6" w:rsidP="00DB06D6">
            <w:pPr>
              <w:jc w:val="center"/>
            </w:pPr>
            <w:r>
              <w:t>s</w:t>
            </w:r>
          </w:p>
        </w:tc>
        <w:tc>
          <w:tcPr>
            <w:tcW w:w="1946" w:type="dxa"/>
          </w:tcPr>
          <w:p w:rsidR="00DB06D6" w:rsidRPr="00DB06D6" w:rsidRDefault="00DB06D6" w:rsidP="00DB06D6">
            <w:pPr>
              <w:jc w:val="right"/>
            </w:pPr>
            <w:r>
              <w:t>0,1</w:t>
            </w:r>
          </w:p>
        </w:tc>
      </w:tr>
      <w:tr w:rsidR="00DB06D6" w:rsidRPr="00DB06D6" w:rsidTr="00DB06D6">
        <w:tc>
          <w:tcPr>
            <w:tcW w:w="2023" w:type="dxa"/>
          </w:tcPr>
          <w:p w:rsidR="00DB06D6" w:rsidRPr="00DB06D6" w:rsidRDefault="00DB06D6" w:rsidP="00DB06D6">
            <w:pPr>
              <w:jc w:val="center"/>
            </w:pPr>
            <w:r>
              <w:t>I</w:t>
            </w:r>
          </w:p>
        </w:tc>
        <w:tc>
          <w:tcPr>
            <w:tcW w:w="1946" w:type="dxa"/>
          </w:tcPr>
          <w:p w:rsidR="00DB06D6" w:rsidRPr="00DB06D6" w:rsidRDefault="00DB06D6" w:rsidP="00DB06D6">
            <w:pPr>
              <w:jc w:val="right"/>
            </w:pPr>
            <w:r>
              <w:t>500</w:t>
            </w:r>
          </w:p>
        </w:tc>
      </w:tr>
      <w:tr w:rsidR="00DB06D6" w:rsidRPr="00DB06D6" w:rsidTr="00DB06D6">
        <w:tc>
          <w:tcPr>
            <w:tcW w:w="2023" w:type="dxa"/>
          </w:tcPr>
          <w:p w:rsidR="00DB06D6" w:rsidRPr="00DB06D6" w:rsidRDefault="00DB06D6" w:rsidP="00DB06D6">
            <w:pPr>
              <w:jc w:val="center"/>
            </w:pPr>
            <w:r>
              <w:t>G</w:t>
            </w:r>
          </w:p>
        </w:tc>
        <w:tc>
          <w:tcPr>
            <w:tcW w:w="1946" w:type="dxa"/>
          </w:tcPr>
          <w:p w:rsidR="00DB06D6" w:rsidRPr="00DB06D6" w:rsidRDefault="00DB06D6" w:rsidP="00DB06D6">
            <w:pPr>
              <w:jc w:val="right"/>
            </w:pPr>
            <w:r>
              <w:t>200</w:t>
            </w:r>
          </w:p>
        </w:tc>
      </w:tr>
      <w:tr w:rsidR="00DB06D6" w:rsidRPr="00DB06D6" w:rsidTr="00DB06D6">
        <w:tc>
          <w:tcPr>
            <w:tcW w:w="2023" w:type="dxa"/>
          </w:tcPr>
          <w:p w:rsidR="00DB06D6" w:rsidRPr="00DB06D6" w:rsidRDefault="00DB06D6" w:rsidP="00DB06D6">
            <w:pPr>
              <w:jc w:val="center"/>
            </w:pPr>
            <w:r>
              <w:t>TR</w:t>
            </w:r>
          </w:p>
        </w:tc>
        <w:tc>
          <w:tcPr>
            <w:tcW w:w="1946" w:type="dxa"/>
          </w:tcPr>
          <w:p w:rsidR="00DB06D6" w:rsidRPr="00DB06D6" w:rsidRDefault="00DB06D6" w:rsidP="00DB06D6">
            <w:pPr>
              <w:jc w:val="right"/>
            </w:pPr>
            <w:r>
              <w:t>100</w:t>
            </w:r>
          </w:p>
        </w:tc>
      </w:tr>
      <w:tr w:rsidR="00DB06D6" w:rsidRPr="00DB06D6" w:rsidTr="00DB06D6">
        <w:tc>
          <w:tcPr>
            <w:tcW w:w="2023" w:type="dxa"/>
          </w:tcPr>
          <w:p w:rsidR="00DB06D6" w:rsidRPr="00DB06D6" w:rsidRDefault="00DB06D6" w:rsidP="00DB06D6">
            <w:pPr>
              <w:jc w:val="center"/>
              <w:rPr>
                <w:vertAlign w:val="subscript"/>
              </w:rPr>
            </w:pPr>
            <w:r>
              <w:t>TA</w:t>
            </w:r>
            <w:r>
              <w:rPr>
                <w:vertAlign w:val="subscript"/>
              </w:rPr>
              <w:t>a</w:t>
            </w:r>
          </w:p>
        </w:tc>
        <w:tc>
          <w:tcPr>
            <w:tcW w:w="1946" w:type="dxa"/>
          </w:tcPr>
          <w:p w:rsidR="00DB06D6" w:rsidRPr="00DB06D6" w:rsidRDefault="00DB06D6" w:rsidP="00DB06D6">
            <w:pPr>
              <w:jc w:val="right"/>
            </w:pPr>
            <w:r>
              <w:t>250</w:t>
            </w:r>
          </w:p>
        </w:tc>
      </w:tr>
      <w:tr w:rsidR="00DB06D6" w:rsidRPr="00DB06D6" w:rsidTr="00DB06D6">
        <w:tc>
          <w:tcPr>
            <w:tcW w:w="2023" w:type="dxa"/>
          </w:tcPr>
          <w:p w:rsidR="00DB06D6" w:rsidRPr="00DB06D6" w:rsidRDefault="00DB06D6" w:rsidP="00DB06D6">
            <w:pPr>
              <w:jc w:val="center"/>
            </w:pPr>
            <w:r>
              <w:t>t</w:t>
            </w:r>
          </w:p>
        </w:tc>
        <w:tc>
          <w:tcPr>
            <w:tcW w:w="1946" w:type="dxa"/>
          </w:tcPr>
          <w:p w:rsidR="00DB06D6" w:rsidRPr="00DB06D6" w:rsidRDefault="00DB06D6" w:rsidP="00DB06D6">
            <w:pPr>
              <w:jc w:val="right"/>
            </w:pPr>
            <w:r>
              <w:t>0,3</w:t>
            </w:r>
          </w:p>
        </w:tc>
      </w:tr>
    </w:tbl>
    <w:p w:rsidR="00DB06D6" w:rsidRPr="00DB06D6" w:rsidRDefault="00DB06D6" w:rsidP="00DB06D6">
      <w:pPr>
        <w:pStyle w:val="Listenabsatz"/>
        <w:numPr>
          <w:ilvl w:val="1"/>
          <w:numId w:val="26"/>
        </w:numPr>
        <w:rPr>
          <w:rFonts w:ascii="Times New Roman" w:hAnsi="Times New Roman"/>
          <w:sz w:val="24"/>
          <w:szCs w:val="24"/>
        </w:rPr>
      </w:pPr>
      <w:r w:rsidRPr="00DB06D6">
        <w:rPr>
          <w:rFonts w:ascii="Times New Roman" w:hAnsi="Times New Roman"/>
          <w:sz w:val="24"/>
          <w:szCs w:val="24"/>
        </w:rPr>
        <w:t>Stanovte spotřební funkci</w:t>
      </w:r>
    </w:p>
    <w:p w:rsidR="00DB06D6" w:rsidRPr="00DB06D6" w:rsidRDefault="00DB06D6" w:rsidP="00DB06D6">
      <w:pPr>
        <w:pStyle w:val="Listenabsatz"/>
        <w:numPr>
          <w:ilvl w:val="1"/>
          <w:numId w:val="26"/>
        </w:numPr>
        <w:rPr>
          <w:rFonts w:ascii="Times New Roman" w:hAnsi="Times New Roman"/>
          <w:sz w:val="24"/>
          <w:szCs w:val="24"/>
        </w:rPr>
      </w:pPr>
      <w:r w:rsidRPr="00DB06D6">
        <w:rPr>
          <w:rFonts w:ascii="Times New Roman" w:hAnsi="Times New Roman"/>
          <w:sz w:val="24"/>
          <w:szCs w:val="24"/>
        </w:rPr>
        <w:t>Stanovte rovnovážný důchod</w:t>
      </w:r>
    </w:p>
    <w:p w:rsidR="00DB06D6" w:rsidRPr="00DB06D6" w:rsidRDefault="00DB06D6" w:rsidP="00DB06D6"/>
    <w:p w:rsidR="008121E9" w:rsidRPr="00340E4C" w:rsidRDefault="008121E9" w:rsidP="001741A7">
      <w:pPr>
        <w:pStyle w:val="Listenabsatz"/>
        <w:numPr>
          <w:ilvl w:val="0"/>
          <w:numId w:val="28"/>
        </w:numPr>
        <w:spacing w:after="0" w:line="240" w:lineRule="auto"/>
        <w:rPr>
          <w:sz w:val="24"/>
          <w:szCs w:val="24"/>
          <w:lang w:val="cs-CZ"/>
        </w:rPr>
      </w:pPr>
      <w:r w:rsidRPr="00340E4C">
        <w:rPr>
          <w:sz w:val="24"/>
          <w:szCs w:val="24"/>
          <w:lang w:val="cs-CZ"/>
        </w:rPr>
        <w:t>Index spotřebitelských cen (Soukup 6/18):</w:t>
      </w:r>
    </w:p>
    <w:tbl>
      <w:tblPr>
        <w:tblStyle w:val="Tabellenraster"/>
        <w:tblW w:w="0" w:type="auto"/>
        <w:tblInd w:w="817" w:type="dxa"/>
        <w:tblLook w:val="04A0" w:firstRow="1" w:lastRow="0" w:firstColumn="1" w:lastColumn="0" w:noHBand="0" w:noVBand="1"/>
      </w:tblPr>
      <w:tblGrid>
        <w:gridCol w:w="1740"/>
        <w:gridCol w:w="2407"/>
        <w:gridCol w:w="2162"/>
        <w:gridCol w:w="2162"/>
      </w:tblGrid>
      <w:tr w:rsidR="008121E9" w:rsidRPr="00340E4C" w:rsidTr="008121E9">
        <w:tc>
          <w:tcPr>
            <w:tcW w:w="2719" w:type="dxa"/>
          </w:tcPr>
          <w:p w:rsidR="008121E9" w:rsidRPr="00340E4C" w:rsidRDefault="008121E9" w:rsidP="008121E9">
            <w:r w:rsidRPr="00340E4C">
              <w:t>statek</w:t>
            </w:r>
          </w:p>
        </w:tc>
        <w:tc>
          <w:tcPr>
            <w:tcW w:w="3536" w:type="dxa"/>
          </w:tcPr>
          <w:p w:rsidR="008121E9" w:rsidRPr="00340E4C" w:rsidRDefault="008121E9" w:rsidP="008121E9">
            <w:r w:rsidRPr="00340E4C">
              <w:t>Váha ve spotřebním koši v %</w:t>
            </w:r>
          </w:p>
        </w:tc>
        <w:tc>
          <w:tcPr>
            <w:tcW w:w="3536" w:type="dxa"/>
          </w:tcPr>
          <w:p w:rsidR="008121E9" w:rsidRPr="00340E4C" w:rsidRDefault="008121E9" w:rsidP="004F4441">
            <w:r w:rsidRPr="00340E4C">
              <w:t>Cena v roce 200</w:t>
            </w:r>
            <w:r w:rsidR="004F4441">
              <w:t>9</w:t>
            </w:r>
          </w:p>
        </w:tc>
        <w:tc>
          <w:tcPr>
            <w:tcW w:w="3536" w:type="dxa"/>
          </w:tcPr>
          <w:p w:rsidR="008121E9" w:rsidRPr="00340E4C" w:rsidRDefault="008121E9" w:rsidP="004F4441">
            <w:r w:rsidRPr="00340E4C">
              <w:t>Cena v roce 20</w:t>
            </w:r>
            <w:r w:rsidR="004F4441">
              <w:t>10</w:t>
            </w:r>
          </w:p>
        </w:tc>
      </w:tr>
      <w:tr w:rsidR="008121E9" w:rsidRPr="00340E4C" w:rsidTr="008121E9">
        <w:tc>
          <w:tcPr>
            <w:tcW w:w="2719" w:type="dxa"/>
          </w:tcPr>
          <w:p w:rsidR="008121E9" w:rsidRPr="00340E4C" w:rsidRDefault="008121E9" w:rsidP="008121E9">
            <w:r w:rsidRPr="00340E4C">
              <w:t>A</w:t>
            </w:r>
          </w:p>
        </w:tc>
        <w:tc>
          <w:tcPr>
            <w:tcW w:w="3536" w:type="dxa"/>
          </w:tcPr>
          <w:p w:rsidR="008121E9" w:rsidRPr="00340E4C" w:rsidRDefault="008121E9" w:rsidP="008121E9">
            <w:pPr>
              <w:jc w:val="right"/>
            </w:pPr>
            <w:r w:rsidRPr="00340E4C">
              <w:t>40</w:t>
            </w:r>
          </w:p>
        </w:tc>
        <w:tc>
          <w:tcPr>
            <w:tcW w:w="3536" w:type="dxa"/>
          </w:tcPr>
          <w:p w:rsidR="008121E9" w:rsidRPr="00340E4C" w:rsidRDefault="008121E9" w:rsidP="008121E9">
            <w:pPr>
              <w:jc w:val="right"/>
            </w:pPr>
            <w:r w:rsidRPr="00340E4C">
              <w:t>120</w:t>
            </w:r>
          </w:p>
        </w:tc>
        <w:tc>
          <w:tcPr>
            <w:tcW w:w="3536" w:type="dxa"/>
          </w:tcPr>
          <w:p w:rsidR="008121E9" w:rsidRPr="00340E4C" w:rsidRDefault="008121E9" w:rsidP="008121E9">
            <w:pPr>
              <w:jc w:val="right"/>
            </w:pPr>
            <w:r w:rsidRPr="00340E4C">
              <w:t>130</w:t>
            </w:r>
          </w:p>
        </w:tc>
      </w:tr>
      <w:tr w:rsidR="008121E9" w:rsidRPr="00340E4C" w:rsidTr="008121E9">
        <w:tc>
          <w:tcPr>
            <w:tcW w:w="2719" w:type="dxa"/>
          </w:tcPr>
          <w:p w:rsidR="008121E9" w:rsidRPr="00340E4C" w:rsidRDefault="008121E9" w:rsidP="008121E9">
            <w:r w:rsidRPr="00340E4C">
              <w:t>B</w:t>
            </w:r>
          </w:p>
        </w:tc>
        <w:tc>
          <w:tcPr>
            <w:tcW w:w="3536" w:type="dxa"/>
          </w:tcPr>
          <w:p w:rsidR="008121E9" w:rsidRPr="00340E4C" w:rsidRDefault="008121E9" w:rsidP="008121E9">
            <w:pPr>
              <w:jc w:val="right"/>
            </w:pPr>
            <w:r w:rsidRPr="00340E4C">
              <w:t>30</w:t>
            </w:r>
          </w:p>
        </w:tc>
        <w:tc>
          <w:tcPr>
            <w:tcW w:w="3536" w:type="dxa"/>
          </w:tcPr>
          <w:p w:rsidR="008121E9" w:rsidRPr="00340E4C" w:rsidRDefault="008121E9" w:rsidP="008121E9">
            <w:pPr>
              <w:jc w:val="right"/>
            </w:pPr>
            <w:r w:rsidRPr="00340E4C">
              <w:t>90</w:t>
            </w:r>
          </w:p>
        </w:tc>
        <w:tc>
          <w:tcPr>
            <w:tcW w:w="3536" w:type="dxa"/>
          </w:tcPr>
          <w:p w:rsidR="008121E9" w:rsidRPr="00340E4C" w:rsidRDefault="008121E9" w:rsidP="008121E9">
            <w:pPr>
              <w:jc w:val="right"/>
            </w:pPr>
            <w:r w:rsidRPr="00340E4C">
              <w:t>115</w:t>
            </w:r>
          </w:p>
        </w:tc>
      </w:tr>
      <w:tr w:rsidR="008121E9" w:rsidRPr="00340E4C" w:rsidTr="008121E9">
        <w:tc>
          <w:tcPr>
            <w:tcW w:w="2719" w:type="dxa"/>
          </w:tcPr>
          <w:p w:rsidR="008121E9" w:rsidRPr="00340E4C" w:rsidRDefault="008121E9" w:rsidP="008121E9">
            <w:r w:rsidRPr="00340E4C">
              <w:t>C</w:t>
            </w:r>
          </w:p>
        </w:tc>
        <w:tc>
          <w:tcPr>
            <w:tcW w:w="3536" w:type="dxa"/>
          </w:tcPr>
          <w:p w:rsidR="008121E9" w:rsidRPr="00340E4C" w:rsidRDefault="008121E9" w:rsidP="008121E9">
            <w:pPr>
              <w:jc w:val="right"/>
            </w:pPr>
            <w:r w:rsidRPr="00340E4C">
              <w:t>20</w:t>
            </w:r>
          </w:p>
        </w:tc>
        <w:tc>
          <w:tcPr>
            <w:tcW w:w="3536" w:type="dxa"/>
          </w:tcPr>
          <w:p w:rsidR="008121E9" w:rsidRPr="00340E4C" w:rsidRDefault="008121E9" w:rsidP="008121E9">
            <w:pPr>
              <w:jc w:val="right"/>
            </w:pPr>
            <w:r w:rsidRPr="00340E4C">
              <w:t>60</w:t>
            </w:r>
          </w:p>
        </w:tc>
        <w:tc>
          <w:tcPr>
            <w:tcW w:w="3536" w:type="dxa"/>
          </w:tcPr>
          <w:p w:rsidR="008121E9" w:rsidRPr="00340E4C" w:rsidRDefault="008121E9" w:rsidP="008121E9">
            <w:pPr>
              <w:jc w:val="right"/>
            </w:pPr>
            <w:r w:rsidRPr="00340E4C">
              <w:t>72</w:t>
            </w:r>
          </w:p>
        </w:tc>
      </w:tr>
      <w:tr w:rsidR="008121E9" w:rsidRPr="00340E4C" w:rsidTr="008121E9">
        <w:tc>
          <w:tcPr>
            <w:tcW w:w="2719" w:type="dxa"/>
          </w:tcPr>
          <w:p w:rsidR="008121E9" w:rsidRPr="00340E4C" w:rsidRDefault="008121E9" w:rsidP="008121E9">
            <w:r w:rsidRPr="00340E4C">
              <w:t>D</w:t>
            </w:r>
          </w:p>
        </w:tc>
        <w:tc>
          <w:tcPr>
            <w:tcW w:w="3536" w:type="dxa"/>
          </w:tcPr>
          <w:p w:rsidR="008121E9" w:rsidRPr="00340E4C" w:rsidRDefault="008121E9" w:rsidP="008121E9">
            <w:pPr>
              <w:jc w:val="right"/>
            </w:pPr>
            <w:r w:rsidRPr="00340E4C">
              <w:t>10</w:t>
            </w:r>
          </w:p>
        </w:tc>
        <w:tc>
          <w:tcPr>
            <w:tcW w:w="3536" w:type="dxa"/>
          </w:tcPr>
          <w:p w:rsidR="008121E9" w:rsidRPr="00340E4C" w:rsidRDefault="008121E9" w:rsidP="008121E9">
            <w:pPr>
              <w:jc w:val="right"/>
            </w:pPr>
            <w:r w:rsidRPr="00340E4C">
              <w:t>80</w:t>
            </w:r>
          </w:p>
        </w:tc>
        <w:tc>
          <w:tcPr>
            <w:tcW w:w="3536" w:type="dxa"/>
          </w:tcPr>
          <w:p w:rsidR="008121E9" w:rsidRPr="00340E4C" w:rsidRDefault="008121E9" w:rsidP="008121E9">
            <w:pPr>
              <w:jc w:val="right"/>
            </w:pPr>
            <w:r w:rsidRPr="00340E4C">
              <w:t>84</w:t>
            </w:r>
          </w:p>
        </w:tc>
      </w:tr>
    </w:tbl>
    <w:p w:rsidR="008121E9" w:rsidRPr="00340E4C" w:rsidRDefault="008121E9" w:rsidP="008121E9">
      <w:pPr>
        <w:ind w:firstLine="708"/>
      </w:pPr>
      <w:r w:rsidRPr="00340E4C">
        <w:t>Jak vzrostly ceny?</w:t>
      </w:r>
    </w:p>
    <w:p w:rsidR="008121E9" w:rsidRPr="00340E4C" w:rsidRDefault="008121E9" w:rsidP="008121E9">
      <w:pPr>
        <w:ind w:firstLine="708"/>
      </w:pPr>
    </w:p>
    <w:p w:rsidR="008121E9" w:rsidRPr="00340E4C" w:rsidRDefault="008121E9" w:rsidP="008121E9">
      <w:r w:rsidRPr="00340E4C">
        <w:tab/>
      </w:r>
    </w:p>
    <w:p w:rsidR="008121E9" w:rsidRPr="00340E4C" w:rsidRDefault="008121E9" w:rsidP="008121E9"/>
    <w:p w:rsidR="008121E9" w:rsidRPr="00340E4C" w:rsidRDefault="008121E9" w:rsidP="001741A7">
      <w:pPr>
        <w:pStyle w:val="Listenabsatz"/>
        <w:numPr>
          <w:ilvl w:val="0"/>
          <w:numId w:val="28"/>
        </w:numPr>
        <w:spacing w:after="0" w:line="240" w:lineRule="auto"/>
        <w:rPr>
          <w:sz w:val="24"/>
          <w:szCs w:val="24"/>
          <w:lang w:val="cs-CZ"/>
        </w:rPr>
      </w:pPr>
      <w:r w:rsidRPr="00340E4C">
        <w:rPr>
          <w:sz w:val="24"/>
          <w:szCs w:val="24"/>
          <w:lang w:val="cs-CZ"/>
        </w:rPr>
        <w:lastRenderedPageBreak/>
        <w:t>Spotřeba a disponibilní důchod (Soukup 7/30):</w:t>
      </w:r>
    </w:p>
    <w:p w:rsidR="008121E9" w:rsidRPr="00340E4C" w:rsidRDefault="008121E9" w:rsidP="008121E9">
      <w:pPr>
        <w:ind w:left="708"/>
      </w:pPr>
      <w:r w:rsidRPr="00340E4C">
        <w:t>GDP = 3400 mld CZK</w:t>
      </w:r>
    </w:p>
    <w:p w:rsidR="008121E9" w:rsidRPr="00340E4C" w:rsidRDefault="008121E9" w:rsidP="008121E9">
      <w:pPr>
        <w:ind w:left="708"/>
      </w:pPr>
      <w:r w:rsidRPr="00340E4C">
        <w:t>Ta = 100 mld (autonomní daně)</w:t>
      </w:r>
    </w:p>
    <w:p w:rsidR="008121E9" w:rsidRPr="00340E4C" w:rsidRDefault="008121E9" w:rsidP="008121E9">
      <w:pPr>
        <w:ind w:left="708"/>
      </w:pPr>
      <w:r w:rsidRPr="00340E4C">
        <w:t>TR = 65 … (vládní transfery)</w:t>
      </w:r>
    </w:p>
    <w:p w:rsidR="008121E9" w:rsidRPr="00340E4C" w:rsidRDefault="00557111" w:rsidP="008121E9">
      <w:pPr>
        <w:ind w:left="708"/>
      </w:pPr>
      <w:r>
        <w:t>t</w:t>
      </w:r>
      <w:r w:rsidR="008121E9" w:rsidRPr="00340E4C">
        <w:t xml:space="preserve"> = 15 % (sazba důchodové daně)</w:t>
      </w:r>
    </w:p>
    <w:p w:rsidR="008121E9" w:rsidRPr="00340E4C" w:rsidRDefault="008121E9" w:rsidP="008121E9">
      <w:pPr>
        <w:ind w:left="708"/>
      </w:pPr>
      <w:r w:rsidRPr="00340E4C">
        <w:t>Ca = 200 mld CZK (autonomní spotřeba)</w:t>
      </w:r>
    </w:p>
    <w:p w:rsidR="008121E9" w:rsidRPr="00340E4C" w:rsidRDefault="008121E9" w:rsidP="008121E9">
      <w:pPr>
        <w:ind w:left="708"/>
      </w:pPr>
      <w:r w:rsidRPr="00340E4C">
        <w:t>C = 0,7 (mezní sklon ke spotřebě)</w:t>
      </w:r>
    </w:p>
    <w:p w:rsidR="008121E9" w:rsidRPr="00340E4C" w:rsidRDefault="008121E9" w:rsidP="008121E9">
      <w:pPr>
        <w:ind w:left="708"/>
      </w:pPr>
      <w:r w:rsidRPr="00340E4C">
        <w:t>Jaká bude spotřeba?</w:t>
      </w:r>
    </w:p>
    <w:p w:rsidR="008121E9" w:rsidRPr="00340E4C" w:rsidRDefault="008121E9" w:rsidP="008121E9">
      <w:pPr>
        <w:ind w:left="708"/>
      </w:pPr>
    </w:p>
    <w:p w:rsidR="008121E9" w:rsidRPr="00340E4C" w:rsidRDefault="008121E9" w:rsidP="001741A7">
      <w:pPr>
        <w:pStyle w:val="Listenabsatz"/>
        <w:numPr>
          <w:ilvl w:val="0"/>
          <w:numId w:val="28"/>
        </w:numPr>
        <w:spacing w:after="0" w:line="240" w:lineRule="auto"/>
        <w:rPr>
          <w:sz w:val="24"/>
          <w:szCs w:val="24"/>
          <w:lang w:val="cs-CZ"/>
        </w:rPr>
      </w:pPr>
      <w:r w:rsidRPr="00340E4C">
        <w:rPr>
          <w:sz w:val="24"/>
          <w:szCs w:val="24"/>
          <w:lang w:val="cs-CZ"/>
        </w:rPr>
        <w:t>Teorie životního cyklu (Soukup 11/30): Hrdina příkladu odhaduje délku svého života na 68 let od okamžiku výpočtu</w:t>
      </w:r>
      <w:r w:rsidR="00557111">
        <w:rPr>
          <w:sz w:val="24"/>
          <w:szCs w:val="24"/>
          <w:lang w:val="cs-CZ"/>
        </w:rPr>
        <w:t xml:space="preserve">, </w:t>
      </w:r>
      <w:r w:rsidRPr="00340E4C">
        <w:rPr>
          <w:sz w:val="24"/>
          <w:szCs w:val="24"/>
          <w:lang w:val="cs-CZ"/>
        </w:rPr>
        <w:t>ne od narození), z toho bude 37 let pracovat. Má roční příjem 500.000,- CZK, od příštího roku 530.000,-CZK. Jeho současné bohatství je 2 mil. CZK. Nepředpokládá, že by dostával starobní důchod a že by něco zanechal svým potomkům. Kolik bude činit jeho spotřeba ve výchozím roce?</w:t>
      </w:r>
    </w:p>
    <w:p w:rsidR="008121E9" w:rsidRPr="00340E4C" w:rsidRDefault="008121E9" w:rsidP="008121E9"/>
    <w:p w:rsidR="008121E9" w:rsidRPr="00340E4C" w:rsidRDefault="008121E9" w:rsidP="001741A7">
      <w:pPr>
        <w:pStyle w:val="Listenabsatz"/>
        <w:numPr>
          <w:ilvl w:val="0"/>
          <w:numId w:val="28"/>
        </w:numPr>
        <w:spacing w:after="0" w:line="240" w:lineRule="auto"/>
        <w:rPr>
          <w:sz w:val="24"/>
          <w:szCs w:val="24"/>
          <w:lang w:val="cs-CZ"/>
        </w:rPr>
      </w:pPr>
      <w:r w:rsidRPr="00340E4C">
        <w:rPr>
          <w:sz w:val="24"/>
          <w:szCs w:val="24"/>
          <w:lang w:val="cs-CZ"/>
        </w:rPr>
        <w:t>Výpočet HDP (Pošta 1/20):</w:t>
      </w:r>
    </w:p>
    <w:tbl>
      <w:tblPr>
        <w:tblStyle w:val="Tabellenraster"/>
        <w:tblW w:w="0" w:type="auto"/>
        <w:tblInd w:w="708" w:type="dxa"/>
        <w:tblLook w:val="04A0" w:firstRow="1" w:lastRow="0" w:firstColumn="1" w:lastColumn="0" w:noHBand="0" w:noVBand="1"/>
      </w:tblPr>
      <w:tblGrid>
        <w:gridCol w:w="2869"/>
        <w:gridCol w:w="2972"/>
        <w:gridCol w:w="2739"/>
      </w:tblGrid>
      <w:tr w:rsidR="008121E9" w:rsidRPr="00340E4C" w:rsidTr="008121E9">
        <w:tc>
          <w:tcPr>
            <w:tcW w:w="4714" w:type="dxa"/>
          </w:tcPr>
          <w:p w:rsidR="008121E9" w:rsidRPr="00340E4C" w:rsidRDefault="008121E9" w:rsidP="008121E9">
            <w:r w:rsidRPr="00340E4C">
              <w:t>Označení</w:t>
            </w:r>
          </w:p>
        </w:tc>
        <w:tc>
          <w:tcPr>
            <w:tcW w:w="4715" w:type="dxa"/>
          </w:tcPr>
          <w:p w:rsidR="008121E9" w:rsidRPr="00340E4C" w:rsidRDefault="008121E9" w:rsidP="008121E9">
            <w:r w:rsidRPr="00340E4C">
              <w:t>název</w:t>
            </w:r>
          </w:p>
        </w:tc>
        <w:tc>
          <w:tcPr>
            <w:tcW w:w="4715" w:type="dxa"/>
          </w:tcPr>
          <w:p w:rsidR="008121E9" w:rsidRPr="00340E4C" w:rsidRDefault="008121E9" w:rsidP="008121E9">
            <w:r w:rsidRPr="00340E4C">
              <w:t>Částka</w:t>
            </w:r>
          </w:p>
        </w:tc>
      </w:tr>
      <w:tr w:rsidR="008121E9" w:rsidRPr="00340E4C" w:rsidTr="008121E9">
        <w:tc>
          <w:tcPr>
            <w:tcW w:w="4714" w:type="dxa"/>
          </w:tcPr>
          <w:p w:rsidR="008121E9" w:rsidRPr="00340E4C" w:rsidRDefault="008121E9" w:rsidP="008121E9">
            <w:r w:rsidRPr="00340E4C">
              <w:t>TR</w:t>
            </w:r>
          </w:p>
        </w:tc>
        <w:tc>
          <w:tcPr>
            <w:tcW w:w="4715" w:type="dxa"/>
          </w:tcPr>
          <w:p w:rsidR="008121E9" w:rsidRPr="00340E4C" w:rsidRDefault="008121E9" w:rsidP="008121E9">
            <w:r w:rsidRPr="00340E4C">
              <w:t>transfery</w:t>
            </w:r>
          </w:p>
        </w:tc>
        <w:tc>
          <w:tcPr>
            <w:tcW w:w="4715" w:type="dxa"/>
          </w:tcPr>
          <w:p w:rsidR="008121E9" w:rsidRPr="00340E4C" w:rsidRDefault="008121E9" w:rsidP="008121E9">
            <w:pPr>
              <w:jc w:val="right"/>
            </w:pPr>
            <w:r w:rsidRPr="00340E4C">
              <w:t>50</w:t>
            </w:r>
          </w:p>
        </w:tc>
      </w:tr>
      <w:tr w:rsidR="008121E9" w:rsidRPr="00340E4C" w:rsidTr="008121E9">
        <w:tc>
          <w:tcPr>
            <w:tcW w:w="4714" w:type="dxa"/>
          </w:tcPr>
          <w:p w:rsidR="008121E9" w:rsidRPr="00340E4C" w:rsidRDefault="008121E9" w:rsidP="008121E9">
            <w:r w:rsidRPr="00340E4C">
              <w:t>I</w:t>
            </w:r>
          </w:p>
        </w:tc>
        <w:tc>
          <w:tcPr>
            <w:tcW w:w="4715" w:type="dxa"/>
          </w:tcPr>
          <w:p w:rsidR="008121E9" w:rsidRPr="00340E4C" w:rsidRDefault="008121E9" w:rsidP="008121E9">
            <w:r w:rsidRPr="00340E4C">
              <w:t>Hrubé soukromé domácí investice</w:t>
            </w:r>
          </w:p>
        </w:tc>
        <w:tc>
          <w:tcPr>
            <w:tcW w:w="4715" w:type="dxa"/>
          </w:tcPr>
          <w:p w:rsidR="008121E9" w:rsidRPr="00340E4C" w:rsidRDefault="008121E9" w:rsidP="008121E9">
            <w:pPr>
              <w:jc w:val="right"/>
            </w:pPr>
            <w:r w:rsidRPr="00340E4C">
              <w:t>100</w:t>
            </w:r>
          </w:p>
        </w:tc>
      </w:tr>
      <w:tr w:rsidR="008121E9" w:rsidRPr="00340E4C" w:rsidTr="008121E9">
        <w:tc>
          <w:tcPr>
            <w:tcW w:w="4714" w:type="dxa"/>
          </w:tcPr>
          <w:p w:rsidR="008121E9" w:rsidRPr="00340E4C" w:rsidRDefault="008121E9" w:rsidP="008121E9">
            <w:r w:rsidRPr="00340E4C">
              <w:t>X</w:t>
            </w:r>
          </w:p>
        </w:tc>
        <w:tc>
          <w:tcPr>
            <w:tcW w:w="4715" w:type="dxa"/>
          </w:tcPr>
          <w:p w:rsidR="008121E9" w:rsidRPr="00340E4C" w:rsidRDefault="008121E9" w:rsidP="008121E9">
            <w:r w:rsidRPr="00340E4C">
              <w:t>export</w:t>
            </w:r>
          </w:p>
        </w:tc>
        <w:tc>
          <w:tcPr>
            <w:tcW w:w="4715" w:type="dxa"/>
          </w:tcPr>
          <w:p w:rsidR="008121E9" w:rsidRPr="00340E4C" w:rsidRDefault="008121E9" w:rsidP="008121E9">
            <w:pPr>
              <w:jc w:val="right"/>
            </w:pPr>
            <w:r w:rsidRPr="00340E4C">
              <w:t>80</w:t>
            </w:r>
          </w:p>
        </w:tc>
      </w:tr>
      <w:tr w:rsidR="008121E9" w:rsidRPr="00340E4C" w:rsidTr="008121E9">
        <w:tc>
          <w:tcPr>
            <w:tcW w:w="4714" w:type="dxa"/>
          </w:tcPr>
          <w:p w:rsidR="008121E9" w:rsidRPr="00340E4C" w:rsidRDefault="008121E9" w:rsidP="008121E9">
            <w:r w:rsidRPr="00340E4C">
              <w:t>NT</w:t>
            </w:r>
          </w:p>
        </w:tc>
        <w:tc>
          <w:tcPr>
            <w:tcW w:w="4715" w:type="dxa"/>
          </w:tcPr>
          <w:p w:rsidR="008121E9" w:rsidRPr="00340E4C" w:rsidRDefault="008121E9" w:rsidP="008121E9">
            <w:r w:rsidRPr="00340E4C">
              <w:t>Čisté daně</w:t>
            </w:r>
          </w:p>
        </w:tc>
        <w:tc>
          <w:tcPr>
            <w:tcW w:w="4715" w:type="dxa"/>
          </w:tcPr>
          <w:p w:rsidR="008121E9" w:rsidRPr="00340E4C" w:rsidRDefault="008121E9" w:rsidP="008121E9">
            <w:pPr>
              <w:jc w:val="right"/>
            </w:pPr>
            <w:r w:rsidRPr="00340E4C">
              <w:t>40</w:t>
            </w:r>
          </w:p>
        </w:tc>
      </w:tr>
      <w:tr w:rsidR="008121E9" w:rsidRPr="00340E4C" w:rsidTr="008121E9">
        <w:tc>
          <w:tcPr>
            <w:tcW w:w="4714" w:type="dxa"/>
          </w:tcPr>
          <w:p w:rsidR="008121E9" w:rsidRPr="00340E4C" w:rsidRDefault="008121E9" w:rsidP="008121E9">
            <w:r w:rsidRPr="00340E4C">
              <w:t>A</w:t>
            </w:r>
          </w:p>
        </w:tc>
        <w:tc>
          <w:tcPr>
            <w:tcW w:w="4715" w:type="dxa"/>
          </w:tcPr>
          <w:p w:rsidR="008121E9" w:rsidRPr="00340E4C" w:rsidRDefault="008121E9" w:rsidP="008121E9">
            <w:r w:rsidRPr="00340E4C">
              <w:t>odpisy</w:t>
            </w:r>
          </w:p>
        </w:tc>
        <w:tc>
          <w:tcPr>
            <w:tcW w:w="4715" w:type="dxa"/>
          </w:tcPr>
          <w:p w:rsidR="008121E9" w:rsidRPr="00340E4C" w:rsidRDefault="008121E9" w:rsidP="008121E9">
            <w:pPr>
              <w:jc w:val="right"/>
            </w:pPr>
            <w:r w:rsidRPr="00340E4C">
              <w:t>20</w:t>
            </w:r>
          </w:p>
        </w:tc>
      </w:tr>
      <w:tr w:rsidR="008121E9" w:rsidRPr="00340E4C" w:rsidTr="008121E9">
        <w:tc>
          <w:tcPr>
            <w:tcW w:w="4714" w:type="dxa"/>
          </w:tcPr>
          <w:p w:rsidR="008121E9" w:rsidRPr="00340E4C" w:rsidRDefault="008121E9" w:rsidP="008121E9">
            <w:r w:rsidRPr="00340E4C">
              <w:t>C</w:t>
            </w:r>
          </w:p>
        </w:tc>
        <w:tc>
          <w:tcPr>
            <w:tcW w:w="4715" w:type="dxa"/>
          </w:tcPr>
          <w:p w:rsidR="008121E9" w:rsidRPr="00340E4C" w:rsidRDefault="008121E9" w:rsidP="008121E9">
            <w:r w:rsidRPr="00340E4C">
              <w:t>Spotřební výdaje domácností</w:t>
            </w:r>
          </w:p>
        </w:tc>
        <w:tc>
          <w:tcPr>
            <w:tcW w:w="4715" w:type="dxa"/>
          </w:tcPr>
          <w:p w:rsidR="008121E9" w:rsidRPr="00340E4C" w:rsidRDefault="008121E9" w:rsidP="008121E9">
            <w:pPr>
              <w:jc w:val="right"/>
            </w:pPr>
            <w:r w:rsidRPr="00340E4C">
              <w:t>250</w:t>
            </w:r>
          </w:p>
        </w:tc>
      </w:tr>
      <w:tr w:rsidR="008121E9" w:rsidRPr="00340E4C" w:rsidTr="008121E9">
        <w:tc>
          <w:tcPr>
            <w:tcW w:w="4714" w:type="dxa"/>
          </w:tcPr>
          <w:p w:rsidR="008121E9" w:rsidRPr="00340E4C" w:rsidRDefault="008121E9" w:rsidP="008121E9">
            <w:r w:rsidRPr="00340E4C">
              <w:t>G</w:t>
            </w:r>
          </w:p>
        </w:tc>
        <w:tc>
          <w:tcPr>
            <w:tcW w:w="4715" w:type="dxa"/>
          </w:tcPr>
          <w:p w:rsidR="008121E9" w:rsidRPr="00340E4C" w:rsidRDefault="008121E9" w:rsidP="008121E9">
            <w:r w:rsidRPr="00340E4C">
              <w:t>Vládní nákupy</w:t>
            </w:r>
          </w:p>
        </w:tc>
        <w:tc>
          <w:tcPr>
            <w:tcW w:w="4715" w:type="dxa"/>
          </w:tcPr>
          <w:p w:rsidR="008121E9" w:rsidRPr="00340E4C" w:rsidRDefault="008121E9" w:rsidP="008121E9">
            <w:pPr>
              <w:jc w:val="right"/>
            </w:pPr>
            <w:r w:rsidRPr="00340E4C">
              <w:t>70</w:t>
            </w:r>
          </w:p>
        </w:tc>
      </w:tr>
      <w:tr w:rsidR="008121E9" w:rsidRPr="00340E4C" w:rsidTr="008121E9">
        <w:tc>
          <w:tcPr>
            <w:tcW w:w="4714" w:type="dxa"/>
          </w:tcPr>
          <w:p w:rsidR="008121E9" w:rsidRPr="00340E4C" w:rsidRDefault="008121E9" w:rsidP="008121E9">
            <w:r w:rsidRPr="00340E4C">
              <w:t>NX</w:t>
            </w:r>
          </w:p>
        </w:tc>
        <w:tc>
          <w:tcPr>
            <w:tcW w:w="4715" w:type="dxa"/>
          </w:tcPr>
          <w:p w:rsidR="008121E9" w:rsidRPr="00340E4C" w:rsidRDefault="008121E9" w:rsidP="008121E9">
            <w:r w:rsidRPr="00340E4C">
              <w:t>Čisté exporty</w:t>
            </w:r>
          </w:p>
        </w:tc>
        <w:tc>
          <w:tcPr>
            <w:tcW w:w="4715" w:type="dxa"/>
          </w:tcPr>
          <w:p w:rsidR="008121E9" w:rsidRPr="00340E4C" w:rsidRDefault="008121E9" w:rsidP="008121E9">
            <w:pPr>
              <w:jc w:val="right"/>
            </w:pPr>
            <w:r w:rsidRPr="00340E4C">
              <w:t>-20</w:t>
            </w:r>
          </w:p>
        </w:tc>
      </w:tr>
    </w:tbl>
    <w:p w:rsidR="008121E9" w:rsidRPr="00340E4C" w:rsidRDefault="008121E9" w:rsidP="008121E9">
      <w:pPr>
        <w:ind w:left="708"/>
      </w:pPr>
    </w:p>
    <w:p w:rsidR="008121E9" w:rsidRPr="00340E4C" w:rsidRDefault="008121E9" w:rsidP="008121E9">
      <w:pPr>
        <w:ind w:left="708"/>
      </w:pPr>
      <w:r w:rsidRPr="00340E4C">
        <w:t>Otázky:</w:t>
      </w:r>
    </w:p>
    <w:p w:rsidR="008121E9" w:rsidRPr="00340E4C" w:rsidRDefault="008121E9" w:rsidP="001741A7">
      <w:pPr>
        <w:pStyle w:val="Listenabsatz"/>
        <w:numPr>
          <w:ilvl w:val="0"/>
          <w:numId w:val="30"/>
        </w:numPr>
        <w:spacing w:after="0" w:line="240" w:lineRule="auto"/>
        <w:rPr>
          <w:sz w:val="24"/>
          <w:szCs w:val="24"/>
          <w:lang w:val="cs-CZ"/>
        </w:rPr>
      </w:pPr>
      <w:r w:rsidRPr="00340E4C">
        <w:rPr>
          <w:sz w:val="24"/>
          <w:szCs w:val="24"/>
          <w:lang w:val="cs-CZ"/>
        </w:rPr>
        <w:t>HDP?</w:t>
      </w:r>
    </w:p>
    <w:p w:rsidR="008121E9" w:rsidRPr="00340E4C" w:rsidRDefault="008121E9" w:rsidP="001741A7">
      <w:pPr>
        <w:pStyle w:val="Listenabsatz"/>
        <w:numPr>
          <w:ilvl w:val="0"/>
          <w:numId w:val="30"/>
        </w:numPr>
        <w:spacing w:after="0" w:line="240" w:lineRule="auto"/>
        <w:rPr>
          <w:sz w:val="24"/>
          <w:szCs w:val="24"/>
          <w:lang w:val="cs-CZ"/>
        </w:rPr>
      </w:pPr>
      <w:r w:rsidRPr="00340E4C">
        <w:rPr>
          <w:sz w:val="24"/>
          <w:szCs w:val="24"/>
          <w:lang w:val="cs-CZ"/>
        </w:rPr>
        <w:t>Čisté soukromé domácí investice?</w:t>
      </w:r>
    </w:p>
    <w:p w:rsidR="008121E9" w:rsidRPr="00340E4C" w:rsidRDefault="008121E9" w:rsidP="001741A7">
      <w:pPr>
        <w:pStyle w:val="Listenabsatz"/>
        <w:numPr>
          <w:ilvl w:val="0"/>
          <w:numId w:val="30"/>
        </w:numPr>
        <w:spacing w:after="0" w:line="240" w:lineRule="auto"/>
        <w:rPr>
          <w:sz w:val="24"/>
          <w:szCs w:val="24"/>
          <w:lang w:val="cs-CZ"/>
        </w:rPr>
      </w:pPr>
      <w:r w:rsidRPr="00340E4C">
        <w:rPr>
          <w:sz w:val="24"/>
          <w:szCs w:val="24"/>
          <w:lang w:val="cs-CZ"/>
        </w:rPr>
        <w:t>Importy?</w:t>
      </w:r>
    </w:p>
    <w:p w:rsidR="008121E9" w:rsidRPr="00340E4C" w:rsidRDefault="008121E9" w:rsidP="001741A7">
      <w:pPr>
        <w:pStyle w:val="Listenabsatz"/>
        <w:numPr>
          <w:ilvl w:val="0"/>
          <w:numId w:val="30"/>
        </w:numPr>
        <w:spacing w:after="0" w:line="240" w:lineRule="auto"/>
        <w:rPr>
          <w:sz w:val="24"/>
          <w:szCs w:val="24"/>
          <w:lang w:val="cs-CZ"/>
        </w:rPr>
      </w:pPr>
      <w:r w:rsidRPr="00340E4C">
        <w:rPr>
          <w:sz w:val="24"/>
          <w:szCs w:val="24"/>
          <w:lang w:val="cs-CZ"/>
        </w:rPr>
        <w:t>Celkové daně?</w:t>
      </w:r>
    </w:p>
    <w:p w:rsidR="008121E9" w:rsidRPr="00340E4C" w:rsidRDefault="008121E9" w:rsidP="001741A7">
      <w:pPr>
        <w:pStyle w:val="Listenabsatz"/>
        <w:numPr>
          <w:ilvl w:val="0"/>
          <w:numId w:val="30"/>
        </w:numPr>
        <w:spacing w:after="0" w:line="240" w:lineRule="auto"/>
        <w:rPr>
          <w:sz w:val="24"/>
          <w:szCs w:val="24"/>
          <w:lang w:val="cs-CZ"/>
        </w:rPr>
      </w:pPr>
      <w:r w:rsidRPr="00340E4C">
        <w:rPr>
          <w:sz w:val="24"/>
          <w:szCs w:val="24"/>
          <w:lang w:val="cs-CZ"/>
        </w:rPr>
        <w:t xml:space="preserve">Rozpočtové saldo BS? </w:t>
      </w:r>
    </w:p>
    <w:p w:rsidR="008121E9" w:rsidRPr="00340E4C" w:rsidRDefault="008121E9" w:rsidP="001741A7">
      <w:pPr>
        <w:pStyle w:val="Listenabsatz"/>
        <w:numPr>
          <w:ilvl w:val="0"/>
          <w:numId w:val="30"/>
        </w:numPr>
        <w:spacing w:after="0" w:line="240" w:lineRule="auto"/>
        <w:rPr>
          <w:sz w:val="24"/>
          <w:szCs w:val="24"/>
          <w:lang w:val="cs-CZ"/>
        </w:rPr>
      </w:pPr>
      <w:r w:rsidRPr="00340E4C">
        <w:rPr>
          <w:sz w:val="24"/>
          <w:szCs w:val="24"/>
          <w:lang w:val="cs-CZ"/>
        </w:rPr>
        <w:t xml:space="preserve">ČDP? </w:t>
      </w:r>
    </w:p>
    <w:p w:rsidR="008121E9" w:rsidRPr="00340E4C" w:rsidRDefault="008121E9" w:rsidP="008121E9"/>
    <w:p w:rsidR="008121E9" w:rsidRPr="00340E4C" w:rsidRDefault="008121E9" w:rsidP="008121E9"/>
    <w:p w:rsidR="008121E9" w:rsidRPr="00D0758B" w:rsidRDefault="008121E9" w:rsidP="001741A7">
      <w:pPr>
        <w:pStyle w:val="Listenabsatz"/>
        <w:numPr>
          <w:ilvl w:val="0"/>
          <w:numId w:val="28"/>
        </w:numPr>
        <w:spacing w:after="0" w:line="240" w:lineRule="auto"/>
        <w:rPr>
          <w:rFonts w:ascii="Times New Roman" w:hAnsi="Times New Roman"/>
          <w:sz w:val="24"/>
          <w:szCs w:val="24"/>
          <w:lang w:val="cs-CZ"/>
        </w:rPr>
      </w:pPr>
      <w:r w:rsidRPr="00D0758B">
        <w:rPr>
          <w:rFonts w:ascii="Times New Roman" w:hAnsi="Times New Roman"/>
          <w:sz w:val="24"/>
          <w:szCs w:val="24"/>
          <w:lang w:val="cs-CZ"/>
        </w:rPr>
        <w:t>HDP v cenách výrobních faktorů (Pošta 4b/21): Ekonomika je charakterizována následujícími údaji:</w:t>
      </w:r>
    </w:p>
    <w:tbl>
      <w:tblPr>
        <w:tblStyle w:val="Tabellenraster"/>
        <w:tblW w:w="0" w:type="auto"/>
        <w:tblInd w:w="675" w:type="dxa"/>
        <w:tblLook w:val="04A0" w:firstRow="1" w:lastRow="0" w:firstColumn="1" w:lastColumn="0" w:noHBand="0" w:noVBand="1"/>
      </w:tblPr>
      <w:tblGrid>
        <w:gridCol w:w="22"/>
        <w:gridCol w:w="4231"/>
        <w:gridCol w:w="4338"/>
        <w:gridCol w:w="22"/>
      </w:tblGrid>
      <w:tr w:rsidR="008121E9" w:rsidRPr="00D0758B" w:rsidTr="00986E0F">
        <w:trPr>
          <w:gridBefore w:val="1"/>
          <w:wBefore w:w="22" w:type="dxa"/>
        </w:trPr>
        <w:tc>
          <w:tcPr>
            <w:tcW w:w="4231" w:type="dxa"/>
          </w:tcPr>
          <w:p w:rsidR="008121E9" w:rsidRPr="00D0758B" w:rsidRDefault="008121E9" w:rsidP="008121E9">
            <w:pPr>
              <w:rPr>
                <w:i/>
              </w:rPr>
            </w:pPr>
            <w:r w:rsidRPr="00D0758B">
              <w:rPr>
                <w:i/>
              </w:rPr>
              <w:t>Zisk před rozdělením</w:t>
            </w:r>
          </w:p>
        </w:tc>
        <w:tc>
          <w:tcPr>
            <w:tcW w:w="4360" w:type="dxa"/>
            <w:gridSpan w:val="2"/>
          </w:tcPr>
          <w:p w:rsidR="008121E9" w:rsidRPr="00D0758B" w:rsidRDefault="008121E9" w:rsidP="008121E9">
            <w:pPr>
              <w:jc w:val="right"/>
              <w:rPr>
                <w:i/>
              </w:rPr>
            </w:pPr>
            <w:r w:rsidRPr="00D0758B">
              <w:rPr>
                <w:i/>
              </w:rPr>
              <w:t>350</w:t>
            </w:r>
          </w:p>
        </w:tc>
      </w:tr>
      <w:tr w:rsidR="008121E9" w:rsidRPr="00D0758B" w:rsidTr="00986E0F">
        <w:trPr>
          <w:gridAfter w:val="1"/>
          <w:wAfter w:w="22" w:type="dxa"/>
        </w:trPr>
        <w:tc>
          <w:tcPr>
            <w:tcW w:w="4253" w:type="dxa"/>
            <w:gridSpan w:val="2"/>
          </w:tcPr>
          <w:p w:rsidR="008121E9" w:rsidRPr="00D0758B" w:rsidRDefault="008121E9" w:rsidP="008121E9">
            <w:r w:rsidRPr="00D0758B">
              <w:t>Čisté úroky</w:t>
            </w:r>
          </w:p>
        </w:tc>
        <w:tc>
          <w:tcPr>
            <w:tcW w:w="4338" w:type="dxa"/>
          </w:tcPr>
          <w:p w:rsidR="008121E9" w:rsidRPr="00D0758B" w:rsidRDefault="008121E9" w:rsidP="008121E9">
            <w:pPr>
              <w:jc w:val="right"/>
            </w:pPr>
            <w:r w:rsidRPr="00D0758B">
              <w:t>50</w:t>
            </w:r>
          </w:p>
        </w:tc>
      </w:tr>
      <w:tr w:rsidR="008121E9" w:rsidRPr="00D0758B" w:rsidTr="00986E0F">
        <w:trPr>
          <w:gridAfter w:val="1"/>
          <w:wAfter w:w="22" w:type="dxa"/>
        </w:trPr>
        <w:tc>
          <w:tcPr>
            <w:tcW w:w="4253" w:type="dxa"/>
            <w:gridSpan w:val="2"/>
          </w:tcPr>
          <w:p w:rsidR="008121E9" w:rsidRPr="00D0758B" w:rsidRDefault="008121E9" w:rsidP="008121E9">
            <w:r w:rsidRPr="00D0758B">
              <w:t>renty</w:t>
            </w:r>
          </w:p>
        </w:tc>
        <w:tc>
          <w:tcPr>
            <w:tcW w:w="4338" w:type="dxa"/>
          </w:tcPr>
          <w:p w:rsidR="008121E9" w:rsidRPr="00D0758B" w:rsidRDefault="008121E9" w:rsidP="008121E9">
            <w:pPr>
              <w:jc w:val="right"/>
            </w:pPr>
            <w:r w:rsidRPr="00D0758B">
              <w:t>200</w:t>
            </w:r>
          </w:p>
        </w:tc>
      </w:tr>
      <w:tr w:rsidR="008121E9" w:rsidRPr="00D0758B" w:rsidTr="00986E0F">
        <w:trPr>
          <w:gridAfter w:val="1"/>
          <w:wAfter w:w="22" w:type="dxa"/>
        </w:trPr>
        <w:tc>
          <w:tcPr>
            <w:tcW w:w="4253" w:type="dxa"/>
            <w:gridSpan w:val="2"/>
          </w:tcPr>
          <w:p w:rsidR="008121E9" w:rsidRPr="00D0758B" w:rsidRDefault="008121E9" w:rsidP="008121E9">
            <w:r w:rsidRPr="00D0758B">
              <w:t>odpisy</w:t>
            </w:r>
          </w:p>
        </w:tc>
        <w:tc>
          <w:tcPr>
            <w:tcW w:w="4338" w:type="dxa"/>
          </w:tcPr>
          <w:p w:rsidR="008121E9" w:rsidRPr="00D0758B" w:rsidRDefault="008121E9" w:rsidP="008121E9">
            <w:pPr>
              <w:jc w:val="right"/>
            </w:pPr>
            <w:r w:rsidRPr="00D0758B">
              <w:t>30</w:t>
            </w:r>
          </w:p>
        </w:tc>
      </w:tr>
      <w:tr w:rsidR="008121E9" w:rsidRPr="00D0758B" w:rsidTr="00986E0F">
        <w:trPr>
          <w:gridAfter w:val="1"/>
          <w:wAfter w:w="22" w:type="dxa"/>
        </w:trPr>
        <w:tc>
          <w:tcPr>
            <w:tcW w:w="4253" w:type="dxa"/>
            <w:gridSpan w:val="2"/>
          </w:tcPr>
          <w:p w:rsidR="008121E9" w:rsidRPr="00D0758B" w:rsidRDefault="008121E9" w:rsidP="008121E9">
            <w:r w:rsidRPr="00D0758B">
              <w:t>Důchody ze sebezaměstnání</w:t>
            </w:r>
          </w:p>
        </w:tc>
        <w:tc>
          <w:tcPr>
            <w:tcW w:w="4338" w:type="dxa"/>
          </w:tcPr>
          <w:p w:rsidR="008121E9" w:rsidRPr="00D0758B" w:rsidRDefault="008121E9" w:rsidP="008121E9">
            <w:pPr>
              <w:jc w:val="right"/>
            </w:pPr>
            <w:r w:rsidRPr="00D0758B">
              <w:t>80</w:t>
            </w:r>
          </w:p>
        </w:tc>
      </w:tr>
      <w:tr w:rsidR="008121E9" w:rsidRPr="00D0758B" w:rsidTr="00986E0F">
        <w:trPr>
          <w:gridAfter w:val="1"/>
          <w:wAfter w:w="22" w:type="dxa"/>
        </w:trPr>
        <w:tc>
          <w:tcPr>
            <w:tcW w:w="4253" w:type="dxa"/>
            <w:gridSpan w:val="2"/>
          </w:tcPr>
          <w:p w:rsidR="008121E9" w:rsidRPr="00D0758B" w:rsidRDefault="008121E9" w:rsidP="008121E9">
            <w:r w:rsidRPr="00D0758B">
              <w:t>investice</w:t>
            </w:r>
          </w:p>
        </w:tc>
        <w:tc>
          <w:tcPr>
            <w:tcW w:w="4338" w:type="dxa"/>
          </w:tcPr>
          <w:p w:rsidR="008121E9" w:rsidRPr="00D0758B" w:rsidRDefault="008121E9" w:rsidP="008121E9">
            <w:pPr>
              <w:jc w:val="right"/>
            </w:pPr>
            <w:r w:rsidRPr="00D0758B">
              <w:t>120</w:t>
            </w:r>
          </w:p>
        </w:tc>
      </w:tr>
      <w:tr w:rsidR="008121E9" w:rsidRPr="00D0758B" w:rsidTr="00986E0F">
        <w:trPr>
          <w:gridAfter w:val="1"/>
          <w:wAfter w:w="22" w:type="dxa"/>
        </w:trPr>
        <w:tc>
          <w:tcPr>
            <w:tcW w:w="4253" w:type="dxa"/>
            <w:gridSpan w:val="2"/>
          </w:tcPr>
          <w:p w:rsidR="008121E9" w:rsidRPr="00D0758B" w:rsidRDefault="008121E9" w:rsidP="008121E9">
            <w:r w:rsidRPr="00D0758B">
              <w:t>mzdy</w:t>
            </w:r>
          </w:p>
        </w:tc>
        <w:tc>
          <w:tcPr>
            <w:tcW w:w="4338" w:type="dxa"/>
          </w:tcPr>
          <w:p w:rsidR="008121E9" w:rsidRPr="00D0758B" w:rsidRDefault="008121E9" w:rsidP="008121E9">
            <w:pPr>
              <w:jc w:val="right"/>
            </w:pPr>
            <w:r w:rsidRPr="00D0758B">
              <w:t>800</w:t>
            </w:r>
          </w:p>
        </w:tc>
      </w:tr>
    </w:tbl>
    <w:p w:rsidR="008121E9" w:rsidRPr="00D0758B" w:rsidRDefault="008121E9" w:rsidP="008121E9">
      <w:r w:rsidRPr="00D0758B">
        <w:tab/>
        <w:t>Vypočtěte HDP v cenách výrobních faktorů!</w:t>
      </w:r>
    </w:p>
    <w:p w:rsidR="008121E9" w:rsidRPr="00D0758B" w:rsidRDefault="008121E9" w:rsidP="008121E9">
      <w:r w:rsidRPr="00D0758B">
        <w:tab/>
      </w:r>
    </w:p>
    <w:p w:rsidR="008121E9" w:rsidRPr="00D0758B" w:rsidRDefault="008121E9" w:rsidP="008121E9">
      <w:r w:rsidRPr="00D0758B">
        <w:tab/>
        <w:t xml:space="preserve">HDP = 1480+30=1510 </w:t>
      </w:r>
    </w:p>
    <w:p w:rsidR="008121E9" w:rsidRPr="00D0758B" w:rsidRDefault="008121E9" w:rsidP="008121E9"/>
    <w:p w:rsidR="008121E9" w:rsidRPr="00D0758B" w:rsidRDefault="008121E9" w:rsidP="001741A7">
      <w:pPr>
        <w:pStyle w:val="Listenabsatz"/>
        <w:numPr>
          <w:ilvl w:val="0"/>
          <w:numId w:val="28"/>
        </w:numPr>
        <w:spacing w:after="0" w:line="240" w:lineRule="auto"/>
        <w:rPr>
          <w:rFonts w:ascii="Times New Roman" w:hAnsi="Times New Roman"/>
          <w:sz w:val="24"/>
          <w:szCs w:val="24"/>
          <w:lang w:val="cs-CZ"/>
        </w:rPr>
      </w:pPr>
      <w:r w:rsidRPr="00D0758B">
        <w:rPr>
          <w:rFonts w:ascii="Times New Roman" w:hAnsi="Times New Roman"/>
          <w:sz w:val="24"/>
          <w:szCs w:val="24"/>
          <w:lang w:val="cs-CZ"/>
        </w:rPr>
        <w:t>Rovnovážná produkce v dvousektorové ekonomice (Soukup 2/53):</w:t>
      </w:r>
    </w:p>
    <w:p w:rsidR="008121E9" w:rsidRPr="00D0758B" w:rsidRDefault="008121E9" w:rsidP="008121E9">
      <w:pPr>
        <w:ind w:left="708"/>
      </w:pPr>
      <w:r w:rsidRPr="00D0758B">
        <w:t>Dvousektorová ekonomika má úsporovou fci: S = -200+0,2Yd a plánované investice Ip = 300 mld CZK. Vypočítejte rovnovážný produkt!</w:t>
      </w:r>
    </w:p>
    <w:p w:rsidR="008121E9" w:rsidRPr="00D0758B" w:rsidRDefault="008121E9" w:rsidP="008121E9">
      <w:pPr>
        <w:ind w:left="708"/>
      </w:pPr>
      <w:r w:rsidRPr="00D0758B">
        <w:t xml:space="preserve">Řešení: </w:t>
      </w:r>
    </w:p>
    <w:p w:rsidR="008121E9" w:rsidRPr="00D0758B" w:rsidRDefault="008121E9" w:rsidP="008121E9">
      <w:pPr>
        <w:ind w:left="708"/>
      </w:pPr>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1-c</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1-0,8</m:t>
              </m:r>
            </m:den>
          </m:f>
          <m:r>
            <w:rPr>
              <w:rFonts w:ascii="Cambria Math" w:hAnsi="Cambria Math"/>
            </w:rPr>
            <m:t>*</m:t>
          </m:r>
          <m:d>
            <m:dPr>
              <m:ctrlPr>
                <w:rPr>
                  <w:rFonts w:ascii="Cambria Math" w:hAnsi="Cambria Math"/>
                  <w:i/>
                </w:rPr>
              </m:ctrlPr>
            </m:dPr>
            <m:e>
              <m:r>
                <w:rPr>
                  <w:rFonts w:ascii="Cambria Math" w:hAnsi="Cambria Math"/>
                </w:rPr>
                <m:t>200+300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0,2</m:t>
              </m:r>
            </m:den>
          </m:f>
          <m:r>
            <w:rPr>
              <w:rFonts w:ascii="Cambria Math" w:hAnsi="Cambria Math"/>
            </w:rPr>
            <m:t>*500=2500</m:t>
          </m:r>
        </m:oMath>
      </m:oMathPara>
    </w:p>
    <w:p w:rsidR="008121E9" w:rsidRPr="00D0758B" w:rsidRDefault="008121E9" w:rsidP="008121E9">
      <w:pPr>
        <w:ind w:left="708"/>
      </w:pPr>
    </w:p>
    <w:p w:rsidR="004F4441" w:rsidRPr="00557111" w:rsidRDefault="004F4441" w:rsidP="001741A7">
      <w:pPr>
        <w:pStyle w:val="Listenabsatz"/>
        <w:numPr>
          <w:ilvl w:val="0"/>
          <w:numId w:val="28"/>
        </w:numPr>
        <w:spacing w:after="0" w:line="240" w:lineRule="auto"/>
        <w:rPr>
          <w:rFonts w:ascii="Times New Roman" w:hAnsi="Times New Roman"/>
          <w:sz w:val="24"/>
          <w:szCs w:val="24"/>
          <w:lang w:val="cs-CZ"/>
        </w:rPr>
      </w:pPr>
      <w:r w:rsidRPr="00D0758B">
        <w:rPr>
          <w:rFonts w:ascii="Times New Roman" w:hAnsi="Times New Roman"/>
          <w:sz w:val="24"/>
          <w:szCs w:val="24"/>
          <w:lang w:val="cs-CZ"/>
        </w:rPr>
        <w:t>Dvousekt</w:t>
      </w:r>
      <w:r w:rsidRPr="00557111">
        <w:rPr>
          <w:rFonts w:ascii="Times New Roman" w:hAnsi="Times New Roman"/>
          <w:sz w:val="24"/>
          <w:szCs w:val="24"/>
          <w:lang w:val="cs-CZ"/>
        </w:rPr>
        <w:t>orová ekonomika má tyto charakteristiky:</w:t>
      </w:r>
    </w:p>
    <w:p w:rsidR="004F4441" w:rsidRPr="00557111" w:rsidRDefault="004F4441" w:rsidP="004F4441">
      <w:pPr>
        <w:ind w:left="644"/>
      </w:pPr>
      <w:r w:rsidRPr="00557111">
        <w:t>s  = 0,3</w:t>
      </w:r>
    </w:p>
    <w:p w:rsidR="004F4441" w:rsidRPr="00557111" w:rsidRDefault="006647E4" w:rsidP="004F4441">
      <w:pPr>
        <w:ind w:left="644"/>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=200</m:t>
          </m:r>
        </m:oMath>
      </m:oMathPara>
    </w:p>
    <w:p w:rsidR="004F4441" w:rsidRPr="00557111" w:rsidRDefault="004F4441" w:rsidP="004F4441">
      <w:pPr>
        <w:ind w:left="644"/>
      </w:pPr>
      <w:r w:rsidRPr="00557111">
        <w:t xml:space="preserve">I = </w:t>
      </w:r>
      <w:r w:rsidR="00D0758B" w:rsidRPr="00557111">
        <w:t>5</w:t>
      </w:r>
      <w:r w:rsidRPr="00557111">
        <w:t>50</w:t>
      </w:r>
    </w:p>
    <w:p w:rsidR="004F4441" w:rsidRPr="00557111" w:rsidRDefault="004F4441" w:rsidP="00B55049">
      <w:pPr>
        <w:pStyle w:val="Listenabsatz"/>
        <w:numPr>
          <w:ilvl w:val="4"/>
          <w:numId w:val="1"/>
        </w:numPr>
        <w:spacing w:line="240" w:lineRule="auto"/>
        <w:ind w:left="1276" w:hanging="283"/>
        <w:rPr>
          <w:rFonts w:ascii="Times New Roman" w:hAnsi="Times New Roman"/>
          <w:sz w:val="24"/>
          <w:szCs w:val="24"/>
          <w:lang w:val="cs-CZ"/>
        </w:rPr>
      </w:pPr>
      <w:r w:rsidRPr="00557111">
        <w:rPr>
          <w:rFonts w:ascii="Times New Roman" w:hAnsi="Times New Roman"/>
          <w:sz w:val="24"/>
          <w:szCs w:val="24"/>
          <w:lang w:val="cs-CZ"/>
        </w:rPr>
        <w:t>Určete rovnovážnou produkci</w:t>
      </w:r>
    </w:p>
    <w:p w:rsidR="004F4441" w:rsidRPr="00557111" w:rsidRDefault="004F4441" w:rsidP="00B55049">
      <w:pPr>
        <w:pStyle w:val="Listenabsatz"/>
        <w:numPr>
          <w:ilvl w:val="4"/>
          <w:numId w:val="1"/>
        </w:numPr>
        <w:spacing w:line="240" w:lineRule="auto"/>
        <w:ind w:left="1276" w:hanging="283"/>
        <w:rPr>
          <w:rFonts w:ascii="Times New Roman" w:hAnsi="Times New Roman"/>
          <w:sz w:val="24"/>
          <w:szCs w:val="24"/>
          <w:lang w:val="cs-CZ"/>
        </w:rPr>
      </w:pPr>
      <w:r w:rsidRPr="00557111">
        <w:rPr>
          <w:rFonts w:ascii="Times New Roman" w:hAnsi="Times New Roman"/>
          <w:sz w:val="24"/>
          <w:szCs w:val="24"/>
          <w:lang w:val="cs-CZ"/>
        </w:rPr>
        <w:t>Jak se změní rovnovážný důchod, když investice vzrostou o 120</w:t>
      </w:r>
    </w:p>
    <w:p w:rsidR="004F4441" w:rsidRPr="00557111" w:rsidRDefault="004F4441" w:rsidP="00B55049">
      <w:pPr>
        <w:pStyle w:val="Listenabsatz"/>
        <w:numPr>
          <w:ilvl w:val="4"/>
          <w:numId w:val="1"/>
        </w:numPr>
        <w:spacing w:line="240" w:lineRule="auto"/>
        <w:ind w:left="1276" w:hanging="283"/>
        <w:rPr>
          <w:rFonts w:ascii="Times New Roman" w:hAnsi="Times New Roman"/>
          <w:sz w:val="24"/>
          <w:szCs w:val="24"/>
          <w:lang w:val="cs-CZ"/>
        </w:rPr>
      </w:pPr>
      <w:r w:rsidRPr="00557111">
        <w:rPr>
          <w:rFonts w:ascii="Times New Roman" w:hAnsi="Times New Roman"/>
          <w:sz w:val="24"/>
          <w:szCs w:val="24"/>
          <w:lang w:val="cs-CZ"/>
        </w:rPr>
        <w:t>Když Y = 2500 (viz a)), jaká je zde úroveň indukované spotřeby?</w:t>
      </w:r>
    </w:p>
    <w:p w:rsidR="004F4441" w:rsidRPr="00557111" w:rsidRDefault="004F4441" w:rsidP="00B55049">
      <w:pPr>
        <w:pStyle w:val="Listenabsatz"/>
        <w:numPr>
          <w:ilvl w:val="4"/>
          <w:numId w:val="1"/>
        </w:numPr>
        <w:spacing w:line="240" w:lineRule="auto"/>
        <w:ind w:left="1276" w:hanging="283"/>
        <w:rPr>
          <w:rFonts w:ascii="Times New Roman" w:hAnsi="Times New Roman"/>
          <w:lang w:val="cs-CZ"/>
        </w:rPr>
      </w:pPr>
      <w:r w:rsidRPr="00557111">
        <w:rPr>
          <w:rFonts w:ascii="Times New Roman" w:hAnsi="Times New Roman"/>
          <w:sz w:val="24"/>
          <w:szCs w:val="24"/>
          <w:lang w:val="cs-CZ"/>
        </w:rPr>
        <w:t>Zapište rovn</w:t>
      </w:r>
      <w:r w:rsidR="00DB06D6" w:rsidRPr="00557111">
        <w:rPr>
          <w:rFonts w:ascii="Times New Roman" w:hAnsi="Times New Roman"/>
          <w:sz w:val="24"/>
          <w:szCs w:val="24"/>
          <w:lang w:val="cs-CZ"/>
        </w:rPr>
        <w:t>i</w:t>
      </w:r>
      <w:r w:rsidRPr="00557111">
        <w:rPr>
          <w:rFonts w:ascii="Times New Roman" w:hAnsi="Times New Roman"/>
          <w:sz w:val="24"/>
          <w:szCs w:val="24"/>
          <w:lang w:val="cs-CZ"/>
        </w:rPr>
        <w:t>ci keynesovské spotřební funkce</w:t>
      </w:r>
    </w:p>
    <w:p w:rsidR="004F4441" w:rsidRPr="00557111" w:rsidRDefault="004F4441" w:rsidP="004F4441"/>
    <w:p w:rsidR="00B55049" w:rsidRPr="00557111" w:rsidRDefault="00B55049" w:rsidP="001741A7">
      <w:pPr>
        <w:pStyle w:val="Listenabsatz"/>
        <w:numPr>
          <w:ilvl w:val="0"/>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Odvoďte jednoduchý výdajový multiplikátor</w:t>
      </w:r>
      <w:r w:rsidR="00BA3F2A" w:rsidRPr="00557111">
        <w:rPr>
          <w:rFonts w:ascii="Times New Roman" w:hAnsi="Times New Roman"/>
          <w:sz w:val="24"/>
          <w:szCs w:val="24"/>
          <w:lang w:val="cs-CZ"/>
        </w:rPr>
        <w:t xml:space="preserve"> ve dvousektorové ekonomice</w:t>
      </w:r>
      <w:r w:rsidRPr="00557111">
        <w:rPr>
          <w:rFonts w:ascii="Times New Roman" w:hAnsi="Times New Roman"/>
          <w:sz w:val="24"/>
          <w:szCs w:val="24"/>
          <w:lang w:val="cs-CZ"/>
        </w:rPr>
        <w:t>!</w:t>
      </w:r>
    </w:p>
    <w:p w:rsidR="00BA3F2A" w:rsidRPr="00557111" w:rsidRDefault="00BA3F2A" w:rsidP="00BA3F2A"/>
    <w:p w:rsidR="00BA3F2A" w:rsidRPr="00557111" w:rsidRDefault="00BA3F2A" w:rsidP="001741A7">
      <w:pPr>
        <w:pStyle w:val="Listenabsatz"/>
        <w:numPr>
          <w:ilvl w:val="0"/>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 xml:space="preserve">Odvoďte jednoduchý výdajový multiplikátor v třísektorové ekonomice! </w:t>
      </w:r>
    </w:p>
    <w:p w:rsidR="00B55049" w:rsidRPr="00557111" w:rsidRDefault="00B55049" w:rsidP="00B55049"/>
    <w:p w:rsidR="008121E9" w:rsidRPr="00557111" w:rsidRDefault="008121E9" w:rsidP="001741A7">
      <w:pPr>
        <w:pStyle w:val="Listenabsatz"/>
        <w:numPr>
          <w:ilvl w:val="0"/>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Charakteristiky čtyřsektorové ekonomiky: Čtyřsektorová ekonomika je popsána následujícími údaji: sazba důchodové daně t = 0,2; mezní sklon ke spotřebě MPC = 0,7;  mezní sklon k importu m = 0,1; autonomní spotřeba Ca = 250; investiční výdaje I = 600; transferové platby vlády TR = 200; autonomní daně Ta = 150; vládní nákupy statků a služeb G = 300; export X = 800 a autonmní import Ma = 850. Vypočítejte:</w:t>
      </w:r>
    </w:p>
    <w:p w:rsidR="008121E9" w:rsidRPr="00557111" w:rsidRDefault="008121E9" w:rsidP="001741A7">
      <w:pPr>
        <w:pStyle w:val="Listenabsatz"/>
        <w:numPr>
          <w:ilvl w:val="1"/>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Výdajový multiplikátor čtyřsektorové ekonomiky:</w:t>
      </w:r>
    </w:p>
    <w:p w:rsidR="008121E9" w:rsidRPr="00557111" w:rsidRDefault="008121E9" w:rsidP="001741A7">
      <w:pPr>
        <w:pStyle w:val="Listenabsatz"/>
        <w:numPr>
          <w:ilvl w:val="1"/>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Rovnovážný produkt</w:t>
      </w:r>
    </w:p>
    <w:p w:rsidR="008121E9" w:rsidRPr="00557111" w:rsidRDefault="008121E9" w:rsidP="001741A7">
      <w:pPr>
        <w:pStyle w:val="Listenabsatz"/>
        <w:numPr>
          <w:ilvl w:val="1"/>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 xml:space="preserve">Velikost spotřeby na úrovni rovnovážného produktu: </w:t>
      </w:r>
    </w:p>
    <w:p w:rsidR="008121E9" w:rsidRPr="00557111" w:rsidRDefault="008121E9" w:rsidP="001741A7">
      <w:pPr>
        <w:pStyle w:val="Listenabsatz"/>
        <w:numPr>
          <w:ilvl w:val="1"/>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 xml:space="preserve">Velikost čistého exportu při rovnovážném produktu: </w:t>
      </w:r>
    </w:p>
    <w:p w:rsidR="00BF2545" w:rsidRPr="00557111" w:rsidRDefault="00BF2545" w:rsidP="00545B93"/>
    <w:p w:rsidR="008121E9" w:rsidRPr="00557111" w:rsidRDefault="008121E9" w:rsidP="001741A7">
      <w:pPr>
        <w:pStyle w:val="Listenabsatz"/>
        <w:numPr>
          <w:ilvl w:val="0"/>
          <w:numId w:val="28"/>
        </w:numPr>
        <w:spacing w:after="0" w:line="240" w:lineRule="auto"/>
        <w:rPr>
          <w:rFonts w:ascii="Times New Roman" w:hAnsi="Times New Roman"/>
          <w:sz w:val="24"/>
          <w:szCs w:val="24"/>
          <w:lang w:val="cs-CZ"/>
        </w:rPr>
      </w:pPr>
      <w:r w:rsidRPr="00557111">
        <w:rPr>
          <w:rFonts w:ascii="Times New Roman" w:hAnsi="Times New Roman"/>
          <w:sz w:val="24"/>
          <w:szCs w:val="24"/>
          <w:lang w:val="cs-CZ"/>
        </w:rPr>
        <w:t>AD-AS: Pošta 1/195: Zakreslete standardní průběh křivky AD a vysvětlete možné příčiny tohoto tvaru</w:t>
      </w:r>
      <w:r w:rsidR="00D0758B" w:rsidRPr="00557111">
        <w:rPr>
          <w:rFonts w:ascii="Times New Roman" w:hAnsi="Times New Roman"/>
          <w:sz w:val="24"/>
          <w:szCs w:val="24"/>
          <w:lang w:val="cs-CZ"/>
        </w:rPr>
        <w:t>!</w:t>
      </w:r>
    </w:p>
    <w:p w:rsidR="008121E9" w:rsidRPr="00557111" w:rsidRDefault="008121E9" w:rsidP="008121E9">
      <w:pPr>
        <w:ind w:left="644"/>
        <w:jc w:val="both"/>
        <w:rPr>
          <w:rFonts w:asciiTheme="minorHAnsi" w:hAnsiTheme="minorHAnsi" w:cstheme="minorHAnsi"/>
        </w:rPr>
      </w:pPr>
      <w:r w:rsidRPr="00557111">
        <w:rPr>
          <w:rFonts w:asciiTheme="minorHAnsi" w:hAnsiTheme="minorHAnsi" w:cstheme="minorHAnsi"/>
        </w:rPr>
        <w:t xml:space="preserve"> </w:t>
      </w:r>
    </w:p>
    <w:p w:rsidR="008121E9" w:rsidRPr="00557111"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557111">
        <w:rPr>
          <w:rFonts w:asciiTheme="minorHAnsi" w:hAnsiTheme="minorHAnsi" w:cstheme="minorHAnsi"/>
          <w:sz w:val="24"/>
          <w:szCs w:val="24"/>
          <w:lang w:val="cs-CZ"/>
        </w:rPr>
        <w:t>Vyjmenujte základní typy cyklů! (Pošta 2/114)</w:t>
      </w:r>
    </w:p>
    <w:p w:rsidR="008121E9" w:rsidRPr="00557111" w:rsidRDefault="008121E9" w:rsidP="008121E9">
      <w:pPr>
        <w:jc w:val="both"/>
        <w:rPr>
          <w:rFonts w:asciiTheme="minorHAnsi" w:hAnsiTheme="minorHAnsi" w:cstheme="minorHAnsi"/>
        </w:rPr>
      </w:pPr>
    </w:p>
    <w:p w:rsidR="008121E9" w:rsidRPr="00340E4C" w:rsidRDefault="008121E9" w:rsidP="001741A7">
      <w:pPr>
        <w:pStyle w:val="Listenabsatz"/>
        <w:numPr>
          <w:ilvl w:val="0"/>
          <w:numId w:val="3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Krátkodobé cykly (Kitchinovy) – několik měsíců, kolísání zásob, obtížně prokazatelné příčiny</w:t>
      </w:r>
    </w:p>
    <w:p w:rsidR="008121E9" w:rsidRPr="00340E4C" w:rsidRDefault="008121E9" w:rsidP="001741A7">
      <w:pPr>
        <w:pStyle w:val="Listenabsatz"/>
        <w:numPr>
          <w:ilvl w:val="0"/>
          <w:numId w:val="3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Střednědobé cykly (Juglarovy) – 8 – 12 let, střídání expanze a kontrakce. Příčiny: obnova fixního kapitálu, střídání generací komodit, zemědělské výkyvy apod. …</w:t>
      </w:r>
    </w:p>
    <w:p w:rsidR="008121E9" w:rsidRPr="00340E4C" w:rsidRDefault="008121E9" w:rsidP="001741A7">
      <w:pPr>
        <w:pStyle w:val="Listenabsatz"/>
        <w:numPr>
          <w:ilvl w:val="0"/>
          <w:numId w:val="3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Dlouhodobé cykly (několik desítek let) – Schumpeterovy  - inovační vlny, Kuznetsovy (investiční vlny 15 – 25 let), Kondratěvovy – 40 – 60 let</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rPr>
        <w:t xml:space="preserve">  </w:t>
      </w: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Charakterizujte dopady fáze expanze a kontrakce na státní rozpočet! (Pošta 6/114)</w:t>
      </w:r>
    </w:p>
    <w:p w:rsidR="008121E9" w:rsidRPr="00340E4C" w:rsidRDefault="008121E9" w:rsidP="001741A7">
      <w:pPr>
        <w:pStyle w:val="Listenabsatz"/>
        <w:numPr>
          <w:ilvl w:val="0"/>
          <w:numId w:val="3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Expanze: růst mezd, zisků a zaměstnanosti, tj. růst vládních příjmů a pokles vládních výdajů (pozor na mandatorní výdaje a vládní nákupy, proto ani růst nebývá spojen s přebytkovým státním rozpočtem)</w:t>
      </w:r>
    </w:p>
    <w:p w:rsidR="008121E9" w:rsidRPr="00340E4C" w:rsidRDefault="008121E9" w:rsidP="001741A7">
      <w:pPr>
        <w:pStyle w:val="Listenabsatz"/>
        <w:numPr>
          <w:ilvl w:val="0"/>
          <w:numId w:val="3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Kontrakce: analogický opak</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sz w:val="24"/>
          <w:szCs w:val="24"/>
          <w:lang w:val="cs-CZ"/>
        </w:rPr>
      </w:pPr>
      <w:r w:rsidRPr="00340E4C">
        <w:rPr>
          <w:sz w:val="24"/>
          <w:szCs w:val="24"/>
          <w:lang w:val="cs-CZ"/>
        </w:rPr>
        <w:t>Analýza trhu peněz, Soukup 1/64: Uvažujte Keynesovu poptávku po penězích. Nominální peněžní zásoba M = 10.000, citlivost poptávky po penězích na úrokovou míru h = 50, citlivost poptávky po penězích na důchod k = 0,5, index cenové hladiny P = 102% (neboli 1,02), reálný důchod Y = 20.500. Jak vysoká úroková míra vyrovnává poptávku po penězích s nabídkou?</w:t>
      </w:r>
    </w:p>
    <w:p w:rsidR="008121E9" w:rsidRPr="00340E4C" w:rsidRDefault="008121E9" w:rsidP="008121E9">
      <w:pPr>
        <w:ind w:left="708"/>
        <w:jc w:val="both"/>
      </w:pPr>
    </w:p>
    <w:p w:rsidR="008121E9" w:rsidRPr="00340E4C" w:rsidRDefault="008121E9" w:rsidP="008121E9">
      <w:pPr>
        <w:jc w:val="both"/>
      </w:pPr>
    </w:p>
    <w:p w:rsidR="008121E9" w:rsidRPr="00340E4C" w:rsidRDefault="008121E9" w:rsidP="001741A7">
      <w:pPr>
        <w:pStyle w:val="Listenabsatz"/>
        <w:numPr>
          <w:ilvl w:val="0"/>
          <w:numId w:val="28"/>
        </w:numPr>
        <w:spacing w:after="0" w:line="240" w:lineRule="auto"/>
        <w:jc w:val="both"/>
        <w:rPr>
          <w:sz w:val="24"/>
          <w:szCs w:val="24"/>
          <w:lang w:val="cs-CZ"/>
        </w:rPr>
      </w:pPr>
      <w:r w:rsidRPr="00340E4C">
        <w:rPr>
          <w:sz w:val="24"/>
          <w:szCs w:val="24"/>
          <w:lang w:val="cs-CZ"/>
        </w:rPr>
        <w:t>Keynesova poptávka po penězích (Soukup 4/64): Využijte obecné vyjádření rovnovážné úrokové míry a prostřednictvím parciálních derivací zobecněte závěry o citlivosti změn rovnovážné úrokové míry při změnách nominální peněžní zásoby a důchodu na parametry h a k!</w:t>
      </w:r>
    </w:p>
    <w:p w:rsidR="008121E9" w:rsidRPr="00340E4C" w:rsidRDefault="008121E9" w:rsidP="008121E9">
      <w:pPr>
        <w:ind w:left="708"/>
        <w:jc w:val="both"/>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Odvoďte jednoduchý depozitní multiplikátor (Pošta 8/71)!</w:t>
      </w:r>
    </w:p>
    <w:p w:rsidR="008121E9" w:rsidRPr="00340E4C" w:rsidRDefault="008121E9" w:rsidP="008121E9">
      <w:pPr>
        <w:ind w:left="705"/>
        <w:jc w:val="both"/>
        <w:rPr>
          <w:rFonts w:asciiTheme="minorHAnsi" w:hAnsiTheme="minorHAnsi" w:cstheme="minorHAnsi"/>
        </w:rPr>
      </w:pPr>
    </w:p>
    <w:p w:rsidR="008A2D04" w:rsidRDefault="008A2D04" w:rsidP="001741A7">
      <w:pPr>
        <w:pStyle w:val="Listenabsatz"/>
        <w:numPr>
          <w:ilvl w:val="0"/>
          <w:numId w:val="28"/>
        </w:numPr>
        <w:spacing w:after="0" w:line="240" w:lineRule="auto"/>
        <w:jc w:val="both"/>
        <w:rPr>
          <w:rFonts w:asciiTheme="minorHAnsi" w:hAnsiTheme="minorHAnsi" w:cstheme="minorHAnsi"/>
          <w:sz w:val="24"/>
          <w:szCs w:val="24"/>
          <w:lang w:val="cs-CZ"/>
        </w:rPr>
      </w:pPr>
      <w:r>
        <w:rPr>
          <w:rFonts w:asciiTheme="minorHAnsi" w:hAnsiTheme="minorHAnsi" w:cstheme="minorHAnsi"/>
          <w:sz w:val="24"/>
          <w:szCs w:val="24"/>
          <w:lang w:val="cs-CZ"/>
        </w:rPr>
        <w:t>Vliv povinných minimálních rezerv na objem peněz: Míra povinných minimálních rezerv je 15%. Centrální banka prodá soukromým subjektům obligace za 120. Oběživo neexistuje a dobrovolné rezervy jsou nula. Určete změnu M</w:t>
      </w:r>
      <w:r>
        <w:rPr>
          <w:rFonts w:asciiTheme="minorHAnsi" w:hAnsiTheme="minorHAnsi" w:cstheme="minorHAnsi"/>
          <w:sz w:val="24"/>
          <w:szCs w:val="24"/>
          <w:vertAlign w:val="subscript"/>
          <w:lang w:val="cs-CZ"/>
        </w:rPr>
        <w:t>1</w:t>
      </w:r>
      <w:r>
        <w:rPr>
          <w:rFonts w:asciiTheme="minorHAnsi" w:hAnsiTheme="minorHAnsi" w:cstheme="minorHAnsi"/>
          <w:sz w:val="24"/>
          <w:szCs w:val="24"/>
          <w:lang w:val="cs-CZ"/>
        </w:rPr>
        <w:t>!</w:t>
      </w: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Peněžní multiplikátor (4/70 Pošta): Centrální banka nakoupí od soukromé banky cenné papíry v hodnotě 100 a míra povinných minimálních rezerv je 10%. Předpokládejte, že v ekonomice existuje pouze jedna komerční banka. Znázorněte prvních pět kol procesu multiplikace bankovních depozit skrze bilanci komerční banka (neuvažujeme existenci oběživa. Vysvětlit proč!)</w:t>
      </w:r>
    </w:p>
    <w:p w:rsidR="00BF2545" w:rsidRDefault="00BF2545" w:rsidP="008121E9">
      <w:pPr>
        <w:ind w:left="644"/>
        <w:jc w:val="both"/>
        <w:rPr>
          <w:rFonts w:asciiTheme="minorHAnsi" w:hAnsiTheme="minorHAnsi" w:cstheme="minorHAnsi"/>
          <w:b/>
        </w:rPr>
      </w:pPr>
    </w:p>
    <w:p w:rsidR="008121E9" w:rsidRDefault="008121E9" w:rsidP="008121E9">
      <w:pPr>
        <w:ind w:left="644"/>
        <w:jc w:val="both"/>
        <w:rPr>
          <w:rFonts w:asciiTheme="minorHAnsi" w:hAnsiTheme="minorHAnsi" w:cstheme="minorHAnsi"/>
          <w:color w:val="FF0000"/>
        </w:rPr>
      </w:pPr>
      <w:r w:rsidRPr="00340E4C">
        <w:rPr>
          <w:rFonts w:asciiTheme="minorHAnsi" w:hAnsiTheme="minorHAnsi" w:cstheme="minorHAnsi"/>
          <w:b/>
        </w:rPr>
        <w:t>Řešení</w:t>
      </w:r>
      <w:r w:rsidRPr="00340E4C">
        <w:rPr>
          <w:rFonts w:asciiTheme="minorHAnsi" w:hAnsiTheme="minorHAnsi" w:cstheme="minorHAnsi"/>
        </w:rPr>
        <w:t xml:space="preserve">:  </w:t>
      </w:r>
      <w:r w:rsidRPr="00340E4C">
        <w:rPr>
          <w:rFonts w:asciiTheme="minorHAnsi" w:hAnsiTheme="minorHAnsi" w:cstheme="minorHAnsi"/>
          <w:color w:val="FF0000"/>
        </w:rPr>
        <w:t>Doporučuji nastudovat bilanci některé komerční banky!</w:t>
      </w:r>
    </w:p>
    <w:p w:rsidR="008121E9" w:rsidRPr="00340E4C" w:rsidRDefault="008121E9" w:rsidP="001741A7">
      <w:pPr>
        <w:pStyle w:val="Listenabsatz"/>
        <w:numPr>
          <w:ilvl w:val="0"/>
          <w:numId w:val="34"/>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Krok: centrální banka (CB) přijímá do povinných rezerv cenných papírů za 100. Komerční banka (KB) přesouvá v aktivech z položky CP 100 do položky PMR (povinné minimální rezervy):</w:t>
      </w:r>
    </w:p>
    <w:tbl>
      <w:tblPr>
        <w:tblStyle w:val="Tabellenraster"/>
        <w:tblW w:w="0" w:type="auto"/>
        <w:tblInd w:w="1004" w:type="dxa"/>
        <w:tblLook w:val="04A0" w:firstRow="1" w:lastRow="0" w:firstColumn="1" w:lastColumn="0" w:noHBand="0" w:noVBand="1"/>
      </w:tblPr>
      <w:tblGrid>
        <w:gridCol w:w="2155"/>
        <w:gridCol w:w="2166"/>
        <w:gridCol w:w="1956"/>
        <w:gridCol w:w="2007"/>
      </w:tblGrid>
      <w:tr w:rsidR="008121E9" w:rsidRPr="00340E4C" w:rsidTr="008121E9">
        <w:tc>
          <w:tcPr>
            <w:tcW w:w="6609"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A</w:t>
            </w:r>
          </w:p>
        </w:tc>
        <w:tc>
          <w:tcPr>
            <w:tcW w:w="6607"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P</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PMR</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+100</w:t>
            </w:r>
          </w:p>
        </w:tc>
        <w:tc>
          <w:tcPr>
            <w:tcW w:w="3303" w:type="dxa"/>
          </w:tcPr>
          <w:p w:rsidR="008121E9" w:rsidRPr="00340E4C" w:rsidRDefault="008121E9" w:rsidP="008121E9">
            <w:pPr>
              <w:jc w:val="right"/>
              <w:rPr>
                <w:rFonts w:asciiTheme="minorHAnsi" w:hAnsiTheme="minorHAnsi" w:cstheme="minorHAnsi"/>
              </w:rPr>
            </w:pP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CP</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-100</w:t>
            </w:r>
          </w:p>
        </w:tc>
        <w:tc>
          <w:tcPr>
            <w:tcW w:w="3303" w:type="dxa"/>
          </w:tcPr>
          <w:p w:rsidR="008121E9" w:rsidRPr="00340E4C" w:rsidRDefault="008121E9" w:rsidP="008121E9">
            <w:pPr>
              <w:jc w:val="right"/>
              <w:rPr>
                <w:rFonts w:asciiTheme="minorHAnsi" w:hAnsiTheme="minorHAnsi" w:cstheme="minorHAnsi"/>
              </w:rPr>
            </w:pP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w:t>
            </w:r>
          </w:p>
        </w:tc>
      </w:tr>
    </w:tbl>
    <w:p w:rsidR="008121E9" w:rsidRPr="00340E4C" w:rsidRDefault="008121E9" w:rsidP="001741A7">
      <w:pPr>
        <w:pStyle w:val="Listenabsatz"/>
        <w:numPr>
          <w:ilvl w:val="0"/>
          <w:numId w:val="34"/>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Předchozím krokem KB zvýšila PMR nad potřebnou výši, proto poskytne úvěry, aby nebyly zbytečně rezervy vysoké:</w:t>
      </w:r>
    </w:p>
    <w:tbl>
      <w:tblPr>
        <w:tblStyle w:val="Tabellenraster"/>
        <w:tblW w:w="0" w:type="auto"/>
        <w:tblInd w:w="1004" w:type="dxa"/>
        <w:tblLook w:val="04A0" w:firstRow="1" w:lastRow="0" w:firstColumn="1" w:lastColumn="0" w:noHBand="0" w:noVBand="1"/>
      </w:tblPr>
      <w:tblGrid>
        <w:gridCol w:w="2381"/>
        <w:gridCol w:w="2098"/>
        <w:gridCol w:w="1875"/>
        <w:gridCol w:w="1930"/>
      </w:tblGrid>
      <w:tr w:rsidR="008121E9" w:rsidRPr="00340E4C" w:rsidTr="008121E9">
        <w:tc>
          <w:tcPr>
            <w:tcW w:w="6609"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A</w:t>
            </w:r>
          </w:p>
        </w:tc>
        <w:tc>
          <w:tcPr>
            <w:tcW w:w="6607"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P</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PMR</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-100</w:t>
            </w:r>
          </w:p>
        </w:tc>
        <w:tc>
          <w:tcPr>
            <w:tcW w:w="3303" w:type="dxa"/>
          </w:tcPr>
          <w:p w:rsidR="008121E9" w:rsidRPr="00340E4C" w:rsidRDefault="008121E9" w:rsidP="008121E9">
            <w:pPr>
              <w:jc w:val="right"/>
              <w:rPr>
                <w:rFonts w:asciiTheme="minorHAnsi" w:hAnsiTheme="minorHAnsi" w:cstheme="minorHAnsi"/>
              </w:rPr>
            </w:pP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Poskytnuté úvěry</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 xml:space="preserve">+100 </w:t>
            </w:r>
          </w:p>
        </w:tc>
        <w:tc>
          <w:tcPr>
            <w:tcW w:w="3303" w:type="dxa"/>
          </w:tcPr>
          <w:p w:rsidR="008121E9" w:rsidRPr="00340E4C" w:rsidRDefault="008121E9" w:rsidP="008121E9">
            <w:pPr>
              <w:jc w:val="right"/>
              <w:rPr>
                <w:rFonts w:asciiTheme="minorHAnsi" w:hAnsiTheme="minorHAnsi" w:cstheme="minorHAnsi"/>
              </w:rPr>
            </w:pP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w:t>
            </w:r>
          </w:p>
        </w:tc>
      </w:tr>
    </w:tbl>
    <w:p w:rsidR="008121E9" w:rsidRPr="00340E4C" w:rsidRDefault="008121E9" w:rsidP="001741A7">
      <w:pPr>
        <w:pStyle w:val="Listenabsatz"/>
        <w:numPr>
          <w:ilvl w:val="0"/>
          <w:numId w:val="34"/>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Neuvažujeme oběživo a uvažujeme pouze jednu KB, proto se poskytnuté úvěry dříve či později objeví na straně pasiv jako vklady a banka je co nejrychleji poskytne jako úvěry, ovšem 10% musí ponechat jako PMR:</w:t>
      </w:r>
    </w:p>
    <w:tbl>
      <w:tblPr>
        <w:tblStyle w:val="Tabellenraster"/>
        <w:tblW w:w="0" w:type="auto"/>
        <w:tblInd w:w="1004" w:type="dxa"/>
        <w:tblLook w:val="04A0" w:firstRow="1" w:lastRow="0" w:firstColumn="1" w:lastColumn="0" w:noHBand="0" w:noVBand="1"/>
      </w:tblPr>
      <w:tblGrid>
        <w:gridCol w:w="2300"/>
        <w:gridCol w:w="1931"/>
        <w:gridCol w:w="2061"/>
        <w:gridCol w:w="1992"/>
      </w:tblGrid>
      <w:tr w:rsidR="008121E9" w:rsidRPr="00340E4C" w:rsidTr="008121E9">
        <w:tc>
          <w:tcPr>
            <w:tcW w:w="6609"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A</w:t>
            </w:r>
          </w:p>
        </w:tc>
        <w:tc>
          <w:tcPr>
            <w:tcW w:w="6607"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P</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PMR</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+10</w:t>
            </w:r>
          </w:p>
        </w:tc>
        <w:tc>
          <w:tcPr>
            <w:tcW w:w="3303"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vklady</w:t>
            </w: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+100</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Poskytnuté úvěry</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+90</w:t>
            </w:r>
          </w:p>
        </w:tc>
        <w:tc>
          <w:tcPr>
            <w:tcW w:w="3303" w:type="dxa"/>
          </w:tcPr>
          <w:p w:rsidR="008121E9" w:rsidRPr="00340E4C" w:rsidRDefault="008121E9" w:rsidP="008121E9">
            <w:pPr>
              <w:jc w:val="right"/>
              <w:rPr>
                <w:rFonts w:asciiTheme="minorHAnsi" w:hAnsiTheme="minorHAnsi" w:cstheme="minorHAnsi"/>
              </w:rPr>
            </w:pP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w:t>
            </w:r>
          </w:p>
        </w:tc>
      </w:tr>
    </w:tbl>
    <w:p w:rsidR="008121E9" w:rsidRPr="00340E4C" w:rsidRDefault="008121E9" w:rsidP="001741A7">
      <w:pPr>
        <w:pStyle w:val="Listenabsatz"/>
        <w:numPr>
          <w:ilvl w:val="0"/>
          <w:numId w:val="34"/>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Opakuje se krok 3, tentokrát s částkou 90. Celková změna bilance je:</w:t>
      </w:r>
    </w:p>
    <w:tbl>
      <w:tblPr>
        <w:tblStyle w:val="Tabellenraster"/>
        <w:tblW w:w="0" w:type="auto"/>
        <w:tblInd w:w="1004" w:type="dxa"/>
        <w:tblLook w:val="04A0" w:firstRow="1" w:lastRow="0" w:firstColumn="1" w:lastColumn="0" w:noHBand="0" w:noVBand="1"/>
      </w:tblPr>
      <w:tblGrid>
        <w:gridCol w:w="2046"/>
        <w:gridCol w:w="2058"/>
        <w:gridCol w:w="2123"/>
        <w:gridCol w:w="2057"/>
      </w:tblGrid>
      <w:tr w:rsidR="008121E9" w:rsidRPr="00340E4C" w:rsidTr="008121E9">
        <w:tc>
          <w:tcPr>
            <w:tcW w:w="6609"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A</w:t>
            </w:r>
          </w:p>
        </w:tc>
        <w:tc>
          <w:tcPr>
            <w:tcW w:w="6607"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P</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PMR</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+19</w:t>
            </w:r>
          </w:p>
        </w:tc>
        <w:tc>
          <w:tcPr>
            <w:tcW w:w="3303"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vklady</w:t>
            </w: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+190</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CP</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+171</w:t>
            </w:r>
          </w:p>
        </w:tc>
        <w:tc>
          <w:tcPr>
            <w:tcW w:w="3303" w:type="dxa"/>
          </w:tcPr>
          <w:p w:rsidR="008121E9" w:rsidRPr="00340E4C" w:rsidRDefault="008121E9" w:rsidP="008121E9">
            <w:pPr>
              <w:jc w:val="right"/>
              <w:rPr>
                <w:rFonts w:asciiTheme="minorHAnsi" w:hAnsiTheme="minorHAnsi" w:cstheme="minorHAnsi"/>
              </w:rPr>
            </w:pP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w:t>
            </w:r>
          </w:p>
        </w:tc>
      </w:tr>
    </w:tbl>
    <w:p w:rsidR="008121E9" w:rsidRPr="00340E4C" w:rsidRDefault="008121E9" w:rsidP="001741A7">
      <w:pPr>
        <w:pStyle w:val="Listenabsatz"/>
        <w:numPr>
          <w:ilvl w:val="0"/>
          <w:numId w:val="34"/>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Opakuje se krok 3, tentokrát s částkou 81:</w:t>
      </w:r>
    </w:p>
    <w:tbl>
      <w:tblPr>
        <w:tblStyle w:val="Tabellenraster"/>
        <w:tblW w:w="0" w:type="auto"/>
        <w:tblInd w:w="1004" w:type="dxa"/>
        <w:tblLook w:val="04A0" w:firstRow="1" w:lastRow="0" w:firstColumn="1" w:lastColumn="0" w:noHBand="0" w:noVBand="1"/>
      </w:tblPr>
      <w:tblGrid>
        <w:gridCol w:w="2023"/>
        <w:gridCol w:w="2124"/>
        <w:gridCol w:w="2102"/>
        <w:gridCol w:w="2035"/>
      </w:tblGrid>
      <w:tr w:rsidR="008121E9" w:rsidRPr="00340E4C" w:rsidTr="008121E9">
        <w:tc>
          <w:tcPr>
            <w:tcW w:w="6609"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lastRenderedPageBreak/>
              <w:t>A</w:t>
            </w:r>
          </w:p>
        </w:tc>
        <w:tc>
          <w:tcPr>
            <w:tcW w:w="6607" w:type="dxa"/>
            <w:gridSpan w:val="2"/>
          </w:tcPr>
          <w:p w:rsidR="008121E9" w:rsidRPr="00340E4C" w:rsidRDefault="008121E9" w:rsidP="008121E9">
            <w:pPr>
              <w:jc w:val="center"/>
              <w:rPr>
                <w:rFonts w:asciiTheme="minorHAnsi" w:hAnsiTheme="minorHAnsi" w:cstheme="minorHAnsi"/>
                <w:b/>
              </w:rPr>
            </w:pPr>
            <w:r w:rsidRPr="00340E4C">
              <w:rPr>
                <w:rFonts w:asciiTheme="minorHAnsi" w:hAnsiTheme="minorHAnsi" w:cstheme="minorHAnsi"/>
                <w:b/>
              </w:rPr>
              <w:t>P</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PMR</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+27,1</w:t>
            </w:r>
          </w:p>
        </w:tc>
        <w:tc>
          <w:tcPr>
            <w:tcW w:w="3303"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vklady</w:t>
            </w: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+271</w:t>
            </w:r>
          </w:p>
        </w:tc>
      </w:tr>
      <w:tr w:rsidR="008121E9" w:rsidRPr="00340E4C" w:rsidTr="008121E9">
        <w:tc>
          <w:tcPr>
            <w:tcW w:w="3304"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CP</w:t>
            </w:r>
          </w:p>
        </w:tc>
        <w:tc>
          <w:tcPr>
            <w:tcW w:w="3305"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+243,9</w:t>
            </w:r>
          </w:p>
        </w:tc>
        <w:tc>
          <w:tcPr>
            <w:tcW w:w="3303" w:type="dxa"/>
          </w:tcPr>
          <w:p w:rsidR="008121E9" w:rsidRPr="00340E4C" w:rsidRDefault="008121E9" w:rsidP="008121E9">
            <w:pPr>
              <w:jc w:val="right"/>
              <w:rPr>
                <w:rFonts w:asciiTheme="minorHAnsi" w:hAnsiTheme="minorHAnsi" w:cstheme="minorHAnsi"/>
              </w:rPr>
            </w:pPr>
          </w:p>
        </w:tc>
        <w:tc>
          <w:tcPr>
            <w:tcW w:w="3304"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w:t>
            </w:r>
          </w:p>
        </w:tc>
      </w:tr>
    </w:tbl>
    <w:p w:rsidR="008121E9" w:rsidRPr="00340E4C" w:rsidRDefault="008121E9" w:rsidP="008121E9">
      <w:pPr>
        <w:jc w:val="both"/>
        <w:rPr>
          <w:rFonts w:asciiTheme="minorHAnsi" w:hAnsiTheme="minorHAnsi" w:cstheme="minorHAnsi"/>
        </w:rPr>
      </w:pPr>
    </w:p>
    <w:p w:rsidR="001242B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Trh peněz (9/71 Pošta). Poptávka po penězích je dána vzorcem L = k * Y – h * i</w:t>
      </w:r>
      <w:r w:rsidR="001242BC">
        <w:rPr>
          <w:rFonts w:asciiTheme="minorHAnsi" w:hAnsiTheme="minorHAnsi" w:cstheme="minorHAnsi"/>
          <w:sz w:val="24"/>
          <w:szCs w:val="24"/>
          <w:lang w:val="cs-CZ"/>
        </w:rPr>
        <w:t xml:space="preserve">, </w:t>
      </w:r>
    </w:p>
    <w:p w:rsidR="008121E9" w:rsidRPr="001242BC" w:rsidRDefault="001242BC" w:rsidP="001242BC">
      <w:pPr>
        <w:ind w:left="284" w:firstLine="360"/>
        <w:jc w:val="both"/>
        <w:rPr>
          <w:rFonts w:asciiTheme="minorHAnsi" w:hAnsiTheme="minorHAnsi" w:cstheme="minorHAnsi"/>
        </w:rPr>
      </w:pPr>
      <w:r w:rsidRPr="001242BC">
        <w:rPr>
          <w:rFonts w:asciiTheme="minorHAnsi" w:hAnsiTheme="minorHAnsi" w:cstheme="minorHAnsi"/>
        </w:rPr>
        <w:t>L = M/P</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rPr>
        <w:t>L = poptávka po penězích</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rPr>
        <w:t>k = 0,5 = koeficient závislosti poptávky po penězích na důchodu</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rPr>
        <w:t>Y = důchod</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rPr>
        <w:t xml:space="preserve">h = 70 = koeficient závislosti poptávky po penězích na úrokové sazbě </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rPr>
        <w:t>i = úroková sazba</w:t>
      </w:r>
    </w:p>
    <w:p w:rsidR="008121E9" w:rsidRPr="00340E4C" w:rsidRDefault="008121E9" w:rsidP="008121E9">
      <w:pPr>
        <w:ind w:left="644"/>
        <w:jc w:val="both"/>
        <w:rPr>
          <w:rFonts w:asciiTheme="minorHAnsi" w:hAnsiTheme="minorHAnsi" w:cstheme="minorHAnsi"/>
        </w:rPr>
      </w:pPr>
    </w:p>
    <w:p w:rsidR="008121E9" w:rsidRPr="00340E4C" w:rsidRDefault="008121E9" w:rsidP="001741A7">
      <w:pPr>
        <w:pStyle w:val="Listenabsatz"/>
        <w:numPr>
          <w:ilvl w:val="0"/>
          <w:numId w:val="35"/>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Napište rovnici poptávky po penězích pro důchod Y = 5000!</w:t>
      </w:r>
    </w:p>
    <w:p w:rsidR="008121E9" w:rsidRPr="00340E4C" w:rsidRDefault="008121E9" w:rsidP="001741A7">
      <w:pPr>
        <w:pStyle w:val="Listenabsatz"/>
        <w:numPr>
          <w:ilvl w:val="0"/>
          <w:numId w:val="35"/>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Předpokládejte, že peněžní nabídka je 2000. Spočítejte rovnovážnou úrokovou sazbu pro Y = 5000!</w:t>
      </w:r>
    </w:p>
    <w:p w:rsidR="00557111" w:rsidRPr="00557111" w:rsidRDefault="00557111" w:rsidP="00557111">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Intenzívní tvar produkční fce (4/229 Soukup): Vytvořte intenzivní tvar produkční fce </w:t>
      </w:r>
      <m:oMath>
        <m:r>
          <w:rPr>
            <w:rFonts w:ascii="Cambria Math" w:hAnsi="Cambria Math" w:cstheme="minorHAnsi"/>
            <w:sz w:val="24"/>
            <w:szCs w:val="24"/>
            <w:lang w:val="cs-CZ"/>
          </w:rPr>
          <m:t>Y=4×</m:t>
        </m:r>
        <m:sSup>
          <m:sSupPr>
            <m:ctrlPr>
              <w:rPr>
                <w:rFonts w:ascii="Cambria Math" w:hAnsi="Cambria Math" w:cstheme="minorHAnsi"/>
                <w:i/>
                <w:sz w:val="24"/>
                <w:szCs w:val="24"/>
                <w:lang w:val="cs-CZ"/>
              </w:rPr>
            </m:ctrlPr>
          </m:sSupPr>
          <m:e>
            <m:r>
              <w:rPr>
                <w:rFonts w:ascii="Cambria Math" w:hAnsi="Cambria Math" w:cstheme="minorHAnsi"/>
                <w:sz w:val="24"/>
                <w:szCs w:val="24"/>
                <w:lang w:val="cs-CZ"/>
              </w:rPr>
              <m:t>K</m:t>
            </m:r>
          </m:e>
          <m:sup>
            <m:f>
              <m:fPr>
                <m:ctrlPr>
                  <w:rPr>
                    <w:rFonts w:ascii="Cambria Math" w:hAnsi="Cambria Math" w:cstheme="minorHAnsi"/>
                    <w:i/>
                    <w:sz w:val="24"/>
                    <w:szCs w:val="24"/>
                    <w:lang w:val="cs-CZ"/>
                  </w:rPr>
                </m:ctrlPr>
              </m:fPr>
              <m:num>
                <m:r>
                  <w:rPr>
                    <w:rFonts w:ascii="Cambria Math" w:hAnsi="Cambria Math" w:cstheme="minorHAnsi"/>
                    <w:sz w:val="24"/>
                    <w:szCs w:val="24"/>
                    <w:lang w:val="cs-CZ"/>
                  </w:rPr>
                  <m:t>1</m:t>
                </m:r>
              </m:num>
              <m:den>
                <m:r>
                  <w:rPr>
                    <w:rFonts w:ascii="Cambria Math" w:hAnsi="Cambria Math" w:cstheme="minorHAnsi"/>
                    <w:sz w:val="24"/>
                    <w:szCs w:val="24"/>
                    <w:lang w:val="cs-CZ"/>
                  </w:rPr>
                  <m:t>2</m:t>
                </m:r>
              </m:den>
            </m:f>
          </m:sup>
        </m:sSup>
        <m:r>
          <w:rPr>
            <w:rFonts w:ascii="Cambria Math" w:hAnsi="Cambria Math" w:cstheme="minorHAnsi"/>
            <w:sz w:val="24"/>
            <w:szCs w:val="24"/>
            <w:lang w:val="cs-CZ"/>
          </w:rPr>
          <m:t>×</m:t>
        </m:r>
        <m:sSup>
          <m:sSupPr>
            <m:ctrlPr>
              <w:rPr>
                <w:rFonts w:ascii="Cambria Math" w:hAnsi="Cambria Math" w:cstheme="minorHAnsi"/>
                <w:i/>
                <w:sz w:val="24"/>
                <w:szCs w:val="24"/>
                <w:lang w:val="cs-CZ"/>
              </w:rPr>
            </m:ctrlPr>
          </m:sSupPr>
          <m:e>
            <m:r>
              <w:rPr>
                <w:rFonts w:ascii="Cambria Math" w:hAnsi="Cambria Math" w:cstheme="minorHAnsi"/>
                <w:sz w:val="24"/>
                <w:szCs w:val="24"/>
                <w:lang w:val="cs-CZ"/>
              </w:rPr>
              <m:t>L</m:t>
            </m:r>
          </m:e>
          <m:sup>
            <m:f>
              <m:fPr>
                <m:ctrlPr>
                  <w:rPr>
                    <w:rFonts w:ascii="Cambria Math" w:hAnsi="Cambria Math" w:cstheme="minorHAnsi"/>
                    <w:i/>
                    <w:sz w:val="24"/>
                    <w:szCs w:val="24"/>
                    <w:lang w:val="cs-CZ"/>
                  </w:rPr>
                </m:ctrlPr>
              </m:fPr>
              <m:num>
                <m:r>
                  <w:rPr>
                    <w:rFonts w:ascii="Cambria Math" w:hAnsi="Cambria Math" w:cstheme="minorHAnsi"/>
                    <w:sz w:val="24"/>
                    <w:szCs w:val="24"/>
                    <w:lang w:val="cs-CZ"/>
                  </w:rPr>
                  <m:t>1</m:t>
                </m:r>
              </m:num>
              <m:den>
                <m:r>
                  <w:rPr>
                    <w:rFonts w:ascii="Cambria Math" w:hAnsi="Cambria Math" w:cstheme="minorHAnsi"/>
                    <w:sz w:val="24"/>
                    <w:szCs w:val="24"/>
                    <w:lang w:val="cs-CZ"/>
                  </w:rPr>
                  <m:t>2</m:t>
                </m:r>
              </m:den>
            </m:f>
          </m:sup>
        </m:sSup>
      </m:oMath>
      <w:r w:rsidRPr="00340E4C">
        <w:rPr>
          <w:rFonts w:asciiTheme="minorHAnsi" w:hAnsiTheme="minorHAnsi" w:cstheme="minorHAnsi"/>
          <w:sz w:val="24"/>
          <w:szCs w:val="24"/>
          <w:lang w:val="cs-CZ"/>
        </w:rPr>
        <w:t>!</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Tempo růstu produktu: Produkční fce je </w:t>
      </w:r>
      <m:oMath>
        <m:r>
          <w:rPr>
            <w:rFonts w:ascii="Cambria Math" w:hAnsi="Cambria Math" w:cstheme="minorHAnsi"/>
            <w:sz w:val="24"/>
            <w:szCs w:val="24"/>
            <w:lang w:val="cs-CZ"/>
          </w:rPr>
          <m:t>Y=4×</m:t>
        </m:r>
        <m:sSup>
          <m:sSupPr>
            <m:ctrlPr>
              <w:rPr>
                <w:rFonts w:ascii="Cambria Math" w:hAnsi="Cambria Math" w:cstheme="minorHAnsi"/>
                <w:i/>
                <w:sz w:val="24"/>
                <w:szCs w:val="24"/>
                <w:lang w:val="cs-CZ"/>
              </w:rPr>
            </m:ctrlPr>
          </m:sSupPr>
          <m:e>
            <m:r>
              <w:rPr>
                <w:rFonts w:ascii="Cambria Math" w:hAnsi="Cambria Math" w:cstheme="minorHAnsi"/>
                <w:sz w:val="24"/>
                <w:szCs w:val="24"/>
                <w:lang w:val="cs-CZ"/>
              </w:rPr>
              <m:t>K</m:t>
            </m:r>
          </m:e>
          <m:sup>
            <m:f>
              <m:fPr>
                <m:ctrlPr>
                  <w:rPr>
                    <w:rFonts w:ascii="Cambria Math" w:hAnsi="Cambria Math" w:cstheme="minorHAnsi"/>
                    <w:i/>
                    <w:sz w:val="24"/>
                    <w:szCs w:val="24"/>
                    <w:lang w:val="cs-CZ"/>
                  </w:rPr>
                </m:ctrlPr>
              </m:fPr>
              <m:num>
                <m:r>
                  <w:rPr>
                    <w:rFonts w:ascii="Cambria Math" w:hAnsi="Cambria Math" w:cstheme="minorHAnsi"/>
                    <w:sz w:val="24"/>
                    <w:szCs w:val="24"/>
                    <w:lang w:val="cs-CZ"/>
                  </w:rPr>
                  <m:t>1</m:t>
                </m:r>
              </m:num>
              <m:den>
                <m:r>
                  <w:rPr>
                    <w:rFonts w:ascii="Cambria Math" w:hAnsi="Cambria Math" w:cstheme="minorHAnsi"/>
                    <w:sz w:val="24"/>
                    <w:szCs w:val="24"/>
                    <w:lang w:val="cs-CZ"/>
                  </w:rPr>
                  <m:t>2</m:t>
                </m:r>
              </m:den>
            </m:f>
          </m:sup>
        </m:sSup>
        <m:r>
          <w:rPr>
            <w:rFonts w:ascii="Cambria Math" w:hAnsi="Cambria Math" w:cstheme="minorHAnsi"/>
            <w:sz w:val="24"/>
            <w:szCs w:val="24"/>
            <w:lang w:val="cs-CZ"/>
          </w:rPr>
          <m:t>×</m:t>
        </m:r>
        <m:sSup>
          <m:sSupPr>
            <m:ctrlPr>
              <w:rPr>
                <w:rFonts w:ascii="Cambria Math" w:hAnsi="Cambria Math" w:cstheme="minorHAnsi"/>
                <w:i/>
                <w:sz w:val="24"/>
                <w:szCs w:val="24"/>
                <w:lang w:val="cs-CZ"/>
              </w:rPr>
            </m:ctrlPr>
          </m:sSupPr>
          <m:e>
            <m:r>
              <w:rPr>
                <w:rFonts w:ascii="Cambria Math" w:hAnsi="Cambria Math" w:cstheme="minorHAnsi"/>
                <w:sz w:val="24"/>
                <w:szCs w:val="24"/>
                <w:lang w:val="cs-CZ"/>
              </w:rPr>
              <m:t>L</m:t>
            </m:r>
          </m:e>
          <m:sup>
            <m:f>
              <m:fPr>
                <m:ctrlPr>
                  <w:rPr>
                    <w:rFonts w:ascii="Cambria Math" w:hAnsi="Cambria Math" w:cstheme="minorHAnsi"/>
                    <w:i/>
                    <w:sz w:val="24"/>
                    <w:szCs w:val="24"/>
                    <w:lang w:val="cs-CZ"/>
                  </w:rPr>
                </m:ctrlPr>
              </m:fPr>
              <m:num>
                <m:r>
                  <w:rPr>
                    <w:rFonts w:ascii="Cambria Math" w:hAnsi="Cambria Math" w:cstheme="minorHAnsi"/>
                    <w:sz w:val="24"/>
                    <w:szCs w:val="24"/>
                    <w:lang w:val="cs-CZ"/>
                  </w:rPr>
                  <m:t>1</m:t>
                </m:r>
              </m:num>
              <m:den>
                <m:r>
                  <w:rPr>
                    <w:rFonts w:ascii="Cambria Math" w:hAnsi="Cambria Math" w:cstheme="minorHAnsi"/>
                    <w:sz w:val="24"/>
                    <w:szCs w:val="24"/>
                    <w:lang w:val="cs-CZ"/>
                  </w:rPr>
                  <m:t>2,</m:t>
                </m:r>
              </m:den>
            </m:f>
          </m:sup>
        </m:sSup>
      </m:oMath>
      <w:r w:rsidRPr="00340E4C">
        <w:rPr>
          <w:rFonts w:asciiTheme="minorHAnsi" w:hAnsiTheme="minorHAnsi" w:cstheme="minorHAnsi"/>
          <w:sz w:val="24"/>
          <w:szCs w:val="24"/>
          <w:lang w:val="cs-CZ"/>
        </w:rPr>
        <w:t>. Souhrnná produktivita faktorů roste o 2%, počet pracovníků roste o 1% ročně a zásoba kapitálu roste o 2%. Určete tempo růstu produktu!</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Ekonomický růst, stabilní stav ekonomiky: Produkční funkce má tvar </w:t>
      </w:r>
      <m:oMath>
        <m:r>
          <w:rPr>
            <w:rFonts w:ascii="Cambria Math" w:hAnsi="Cambria Math" w:cstheme="minorHAnsi"/>
            <w:sz w:val="24"/>
            <w:szCs w:val="24"/>
            <w:lang w:val="cs-CZ"/>
          </w:rPr>
          <m:t>Y=4×</m:t>
        </m:r>
        <m:sSup>
          <m:sSupPr>
            <m:ctrlPr>
              <w:rPr>
                <w:rFonts w:ascii="Cambria Math" w:hAnsi="Cambria Math" w:cstheme="minorHAnsi"/>
                <w:i/>
                <w:sz w:val="24"/>
                <w:szCs w:val="24"/>
                <w:lang w:val="cs-CZ"/>
              </w:rPr>
            </m:ctrlPr>
          </m:sSupPr>
          <m:e>
            <m:r>
              <w:rPr>
                <w:rFonts w:ascii="Cambria Math" w:hAnsi="Cambria Math" w:cstheme="minorHAnsi"/>
                <w:sz w:val="24"/>
                <w:szCs w:val="24"/>
                <w:lang w:val="cs-CZ"/>
              </w:rPr>
              <m:t>K</m:t>
            </m:r>
          </m:e>
          <m:sup>
            <m:f>
              <m:fPr>
                <m:ctrlPr>
                  <w:rPr>
                    <w:rFonts w:ascii="Cambria Math" w:hAnsi="Cambria Math" w:cstheme="minorHAnsi"/>
                    <w:i/>
                    <w:sz w:val="24"/>
                    <w:szCs w:val="24"/>
                    <w:lang w:val="cs-CZ"/>
                  </w:rPr>
                </m:ctrlPr>
              </m:fPr>
              <m:num>
                <m:r>
                  <w:rPr>
                    <w:rFonts w:ascii="Cambria Math" w:hAnsi="Cambria Math" w:cstheme="minorHAnsi"/>
                    <w:sz w:val="24"/>
                    <w:szCs w:val="24"/>
                    <w:lang w:val="cs-CZ"/>
                  </w:rPr>
                  <m:t>1</m:t>
                </m:r>
              </m:num>
              <m:den>
                <m:r>
                  <w:rPr>
                    <w:rFonts w:ascii="Cambria Math" w:hAnsi="Cambria Math" w:cstheme="minorHAnsi"/>
                    <w:sz w:val="24"/>
                    <w:szCs w:val="24"/>
                    <w:lang w:val="cs-CZ"/>
                  </w:rPr>
                  <m:t>2</m:t>
                </m:r>
              </m:den>
            </m:f>
          </m:sup>
        </m:sSup>
        <m:r>
          <w:rPr>
            <w:rFonts w:ascii="Cambria Math" w:hAnsi="Cambria Math" w:cstheme="minorHAnsi"/>
            <w:sz w:val="24"/>
            <w:szCs w:val="24"/>
            <w:lang w:val="cs-CZ"/>
          </w:rPr>
          <m:t>×</m:t>
        </m:r>
        <m:sSup>
          <m:sSupPr>
            <m:ctrlPr>
              <w:rPr>
                <w:rFonts w:ascii="Cambria Math" w:hAnsi="Cambria Math" w:cstheme="minorHAnsi"/>
                <w:i/>
                <w:sz w:val="24"/>
                <w:szCs w:val="24"/>
                <w:lang w:val="cs-CZ"/>
              </w:rPr>
            </m:ctrlPr>
          </m:sSupPr>
          <m:e>
            <m:r>
              <w:rPr>
                <w:rFonts w:ascii="Cambria Math" w:hAnsi="Cambria Math" w:cstheme="minorHAnsi"/>
                <w:sz w:val="24"/>
                <w:szCs w:val="24"/>
                <w:lang w:val="cs-CZ"/>
              </w:rPr>
              <m:t>L</m:t>
            </m:r>
          </m:e>
          <m:sup>
            <m:f>
              <m:fPr>
                <m:ctrlPr>
                  <w:rPr>
                    <w:rFonts w:ascii="Cambria Math" w:hAnsi="Cambria Math" w:cstheme="minorHAnsi"/>
                    <w:i/>
                    <w:sz w:val="24"/>
                    <w:szCs w:val="24"/>
                    <w:lang w:val="cs-CZ"/>
                  </w:rPr>
                </m:ctrlPr>
              </m:fPr>
              <m:num>
                <m:r>
                  <w:rPr>
                    <w:rFonts w:ascii="Cambria Math" w:hAnsi="Cambria Math" w:cstheme="minorHAnsi"/>
                    <w:sz w:val="24"/>
                    <w:szCs w:val="24"/>
                    <w:lang w:val="cs-CZ"/>
                  </w:rPr>
                  <m:t>1</m:t>
                </m:r>
              </m:num>
              <m:den>
                <m:r>
                  <w:rPr>
                    <w:rFonts w:ascii="Cambria Math" w:hAnsi="Cambria Math" w:cstheme="minorHAnsi"/>
                    <w:sz w:val="24"/>
                    <w:szCs w:val="24"/>
                    <w:lang w:val="cs-CZ"/>
                  </w:rPr>
                  <m:t>2</m:t>
                </m:r>
              </m:den>
            </m:f>
          </m:sup>
        </m:sSup>
      </m:oMath>
      <w:r w:rsidRPr="00340E4C">
        <w:rPr>
          <w:rFonts w:asciiTheme="minorHAnsi" w:hAnsiTheme="minorHAnsi" w:cstheme="minorHAnsi"/>
          <w:sz w:val="24"/>
          <w:szCs w:val="24"/>
          <w:lang w:val="cs-CZ"/>
        </w:rPr>
        <w:t xml:space="preserve">. Míra odpisů </w:t>
      </w:r>
      <m:oMath>
        <m:r>
          <w:rPr>
            <w:rFonts w:ascii="Cambria Math" w:hAnsi="Cambria Math" w:cstheme="minorHAnsi"/>
            <w:sz w:val="24"/>
            <w:szCs w:val="24"/>
            <w:lang w:val="cs-CZ"/>
          </w:rPr>
          <m:t xml:space="preserve">δ=0,04. </m:t>
        </m:r>
      </m:oMath>
      <w:r w:rsidRPr="00340E4C">
        <w:rPr>
          <w:rFonts w:asciiTheme="minorHAnsi" w:hAnsiTheme="minorHAnsi" w:cstheme="minorHAnsi"/>
          <w:sz w:val="24"/>
          <w:szCs w:val="24"/>
          <w:lang w:val="cs-CZ"/>
        </w:rPr>
        <w:t>Míra úspor s = 25%. V ekonomice nenastávají technologické změny a míra růstu obyvatelstva je nulová. Vypočtěte vybavenost práce kapitálem (k), při níž ekonomika dospěje podle Solowova modelu do stabilního stavu!</w:t>
      </w:r>
    </w:p>
    <w:p w:rsidR="008121E9" w:rsidRPr="00340E4C" w:rsidRDefault="008121E9" w:rsidP="008121E9">
      <w:pPr>
        <w:ind w:left="644"/>
        <w:jc w:val="both"/>
        <w:rPr>
          <w:rFonts w:asciiTheme="minorHAnsi" w:hAnsiTheme="minorHAnsi" w:cstheme="minorHAnsi"/>
        </w:rPr>
      </w:pPr>
      <m:oMathPara>
        <m:oMath>
          <m:r>
            <w:rPr>
              <w:rFonts w:ascii="Cambria Math" w:hAnsi="Cambria Math" w:cstheme="minorHAnsi"/>
            </w:rPr>
            <m:t>k=</m:t>
          </m:r>
          <m:f>
            <m:fPr>
              <m:ctrlPr>
                <w:rPr>
                  <w:rFonts w:ascii="Cambria Math" w:hAnsi="Cambria Math" w:cstheme="minorHAnsi"/>
                  <w:i/>
                </w:rPr>
              </m:ctrlPr>
            </m:fPr>
            <m:num>
              <m:r>
                <w:rPr>
                  <w:rFonts w:ascii="Cambria Math" w:hAnsi="Cambria Math" w:cstheme="minorHAnsi"/>
                </w:rPr>
                <m:t>K</m:t>
              </m:r>
            </m:num>
            <m:den>
              <m:r>
                <w:rPr>
                  <w:rFonts w:ascii="Cambria Math" w:hAnsi="Cambria Math" w:cstheme="minorHAnsi"/>
                </w:rPr>
                <m:t>L</m:t>
              </m:r>
            </m:den>
          </m:f>
        </m:oMath>
      </m:oMathPara>
    </w:p>
    <w:p w:rsidR="008121E9" w:rsidRPr="00340E4C" w:rsidRDefault="008121E9" w:rsidP="008121E9">
      <w:pPr>
        <w:ind w:left="644"/>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Otevřená ekonomika, absolutní a komparativní výhody (1/130 Pošta): Ekonomiky A a B vyrábějí dva statky X a Y. Tabulka uvádí počet jednotek práce potřebných k výrobě jedné jednotky příslušného statku v každé zemi:</w:t>
      </w:r>
    </w:p>
    <w:tbl>
      <w:tblPr>
        <w:tblStyle w:val="Tabellenraster"/>
        <w:tblW w:w="0" w:type="auto"/>
        <w:tblInd w:w="2943" w:type="dxa"/>
        <w:tblLook w:val="04A0" w:firstRow="1" w:lastRow="0" w:firstColumn="1" w:lastColumn="0" w:noHBand="0" w:noVBand="1"/>
      </w:tblPr>
      <w:tblGrid>
        <w:gridCol w:w="709"/>
        <w:gridCol w:w="709"/>
        <w:gridCol w:w="709"/>
      </w:tblGrid>
      <w:tr w:rsidR="008121E9" w:rsidRPr="00340E4C" w:rsidTr="008121E9">
        <w:tc>
          <w:tcPr>
            <w:tcW w:w="709" w:type="dxa"/>
          </w:tcPr>
          <w:p w:rsidR="008121E9" w:rsidRPr="00340E4C" w:rsidRDefault="008121E9" w:rsidP="008121E9">
            <w:pPr>
              <w:jc w:val="center"/>
              <w:rPr>
                <w:rFonts w:asciiTheme="minorHAnsi" w:hAnsiTheme="minorHAnsi" w:cstheme="minorHAnsi"/>
              </w:rPr>
            </w:pPr>
          </w:p>
        </w:tc>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A</w:t>
            </w:r>
          </w:p>
        </w:tc>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B</w:t>
            </w:r>
          </w:p>
        </w:tc>
      </w:tr>
      <w:tr w:rsidR="008121E9" w:rsidRPr="00340E4C" w:rsidTr="008121E9">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X</w:t>
            </w:r>
          </w:p>
        </w:tc>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3</w:t>
            </w:r>
          </w:p>
        </w:tc>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7</w:t>
            </w:r>
          </w:p>
        </w:tc>
      </w:tr>
      <w:tr w:rsidR="008121E9" w:rsidRPr="00340E4C" w:rsidTr="008121E9">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y</w:t>
            </w:r>
          </w:p>
        </w:tc>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4</w:t>
            </w:r>
          </w:p>
        </w:tc>
        <w:tc>
          <w:tcPr>
            <w:tcW w:w="709" w:type="dxa"/>
          </w:tcPr>
          <w:p w:rsidR="008121E9" w:rsidRPr="00340E4C" w:rsidRDefault="008121E9" w:rsidP="008121E9">
            <w:pPr>
              <w:jc w:val="center"/>
              <w:rPr>
                <w:rFonts w:asciiTheme="minorHAnsi" w:hAnsiTheme="minorHAnsi" w:cstheme="minorHAnsi"/>
              </w:rPr>
            </w:pPr>
            <w:r w:rsidRPr="00340E4C">
              <w:rPr>
                <w:rFonts w:asciiTheme="minorHAnsi" w:hAnsiTheme="minorHAnsi" w:cstheme="minorHAnsi"/>
              </w:rPr>
              <w:t>5</w:t>
            </w:r>
          </w:p>
        </w:tc>
      </w:tr>
    </w:tbl>
    <w:p w:rsidR="008121E9" w:rsidRPr="00340E4C" w:rsidRDefault="008121E9" w:rsidP="001741A7">
      <w:pPr>
        <w:pStyle w:val="Listenabsatz"/>
        <w:numPr>
          <w:ilvl w:val="0"/>
          <w:numId w:val="36"/>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Uveďte rozvržení absolutních výhod!</w:t>
      </w:r>
    </w:p>
    <w:p w:rsidR="008121E9" w:rsidRPr="00340E4C" w:rsidRDefault="008121E9" w:rsidP="001741A7">
      <w:pPr>
        <w:pStyle w:val="Listenabsatz"/>
        <w:numPr>
          <w:ilvl w:val="0"/>
          <w:numId w:val="36"/>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Uveďte rozvržení komparativních výhod!</w:t>
      </w:r>
    </w:p>
    <w:p w:rsidR="008121E9" w:rsidRDefault="008121E9" w:rsidP="001741A7">
      <w:pPr>
        <w:pStyle w:val="Listenabsatz"/>
        <w:numPr>
          <w:ilvl w:val="0"/>
          <w:numId w:val="36"/>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Určete náklady obětované příležitosti statků X a Y!</w:t>
      </w:r>
    </w:p>
    <w:p w:rsidR="00BF2545" w:rsidRPr="00BF2545" w:rsidRDefault="00BF2545" w:rsidP="00BF2545">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Kupní síla: Předpokládejme, že referenční (spotřební) koš je tvořen pouze jedním statkem, jehož cena v domácí měně je 100 D a jeho cena v cizí zemi je 30 F.</w:t>
      </w:r>
    </w:p>
    <w:p w:rsidR="008121E9" w:rsidRPr="00340E4C" w:rsidRDefault="008121E9" w:rsidP="001741A7">
      <w:pPr>
        <w:pStyle w:val="Listenabsatz"/>
        <w:numPr>
          <w:ilvl w:val="0"/>
          <w:numId w:val="37"/>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Jaký je měnový kurz podle absolutní verze kupní síly? (PPP = purchasing power parity)</w:t>
      </w:r>
    </w:p>
    <w:p w:rsidR="008121E9" w:rsidRPr="00340E4C" w:rsidRDefault="008121E9" w:rsidP="001741A7">
      <w:pPr>
        <w:pStyle w:val="Listenabsatz"/>
        <w:numPr>
          <w:ilvl w:val="0"/>
          <w:numId w:val="37"/>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Jestliže je tržní měnový kurz </w:t>
      </w:r>
      <m:oMath>
        <m:sSub>
          <m:sSubPr>
            <m:ctrlPr>
              <w:rPr>
                <w:rFonts w:ascii="Cambria Math" w:hAnsi="Cambria Math" w:cstheme="minorHAnsi"/>
                <w:i/>
                <w:sz w:val="24"/>
                <w:szCs w:val="24"/>
                <w:lang w:val="cs-CZ"/>
              </w:rPr>
            </m:ctrlPr>
          </m:sSubPr>
          <m:e>
            <m:r>
              <w:rPr>
                <w:rFonts w:ascii="Cambria Math" w:hAnsi="Cambria Math" w:cstheme="minorHAnsi"/>
                <w:sz w:val="24"/>
                <w:szCs w:val="24"/>
                <w:lang w:val="cs-CZ"/>
              </w:rPr>
              <m:t>E</m:t>
            </m:r>
          </m:e>
          <m:sub>
            <m:r>
              <w:rPr>
                <w:rFonts w:ascii="Cambria Math" w:hAnsi="Cambria Math" w:cstheme="minorHAnsi"/>
                <w:sz w:val="24"/>
                <w:szCs w:val="24"/>
                <w:lang w:val="cs-CZ"/>
              </w:rPr>
              <m:t>D/F</m:t>
            </m:r>
          </m:sub>
        </m:sSub>
        <m:r>
          <w:rPr>
            <w:rFonts w:ascii="Cambria Math" w:hAnsi="Cambria Math" w:cstheme="minorHAnsi"/>
            <w:sz w:val="24"/>
            <w:szCs w:val="24"/>
            <w:lang w:val="cs-CZ"/>
          </w:rPr>
          <m:t>=5</m:t>
        </m:r>
      </m:oMath>
      <w:r w:rsidRPr="00340E4C">
        <w:rPr>
          <w:rFonts w:asciiTheme="minorHAnsi" w:hAnsiTheme="minorHAnsi" w:cstheme="minorHAnsi"/>
          <w:sz w:val="24"/>
          <w:szCs w:val="24"/>
          <w:lang w:val="cs-CZ"/>
        </w:rPr>
        <w:t xml:space="preserve">, jaký je kurz ERDI (Exchange rate deviation index)? </w:t>
      </w:r>
    </w:p>
    <w:p w:rsidR="008121E9" w:rsidRPr="00340E4C" w:rsidRDefault="008121E9" w:rsidP="001741A7">
      <w:pPr>
        <w:pStyle w:val="Listenabsatz"/>
        <w:numPr>
          <w:ilvl w:val="0"/>
          <w:numId w:val="37"/>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lastRenderedPageBreak/>
        <w:t>Je domácí měna podhodnocena nebo nadhodnocena vůči paritě kupní síly?</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Charakterizujte efekty, které má depreciace (resp. Devalvace) na běžný účet platební bilance (resp. čisté exporty). Za jakých podmínek bude mít depreciace (resp. devalvace) na běžný účet pozitivní dopad?</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K 1. lednu určitého roku bylo v ekonomice zaměstnaných 5 milionů osob a 500.000 nezaměstnaných. Předpokládáme, že během roku ztratí práci 2% zaměstnaných a práci najde 38% nezaměstnaných.</w:t>
      </w:r>
    </w:p>
    <w:p w:rsidR="008121E9" w:rsidRPr="00340E4C" w:rsidRDefault="008121E9" w:rsidP="001741A7">
      <w:pPr>
        <w:pStyle w:val="Listenabsatz"/>
        <w:numPr>
          <w:ilvl w:val="0"/>
          <w:numId w:val="3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Vypočítejte přirozenou míru nezaměstnanosti</w:t>
      </w:r>
    </w:p>
    <w:p w:rsidR="008121E9" w:rsidRPr="00340E4C" w:rsidRDefault="008121E9" w:rsidP="001741A7">
      <w:pPr>
        <w:pStyle w:val="Listenabsatz"/>
        <w:numPr>
          <w:ilvl w:val="0"/>
          <w:numId w:val="3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Vypočítejte počet nezaměstnaných, pokud skutečná míra nezaměstnanosti bude shodná s přirozenou mírou nezaměstnanosti</w:t>
      </w:r>
    </w:p>
    <w:p w:rsidR="008121E9" w:rsidRPr="00340E4C" w:rsidRDefault="008121E9" w:rsidP="001741A7">
      <w:pPr>
        <w:pStyle w:val="Listenabsatz"/>
        <w:numPr>
          <w:ilvl w:val="0"/>
          <w:numId w:val="3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Vypočítejte, kolik osob ztratí práci, pokud skutečná míra nezaměstnanosti bude shodná s přirozenou mírou nezaměstnanosti</w:t>
      </w:r>
    </w:p>
    <w:p w:rsidR="008121E9" w:rsidRDefault="008121E9" w:rsidP="001741A7">
      <w:pPr>
        <w:pStyle w:val="Listenabsatz"/>
        <w:numPr>
          <w:ilvl w:val="0"/>
          <w:numId w:val="3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Vypočítejte, kolik osob nalezne práci, pokud skutečná míra nezaměstnanosti bude shodná s přirozenou mírou nezaměstnanosti.</w:t>
      </w:r>
    </w:p>
    <w:p w:rsidR="00BF2545" w:rsidRPr="00BF2545" w:rsidRDefault="00BF2545" w:rsidP="00BF2545">
      <w:pPr>
        <w:jc w:val="both"/>
        <w:rPr>
          <w:rFonts w:asciiTheme="minorHAnsi" w:hAnsiTheme="minorHAnsi" w:cstheme="minorHAnsi"/>
        </w:rPr>
      </w:pPr>
    </w:p>
    <w:p w:rsidR="008121E9" w:rsidRPr="00340E4C" w:rsidRDefault="00BF2545"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 </w:t>
      </w:r>
      <w:r w:rsidR="008121E9" w:rsidRPr="00340E4C">
        <w:rPr>
          <w:rFonts w:asciiTheme="minorHAnsi" w:hAnsiTheme="minorHAnsi" w:cstheme="minorHAnsi"/>
          <w:sz w:val="24"/>
          <w:szCs w:val="24"/>
          <w:lang w:val="cs-CZ"/>
        </w:rPr>
        <w:t>(5/176 Pošta) Víte, že počet osob v ekonomicky aktivním věku je 1500. Z toho je počet studentů 180, počet zaměstnaných 1100, počet žen na mateřské dovolené 75 a počet dlouhodobě nemocných 30.</w:t>
      </w:r>
    </w:p>
    <w:p w:rsidR="008121E9" w:rsidRPr="00340E4C" w:rsidRDefault="008121E9" w:rsidP="001741A7">
      <w:pPr>
        <w:pStyle w:val="Listenabsatz"/>
        <w:numPr>
          <w:ilvl w:val="0"/>
          <w:numId w:val="40"/>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Vypočítejte koeficient participace!</w:t>
      </w:r>
    </w:p>
    <w:p w:rsidR="008121E9" w:rsidRPr="00340E4C" w:rsidRDefault="008121E9" w:rsidP="001741A7">
      <w:pPr>
        <w:pStyle w:val="Listenabsatz"/>
        <w:numPr>
          <w:ilvl w:val="0"/>
          <w:numId w:val="40"/>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Vypočítejte míru nezaměstnanosti!</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Co je inflační mzdově cenová spirála?</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b/>
        </w:rPr>
        <w:t xml:space="preserve">Řešení: </w:t>
      </w:r>
      <w:r w:rsidRPr="00340E4C">
        <w:rPr>
          <w:rFonts w:asciiTheme="minorHAnsi" w:hAnsiTheme="minorHAnsi" w:cstheme="minorHAnsi"/>
        </w:rPr>
        <w:t>Růst nominálních mezd zvyšuje náklady firem a tak snižuje SAS, křivka SAS se posunuje nahoru, klesá produkt a roste cenová hladina:</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noProof/>
          <w:lang w:val="de-DE" w:eastAsia="de-DE"/>
        </w:rPr>
        <mc:AlternateContent>
          <mc:Choice Requires="wps">
            <w:drawing>
              <wp:anchor distT="0" distB="0" distL="114300" distR="114300" simplePos="0" relativeHeight="251687936" behindDoc="0" locked="0" layoutInCell="1" allowOverlap="1" wp14:anchorId="2E9869A1" wp14:editId="28190601">
                <wp:simplePos x="0" y="0"/>
                <wp:positionH relativeFrom="column">
                  <wp:posOffset>3091180</wp:posOffset>
                </wp:positionH>
                <wp:positionV relativeFrom="paragraph">
                  <wp:posOffset>153035</wp:posOffset>
                </wp:positionV>
                <wp:extent cx="514350" cy="323850"/>
                <wp:effectExtent l="114300" t="0" r="19050" b="19050"/>
                <wp:wrapNone/>
                <wp:docPr id="141" name="Obdélníkový popisek 141"/>
                <wp:cNvGraphicFramePr/>
                <a:graphic xmlns:a="http://schemas.openxmlformats.org/drawingml/2006/main">
                  <a:graphicData uri="http://schemas.microsoft.com/office/word/2010/wordprocessingShape">
                    <wps:wsp>
                      <wps:cNvSpPr/>
                      <wps:spPr>
                        <a:xfrm>
                          <a:off x="0" y="0"/>
                          <a:ext cx="514350" cy="323850"/>
                        </a:xfrm>
                        <a:prstGeom prst="wedgeRectCallout">
                          <a:avLst>
                            <a:gd name="adj1" fmla="val -70833"/>
                            <a:gd name="adj2" fmla="val 1838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7E4" w:rsidRPr="004E1A55" w:rsidRDefault="006647E4" w:rsidP="008121E9">
                            <w:pPr>
                              <w:jc w:val="center"/>
                              <w:rPr>
                                <w:vertAlign w:val="subscript"/>
                              </w:rPr>
                            </w:pPr>
                            <w:r>
                              <w:t>SAS</w:t>
                            </w:r>
                            <w:r>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délníkový popisek 141" o:spid="_x0000_s1026" type="#_x0000_t61" style="position:absolute;left:0;text-align:left;margin-left:243.4pt;margin-top:12.05pt;width:40.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" adj="-4500,14771" fillcolor="#4f81bd [3204]" strokecolor="#243f60 [1604]" strokeweight="2pt">
                <v:textbox>
                  <w:txbxContent>
                    <w:p w:rsidR="006647E4" w:rsidRPr="004E1A55" w:rsidRDefault="006647E4" w:rsidP="008121E9">
                      <w:pPr>
                        <w:jc w:val="center"/>
                        <w:rPr>
                          <w:vertAlign w:val="subscript"/>
                        </w:rPr>
                      </w:pPr>
                      <w:r>
                        <w:t>SAS</w:t>
                      </w:r>
                      <w:r>
                        <w:rPr>
                          <w:vertAlign w:val="subscript"/>
                        </w:rPr>
                        <w:t>1</w:t>
                      </w:r>
                    </w:p>
                  </w:txbxContent>
                </v:textbox>
              </v:shape>
            </w:pict>
          </mc:Fallback>
        </mc:AlternateConten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noProof/>
          <w:lang w:val="de-DE" w:eastAsia="de-DE"/>
        </w:rPr>
        <mc:AlternateContent>
          <mc:Choice Requires="wps">
            <w:drawing>
              <wp:anchor distT="0" distB="0" distL="114300" distR="114300" simplePos="0" relativeHeight="251684864" behindDoc="0" locked="0" layoutInCell="1" allowOverlap="1" wp14:anchorId="630816E6" wp14:editId="48635AC8">
                <wp:simplePos x="0" y="0"/>
                <wp:positionH relativeFrom="column">
                  <wp:posOffset>1891029</wp:posOffset>
                </wp:positionH>
                <wp:positionV relativeFrom="paragraph">
                  <wp:posOffset>176530</wp:posOffset>
                </wp:positionV>
                <wp:extent cx="1400175" cy="1276350"/>
                <wp:effectExtent l="57150" t="38100" r="66675" b="95250"/>
                <wp:wrapNone/>
                <wp:docPr id="142" name="Přímá spojnice 142"/>
                <wp:cNvGraphicFramePr/>
                <a:graphic xmlns:a="http://schemas.openxmlformats.org/drawingml/2006/main">
                  <a:graphicData uri="http://schemas.microsoft.com/office/word/2010/wordprocessingShape">
                    <wps:wsp>
                      <wps:cNvCnPr/>
                      <wps:spPr>
                        <a:xfrm>
                          <a:off x="0" y="0"/>
                          <a:ext cx="1400175" cy="12763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5="http://schemas.microsoft.com/office/word/2012/wordml">
            <w:pict>
              <v:line w14:anchorId="056A53AD" id="Přímá spojnice 14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8.9pt,13.9pt" to="259.1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" strokecolor="#9bbb59 [3206]" strokeweight="3pt">
                <v:shadow on="t" color="black" opacity="22937f" origin=",.5" offset="0,.63889mm"/>
              </v:line>
            </w:pict>
          </mc:Fallback>
        </mc:AlternateContent>
      </w:r>
      <w:r w:rsidRPr="00340E4C">
        <w:rPr>
          <w:rFonts w:asciiTheme="minorHAnsi" w:hAnsiTheme="minorHAnsi" w:cstheme="minorHAnsi"/>
          <w:noProof/>
          <w:lang w:val="de-DE" w:eastAsia="de-DE"/>
        </w:rPr>
        <mc:AlternateContent>
          <mc:Choice Requires="wps">
            <w:drawing>
              <wp:anchor distT="0" distB="0" distL="114300" distR="114300" simplePos="0" relativeHeight="251682816" behindDoc="0" locked="0" layoutInCell="1" allowOverlap="1" wp14:anchorId="269E93B5" wp14:editId="2C95538F">
                <wp:simplePos x="0" y="0"/>
                <wp:positionH relativeFrom="column">
                  <wp:posOffset>1614804</wp:posOffset>
                </wp:positionH>
                <wp:positionV relativeFrom="paragraph">
                  <wp:posOffset>176530</wp:posOffset>
                </wp:positionV>
                <wp:extent cx="1362075" cy="1076325"/>
                <wp:effectExtent l="38100" t="19050" r="66675" b="85725"/>
                <wp:wrapNone/>
                <wp:docPr id="143" name="Přímá spojnice 143"/>
                <wp:cNvGraphicFramePr/>
                <a:graphic xmlns:a="http://schemas.openxmlformats.org/drawingml/2006/main">
                  <a:graphicData uri="http://schemas.microsoft.com/office/word/2010/wordprocessingShape">
                    <wps:wsp>
                      <wps:cNvCnPr/>
                      <wps:spPr>
                        <a:xfrm flipV="1">
                          <a:off x="0" y="0"/>
                          <a:ext cx="1362075" cy="1076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08469490" id="Přímá spojnice 14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27.15pt,13.9pt" to="234.4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" strokecolor="black [3200]" strokeweight="2pt">
                <v:shadow on="t" color="black" opacity="24903f" origin=",.5" offset="0,.55556mm"/>
              </v:line>
            </w:pict>
          </mc:Fallback>
        </mc:AlternateContent>
      </w:r>
      <w:r w:rsidRPr="00340E4C">
        <w:rPr>
          <w:rFonts w:asciiTheme="minorHAnsi" w:hAnsiTheme="minorHAnsi" w:cstheme="minorHAnsi"/>
          <w:noProof/>
          <w:lang w:val="de-DE" w:eastAsia="de-DE"/>
        </w:rPr>
        <mc:AlternateContent>
          <mc:Choice Requires="wps">
            <w:drawing>
              <wp:anchor distT="0" distB="0" distL="114300" distR="114300" simplePos="0" relativeHeight="251680768" behindDoc="0" locked="0" layoutInCell="1" allowOverlap="1" wp14:anchorId="77B34F64" wp14:editId="34F9A33E">
                <wp:simplePos x="0" y="0"/>
                <wp:positionH relativeFrom="column">
                  <wp:posOffset>862330</wp:posOffset>
                </wp:positionH>
                <wp:positionV relativeFrom="paragraph">
                  <wp:posOffset>-4445</wp:posOffset>
                </wp:positionV>
                <wp:extent cx="342900" cy="297815"/>
                <wp:effectExtent l="0" t="0" r="114300" b="197485"/>
                <wp:wrapNone/>
                <wp:docPr id="144" name="Obdélníkový popisek 144"/>
                <wp:cNvGraphicFramePr/>
                <a:graphic xmlns:a="http://schemas.openxmlformats.org/drawingml/2006/main">
                  <a:graphicData uri="http://schemas.microsoft.com/office/word/2010/wordprocessingShape">
                    <wps:wsp>
                      <wps:cNvSpPr/>
                      <wps:spPr>
                        <a:xfrm flipH="1">
                          <a:off x="0" y="0"/>
                          <a:ext cx="342900" cy="297815"/>
                        </a:xfrm>
                        <a:prstGeom prst="wedgeRectCallout">
                          <a:avLst>
                            <a:gd name="adj1" fmla="val -73611"/>
                            <a:gd name="adj2" fmla="val 10407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7E4" w:rsidRPr="004E1A55" w:rsidRDefault="006647E4" w:rsidP="008121E9">
                            <w:pPr>
                              <w:jc w:val="center"/>
                            </w:pPr>
                            <w: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délníkový popisek 144" o:spid="_x0000_s1027" type="#_x0000_t61" style="position:absolute;left:0;text-align:left;margin-left:67.9pt;margin-top:-.35pt;width:27pt;height:23.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" adj="-5100,33281" fillcolor="#4f81bd [3204]" strokecolor="#243f60 [1604]" strokeweight="2pt">
                <v:textbox>
                  <w:txbxContent>
                    <w:p w:rsidR="006647E4" w:rsidRPr="004E1A55" w:rsidRDefault="006647E4" w:rsidP="008121E9">
                      <w:pPr>
                        <w:jc w:val="center"/>
                      </w:pPr>
                      <w:r>
                        <w:t>P</w:t>
                      </w:r>
                    </w:p>
                  </w:txbxContent>
                </v:textbox>
              </v:shape>
            </w:pict>
          </mc:Fallback>
        </mc:AlternateContent>
      </w:r>
      <w:r w:rsidRPr="00340E4C">
        <w:rPr>
          <w:rFonts w:asciiTheme="minorHAnsi" w:hAnsiTheme="minorHAnsi" w:cstheme="minorHAnsi"/>
          <w:noProof/>
          <w:lang w:val="de-DE" w:eastAsia="de-DE"/>
        </w:rPr>
        <mc:AlternateContent>
          <mc:Choice Requires="wps">
            <w:drawing>
              <wp:anchor distT="0" distB="0" distL="114300" distR="114300" simplePos="0" relativeHeight="251678720" behindDoc="0" locked="0" layoutInCell="1" allowOverlap="1" wp14:anchorId="67F85B5C" wp14:editId="3DD5D075">
                <wp:simplePos x="0" y="0"/>
                <wp:positionH relativeFrom="column">
                  <wp:posOffset>1300480</wp:posOffset>
                </wp:positionH>
                <wp:positionV relativeFrom="paragraph">
                  <wp:posOffset>-4445</wp:posOffset>
                </wp:positionV>
                <wp:extent cx="0" cy="1771650"/>
                <wp:effectExtent l="0" t="0" r="19050" b="19050"/>
                <wp:wrapNone/>
                <wp:docPr id="148" name="Přímá spojnice 148"/>
                <wp:cNvGraphicFramePr/>
                <a:graphic xmlns:a="http://schemas.openxmlformats.org/drawingml/2006/main">
                  <a:graphicData uri="http://schemas.microsoft.com/office/word/2010/wordprocessingShape">
                    <wps:wsp>
                      <wps:cNvCnPr/>
                      <wps:spPr>
                        <a:xfrm>
                          <a:off x="0" y="0"/>
                          <a:ext cx="0" cy="1771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DD517B4" id="Přímá spojnice 14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4pt,-.35pt" to="102.4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" strokecolor="#4579b8 [3044]"/>
            </w:pict>
          </mc:Fallback>
        </mc:AlternateContent>
      </w:r>
    </w:p>
    <w:p w:rsidR="008121E9" w:rsidRPr="00340E4C" w:rsidRDefault="008121E9" w:rsidP="008121E9">
      <w:pPr>
        <w:ind w:left="644"/>
        <w:jc w:val="both"/>
        <w:rPr>
          <w:rFonts w:asciiTheme="minorHAnsi" w:hAnsiTheme="minorHAnsi" w:cstheme="minorHAnsi"/>
        </w:rPr>
      </w:pP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noProof/>
          <w:lang w:val="de-DE" w:eastAsia="de-DE"/>
        </w:rPr>
        <mc:AlternateContent>
          <mc:Choice Requires="wps">
            <w:drawing>
              <wp:anchor distT="0" distB="0" distL="114300" distR="114300" simplePos="0" relativeHeight="251686912" behindDoc="0" locked="0" layoutInCell="1" allowOverlap="1" wp14:anchorId="4EAAF1E5" wp14:editId="0F0EAC6B">
                <wp:simplePos x="0" y="0"/>
                <wp:positionH relativeFrom="column">
                  <wp:posOffset>3500755</wp:posOffset>
                </wp:positionH>
                <wp:positionV relativeFrom="paragraph">
                  <wp:posOffset>100330</wp:posOffset>
                </wp:positionV>
                <wp:extent cx="466725" cy="285750"/>
                <wp:effectExtent l="133350" t="0" r="28575" b="19050"/>
                <wp:wrapNone/>
                <wp:docPr id="149" name="Obdélníkový popisek 149"/>
                <wp:cNvGraphicFramePr/>
                <a:graphic xmlns:a="http://schemas.openxmlformats.org/drawingml/2006/main">
                  <a:graphicData uri="http://schemas.microsoft.com/office/word/2010/wordprocessingShape">
                    <wps:wsp>
                      <wps:cNvSpPr/>
                      <wps:spPr>
                        <a:xfrm>
                          <a:off x="0" y="0"/>
                          <a:ext cx="466725" cy="285750"/>
                        </a:xfrm>
                        <a:prstGeom prst="wedgeRectCallout">
                          <a:avLst>
                            <a:gd name="adj1" fmla="val -75935"/>
                            <a:gd name="adj2" fmla="val 25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7E4" w:rsidRPr="004E1A55" w:rsidRDefault="006647E4" w:rsidP="008121E9">
                            <w:pPr>
                              <w:jc w:val="center"/>
                              <w:rPr>
                                <w:vertAlign w:val="subscript"/>
                              </w:rPr>
                            </w:pPr>
                            <w:r>
                              <w:t>SAS</w:t>
                            </w:r>
                            <w:r>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délníkový popisek 149" o:spid="_x0000_s1028" type="#_x0000_t61" style="position:absolute;left:0;text-align:left;margin-left:275.65pt;margin-top:7.9pt;width:36.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" adj="-5602,11340" fillcolor="#4f81bd [3204]" strokecolor="#243f60 [1604]" strokeweight="2pt">
                <v:textbox>
                  <w:txbxContent>
                    <w:p w:rsidR="006647E4" w:rsidRPr="004E1A55" w:rsidRDefault="006647E4" w:rsidP="008121E9">
                      <w:pPr>
                        <w:jc w:val="center"/>
                        <w:rPr>
                          <w:vertAlign w:val="subscript"/>
                        </w:rPr>
                      </w:pPr>
                      <w:r>
                        <w:t>SAS</w:t>
                      </w:r>
                      <w:r>
                        <w:rPr>
                          <w:vertAlign w:val="subscript"/>
                        </w:rPr>
                        <w:t>0</w:t>
                      </w:r>
                    </w:p>
                  </w:txbxContent>
                </v:textbox>
              </v:shape>
            </w:pict>
          </mc:Fallback>
        </mc:AlternateConten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noProof/>
          <w:lang w:val="de-DE" w:eastAsia="de-DE"/>
        </w:rPr>
        <mc:AlternateContent>
          <mc:Choice Requires="wps">
            <w:drawing>
              <wp:anchor distT="0" distB="0" distL="114300" distR="114300" simplePos="0" relativeHeight="251683840" behindDoc="0" locked="0" layoutInCell="1" allowOverlap="1" wp14:anchorId="40F950A0" wp14:editId="3796D61A">
                <wp:simplePos x="0" y="0"/>
                <wp:positionH relativeFrom="column">
                  <wp:posOffset>2272030</wp:posOffset>
                </wp:positionH>
                <wp:positionV relativeFrom="paragraph">
                  <wp:posOffset>66675</wp:posOffset>
                </wp:positionV>
                <wp:extent cx="1104900" cy="895350"/>
                <wp:effectExtent l="38100" t="19050" r="57150" b="95250"/>
                <wp:wrapNone/>
                <wp:docPr id="150" name="Přímá spojnice 150"/>
                <wp:cNvGraphicFramePr/>
                <a:graphic xmlns:a="http://schemas.openxmlformats.org/drawingml/2006/main">
                  <a:graphicData uri="http://schemas.microsoft.com/office/word/2010/wordprocessingShape">
                    <wps:wsp>
                      <wps:cNvCnPr/>
                      <wps:spPr>
                        <a:xfrm flipV="1">
                          <a:off x="0" y="0"/>
                          <a:ext cx="1104900" cy="8953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5="http://schemas.microsoft.com/office/word/2012/wordml">
            <w:pict>
              <v:line w14:anchorId="76463918" id="Přímá spojnice 150"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78.9pt,5.25pt" to="265.9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" strokecolor="#c0504d [3205]" strokeweight="2pt">
                <v:shadow on="t" color="black" opacity="24903f" origin=",.5" offset="0,.55556mm"/>
              </v:line>
            </w:pict>
          </mc:Fallback>
        </mc:AlternateContent>
      </w:r>
    </w:p>
    <w:p w:rsidR="008121E9" w:rsidRPr="00340E4C" w:rsidRDefault="008121E9" w:rsidP="008121E9">
      <w:pPr>
        <w:ind w:left="644"/>
        <w:jc w:val="both"/>
        <w:rPr>
          <w:rFonts w:asciiTheme="minorHAnsi" w:hAnsiTheme="minorHAnsi" w:cstheme="minorHAnsi"/>
        </w:rPr>
      </w:pPr>
    </w:p>
    <w:p w:rsidR="008121E9" w:rsidRPr="00340E4C" w:rsidRDefault="008121E9" w:rsidP="008121E9">
      <w:pPr>
        <w:jc w:val="both"/>
        <w:rPr>
          <w:rFonts w:asciiTheme="minorHAnsi" w:hAnsiTheme="minorHAnsi" w:cstheme="minorHAnsi"/>
        </w:rPr>
      </w:pPr>
      <w:r w:rsidRPr="00340E4C">
        <w:rPr>
          <w:rFonts w:asciiTheme="minorHAnsi" w:hAnsiTheme="minorHAnsi" w:cstheme="minorHAnsi"/>
          <w:noProof/>
          <w:lang w:val="de-DE" w:eastAsia="de-DE"/>
        </w:rPr>
        <mc:AlternateContent>
          <mc:Choice Requires="wps">
            <w:drawing>
              <wp:anchor distT="0" distB="0" distL="114300" distR="114300" simplePos="0" relativeHeight="251685888" behindDoc="0" locked="0" layoutInCell="1" allowOverlap="1" wp14:anchorId="30A08454" wp14:editId="19015F0A">
                <wp:simplePos x="0" y="0"/>
                <wp:positionH relativeFrom="column">
                  <wp:posOffset>3291205</wp:posOffset>
                </wp:positionH>
                <wp:positionV relativeFrom="paragraph">
                  <wp:posOffset>41910</wp:posOffset>
                </wp:positionV>
                <wp:extent cx="428625" cy="285750"/>
                <wp:effectExtent l="19050" t="0" r="28575" b="190500"/>
                <wp:wrapNone/>
                <wp:docPr id="151" name="Obdélníkový popisek 151"/>
                <wp:cNvGraphicFramePr/>
                <a:graphic xmlns:a="http://schemas.openxmlformats.org/drawingml/2006/main">
                  <a:graphicData uri="http://schemas.microsoft.com/office/word/2010/wordprocessingShape">
                    <wps:wsp>
                      <wps:cNvSpPr/>
                      <wps:spPr>
                        <a:xfrm>
                          <a:off x="0" y="0"/>
                          <a:ext cx="428625" cy="285750"/>
                        </a:xfrm>
                        <a:prstGeom prst="wedgeRectCallout">
                          <a:avLst>
                            <a:gd name="adj1" fmla="val -54166"/>
                            <a:gd name="adj2" fmla="val 1091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7E4" w:rsidRPr="004E1A55" w:rsidRDefault="006647E4" w:rsidP="008121E9">
                            <w:pPr>
                              <w:jc w:val="center"/>
                            </w:pPr>
                            <w:r>
                              <w: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délníkový popisek 151" o:spid="_x0000_s1029" type="#_x0000_t61" style="position:absolute;left:0;text-align:left;margin-left:259.15pt;margin-top:3.3pt;width:33.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" adj="-900,34380" fillcolor="#4f81bd [3204]" strokecolor="#243f60 [1604]" strokeweight="2pt">
                <v:textbox>
                  <w:txbxContent>
                    <w:p w:rsidR="006647E4" w:rsidRPr="004E1A55" w:rsidRDefault="006647E4" w:rsidP="008121E9">
                      <w:pPr>
                        <w:jc w:val="center"/>
                      </w:pPr>
                      <w:r>
                        <w:t>AD</w:t>
                      </w:r>
                    </w:p>
                  </w:txbxContent>
                </v:textbox>
              </v:shape>
            </w:pict>
          </mc:Fallback>
        </mc:AlternateContent>
      </w:r>
      <w:r w:rsidRPr="00340E4C">
        <w:rPr>
          <w:rFonts w:asciiTheme="minorHAnsi" w:hAnsiTheme="minorHAnsi" w:cstheme="minorHAnsi"/>
        </w:rPr>
        <w:tab/>
      </w:r>
    </w:p>
    <w:p w:rsidR="008121E9" w:rsidRPr="00340E4C" w:rsidRDefault="008121E9" w:rsidP="008121E9">
      <w:pPr>
        <w:jc w:val="both"/>
        <w:rPr>
          <w:rFonts w:asciiTheme="minorHAnsi" w:hAnsiTheme="minorHAnsi" w:cstheme="minorHAnsi"/>
        </w:rPr>
      </w:pPr>
    </w:p>
    <w:p w:rsidR="008121E9" w:rsidRPr="00340E4C" w:rsidRDefault="008121E9" w:rsidP="008121E9">
      <w:pPr>
        <w:jc w:val="both"/>
        <w:rPr>
          <w:rFonts w:asciiTheme="minorHAnsi" w:hAnsiTheme="minorHAnsi" w:cstheme="minorHAnsi"/>
        </w:rPr>
      </w:pPr>
    </w:p>
    <w:p w:rsidR="008121E9" w:rsidRPr="00340E4C" w:rsidRDefault="008121E9" w:rsidP="008121E9">
      <w:pPr>
        <w:jc w:val="both"/>
        <w:rPr>
          <w:rFonts w:asciiTheme="minorHAnsi" w:hAnsiTheme="minorHAnsi" w:cstheme="minorHAnsi"/>
        </w:rPr>
      </w:pPr>
    </w:p>
    <w:p w:rsidR="008121E9" w:rsidRPr="00340E4C" w:rsidRDefault="008121E9" w:rsidP="008121E9">
      <w:pPr>
        <w:jc w:val="both"/>
        <w:rPr>
          <w:rFonts w:asciiTheme="minorHAnsi" w:hAnsiTheme="minorHAnsi" w:cstheme="minorHAnsi"/>
        </w:rPr>
      </w:pPr>
      <w:r w:rsidRPr="00340E4C">
        <w:rPr>
          <w:rFonts w:asciiTheme="minorHAnsi" w:hAnsiTheme="minorHAnsi" w:cstheme="minorHAnsi"/>
          <w:noProof/>
          <w:lang w:val="de-DE" w:eastAsia="de-DE"/>
        </w:rPr>
        <mc:AlternateContent>
          <mc:Choice Requires="wps">
            <w:drawing>
              <wp:anchor distT="0" distB="0" distL="114300" distR="114300" simplePos="0" relativeHeight="251679744" behindDoc="0" locked="0" layoutInCell="1" allowOverlap="1" wp14:anchorId="64A7B1E9" wp14:editId="10612917">
                <wp:simplePos x="0" y="0"/>
                <wp:positionH relativeFrom="column">
                  <wp:posOffset>1300480</wp:posOffset>
                </wp:positionH>
                <wp:positionV relativeFrom="paragraph">
                  <wp:posOffset>93345</wp:posOffset>
                </wp:positionV>
                <wp:extent cx="2724150" cy="0"/>
                <wp:effectExtent l="0" t="0" r="19050" b="19050"/>
                <wp:wrapNone/>
                <wp:docPr id="152" name="Přímá spojnice 152"/>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0EF1A6A" id="Přímá spojnice 15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2.4pt,7.35pt" to="316.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" strokecolor="#4579b8 [3044]"/>
            </w:pict>
          </mc:Fallback>
        </mc:AlternateContent>
      </w:r>
    </w:p>
    <w:p w:rsidR="008121E9" w:rsidRPr="00340E4C" w:rsidRDefault="008121E9" w:rsidP="008121E9">
      <w:pPr>
        <w:jc w:val="both"/>
        <w:rPr>
          <w:rFonts w:asciiTheme="minorHAnsi" w:hAnsiTheme="minorHAnsi" w:cstheme="minorHAnsi"/>
        </w:rPr>
      </w:pPr>
      <w:r w:rsidRPr="00340E4C">
        <w:rPr>
          <w:rFonts w:asciiTheme="minorHAnsi" w:hAnsiTheme="minorHAnsi" w:cstheme="minorHAnsi"/>
          <w:noProof/>
          <w:lang w:val="de-DE" w:eastAsia="de-DE"/>
        </w:rPr>
        <mc:AlternateContent>
          <mc:Choice Requires="wps">
            <w:drawing>
              <wp:anchor distT="0" distB="0" distL="114300" distR="114300" simplePos="0" relativeHeight="251681792" behindDoc="0" locked="0" layoutInCell="1" allowOverlap="1" wp14:anchorId="7A720AFA" wp14:editId="041C1ECC">
                <wp:simplePos x="0" y="0"/>
                <wp:positionH relativeFrom="column">
                  <wp:posOffset>3843655</wp:posOffset>
                </wp:positionH>
                <wp:positionV relativeFrom="paragraph">
                  <wp:posOffset>46990</wp:posOffset>
                </wp:positionV>
                <wp:extent cx="314325" cy="257175"/>
                <wp:effectExtent l="76200" t="152400" r="28575" b="28575"/>
                <wp:wrapNone/>
                <wp:docPr id="153" name="Obdélníkový popisek 153"/>
                <wp:cNvGraphicFramePr/>
                <a:graphic xmlns:a="http://schemas.openxmlformats.org/drawingml/2006/main">
                  <a:graphicData uri="http://schemas.microsoft.com/office/word/2010/wordprocessingShape">
                    <wps:wsp>
                      <wps:cNvSpPr/>
                      <wps:spPr>
                        <a:xfrm>
                          <a:off x="0" y="0"/>
                          <a:ext cx="314325" cy="257175"/>
                        </a:xfrm>
                        <a:prstGeom prst="wedgeRectCallout">
                          <a:avLst>
                            <a:gd name="adj1" fmla="val -71496"/>
                            <a:gd name="adj2" fmla="val -10094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7E4" w:rsidRPr="004E1A55" w:rsidRDefault="006647E4" w:rsidP="008121E9">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bdélníkový popisek 153" o:spid="_x0000_s1030" type="#_x0000_t61" style="position:absolute;left:0;text-align:left;margin-left:302.65pt;margin-top:3.7pt;width:24.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" adj="-4643,-11005" fillcolor="#4f81bd [3204]" strokecolor="#243f60 [1604]" strokeweight="2pt">
                <v:textbox>
                  <w:txbxContent>
                    <w:p w:rsidR="006647E4" w:rsidRPr="004E1A55" w:rsidRDefault="006647E4" w:rsidP="008121E9">
                      <w:pPr>
                        <w:jc w:val="center"/>
                      </w:pPr>
                      <w:r>
                        <w:t>Y</w:t>
                      </w:r>
                    </w:p>
                  </w:txbxContent>
                </v:textbox>
              </v:shape>
            </w:pict>
          </mc:Fallback>
        </mc:AlternateContent>
      </w:r>
    </w:p>
    <w:p w:rsidR="008121E9" w:rsidRPr="00340E4C" w:rsidRDefault="008121E9" w:rsidP="008121E9">
      <w:pPr>
        <w:jc w:val="both"/>
        <w:rPr>
          <w:rFonts w:asciiTheme="minorHAnsi" w:hAnsiTheme="minorHAnsi" w:cstheme="minorHAnsi"/>
        </w:rPr>
      </w:pPr>
    </w:p>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 xml:space="preserve">V případě, že centrální banka bude mít snahu odstranit mezeru produktu monetární expanzí, posune se AD doprava a dále vzrostou ceny a to nakonec odstraní původní pozitivní (pro zaměstnance) efekt růstu nominálních mzdových sazeb. Až to zpozorují, budou požadovat další zvýšení nominálních mzdových sazeb a tak stále dokola. </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(1/212 Soukup) </w:t>
      </w:r>
      <w:r w:rsidRPr="00340E4C">
        <w:rPr>
          <w:rFonts w:asciiTheme="minorHAnsi" w:hAnsiTheme="minorHAnsi" w:cstheme="minorHAnsi"/>
          <w:sz w:val="24"/>
          <w:szCs w:val="24"/>
          <w:u w:val="single"/>
          <w:lang w:val="cs-CZ"/>
        </w:rPr>
        <w:t>Původní mzdová Phillipsova křivka.</w:t>
      </w:r>
      <w:r w:rsidRPr="00340E4C">
        <w:rPr>
          <w:rFonts w:asciiTheme="minorHAnsi" w:hAnsiTheme="minorHAnsi" w:cstheme="minorHAnsi"/>
          <w:sz w:val="24"/>
          <w:szCs w:val="24"/>
          <w:lang w:val="cs-CZ"/>
        </w:rPr>
        <w:t xml:space="preserve"> Skutečná míra nezaměstnanosti se odchyluje od přirozené míry nezaměstnanosti o 3% body. Citlivost tempa růstu nominálních mzdových sazeb na odchylku skutečné míry nezaměstnanosti od </w:t>
      </w:r>
      <w:r w:rsidRPr="00340E4C">
        <w:rPr>
          <w:rFonts w:asciiTheme="minorHAnsi" w:hAnsiTheme="minorHAnsi" w:cstheme="minorHAnsi"/>
          <w:sz w:val="24"/>
          <w:szCs w:val="24"/>
          <w:lang w:val="cs-CZ"/>
        </w:rPr>
        <w:lastRenderedPageBreak/>
        <w:t>přirozené míry nezaměstnanosti je 0,4. Jaké je tempo růstu nominálních mzdových sazeb?</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(2/212 Soukup): </w:t>
      </w:r>
      <w:r w:rsidRPr="00340E4C">
        <w:rPr>
          <w:rFonts w:asciiTheme="minorHAnsi" w:hAnsiTheme="minorHAnsi" w:cstheme="minorHAnsi"/>
          <w:sz w:val="24"/>
          <w:szCs w:val="24"/>
          <w:u w:val="single"/>
          <w:lang w:val="cs-CZ"/>
        </w:rPr>
        <w:t>Okunův zákon:</w:t>
      </w:r>
      <w:r w:rsidRPr="00340E4C">
        <w:rPr>
          <w:rFonts w:asciiTheme="minorHAnsi" w:hAnsiTheme="minorHAnsi" w:cstheme="minorHAnsi"/>
          <w:sz w:val="24"/>
          <w:szCs w:val="24"/>
          <w:lang w:val="cs-CZ"/>
        </w:rPr>
        <w:t xml:space="preserve"> V ekonomice existuje kladná produkční mezera 2%. Citlivost odchylky skutečné míry nezaměstnanosti od její přirozené míry v závislosti na produkční mezeře je 0,7.</w:t>
      </w:r>
    </w:p>
    <w:p w:rsidR="008121E9" w:rsidRPr="00340E4C" w:rsidRDefault="008121E9" w:rsidP="008121E9">
      <w:pPr>
        <w:ind w:left="644"/>
        <w:jc w:val="both"/>
        <w:rPr>
          <w:rFonts w:asciiTheme="minorHAnsi" w:hAnsiTheme="minorHAnsi" w:cstheme="minorHAnsi"/>
        </w:rPr>
      </w:pPr>
      <w:r w:rsidRPr="00340E4C">
        <w:rPr>
          <w:rFonts w:asciiTheme="minorHAnsi" w:hAnsiTheme="minorHAnsi" w:cstheme="minorHAnsi"/>
        </w:rPr>
        <w:t>Vypočítejte odchylku skutečné míry nezaměstnanosti od přirozené míry nezaměstnanosti!</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(3/212 Soukup) </w:t>
      </w:r>
      <w:r w:rsidRPr="00340E4C">
        <w:rPr>
          <w:rFonts w:asciiTheme="minorHAnsi" w:hAnsiTheme="minorHAnsi" w:cstheme="minorHAnsi"/>
          <w:sz w:val="24"/>
          <w:szCs w:val="24"/>
          <w:u w:val="single"/>
          <w:lang w:val="cs-CZ"/>
        </w:rPr>
        <w:t>Okunův zákon:</w:t>
      </w:r>
      <w:r w:rsidRPr="00340E4C">
        <w:rPr>
          <w:rFonts w:asciiTheme="minorHAnsi" w:hAnsiTheme="minorHAnsi" w:cstheme="minorHAnsi"/>
          <w:sz w:val="24"/>
          <w:szCs w:val="24"/>
          <w:lang w:val="cs-CZ"/>
        </w:rPr>
        <w:t xml:space="preserve"> Koeficient vyjadřující citlivost odchylky skutečné míry nezaměstnanosti od její přirozené míry v závislosti na produkční mezeře je 0,5. Přirozená míra nezaměstnanosti je 5%.</w:t>
      </w:r>
    </w:p>
    <w:p w:rsidR="008121E9" w:rsidRPr="00340E4C" w:rsidRDefault="008121E9" w:rsidP="001741A7">
      <w:pPr>
        <w:pStyle w:val="Listenabsatz"/>
        <w:numPr>
          <w:ilvl w:val="0"/>
          <w:numId w:val="42"/>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Předpokládáme kladnou produkční mezeru. Jaká bude skutečná míra nezaměstnanosti, pokud se skutečný produkt odchýlil od potenciálního o 2%?</w:t>
      </w:r>
    </w:p>
    <w:p w:rsidR="008121E9" w:rsidRPr="00340E4C" w:rsidRDefault="008121E9" w:rsidP="001741A7">
      <w:pPr>
        <w:pStyle w:val="Listenabsatz"/>
        <w:numPr>
          <w:ilvl w:val="0"/>
          <w:numId w:val="42"/>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Jak bude ovlivněn Okunův zákon růstem přirzené míry nezaměstnanosti?</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(5/213 Soukup) </w:t>
      </w:r>
      <w:r w:rsidRPr="00340E4C">
        <w:rPr>
          <w:rFonts w:asciiTheme="minorHAnsi" w:hAnsiTheme="minorHAnsi" w:cstheme="minorHAnsi"/>
          <w:sz w:val="24"/>
          <w:szCs w:val="24"/>
          <w:u w:val="single"/>
          <w:lang w:val="cs-CZ"/>
        </w:rPr>
        <w:t>Cenová Phillipsova křivka.</w:t>
      </w:r>
      <w:r w:rsidRPr="00340E4C">
        <w:rPr>
          <w:rFonts w:asciiTheme="minorHAnsi" w:hAnsiTheme="minorHAnsi" w:cstheme="minorHAnsi"/>
          <w:sz w:val="24"/>
          <w:szCs w:val="24"/>
          <w:lang w:val="cs-CZ"/>
        </w:rPr>
        <w:t xml:space="preserve"> V ekonomice je dán vztah mezi produkční mezerou a odchylkou skutečné míry nezaměstnanosti od přirozené míry takto:</w:t>
      </w:r>
    </w:p>
    <w:p w:rsidR="008121E9" w:rsidRPr="00340E4C" w:rsidRDefault="008121E9" w:rsidP="008121E9">
      <w:pPr>
        <w:ind w:left="705"/>
        <w:jc w:val="both"/>
        <w:rPr>
          <w:rFonts w:asciiTheme="minorHAnsi" w:hAnsiTheme="minorHAnsi" w:cstheme="minorHAnsi"/>
        </w:rPr>
      </w:pPr>
      <m:oMathPara>
        <m:oMath>
          <m:r>
            <w:rPr>
              <w:rFonts w:ascii="Cambria Math" w:hAnsi="Cambria Math" w:cstheme="minorHAnsi"/>
            </w:rPr>
            <m:t>u-</m:t>
          </m:r>
          <m:sSup>
            <m:sSupPr>
              <m:ctrlPr>
                <w:rPr>
                  <w:rFonts w:ascii="Cambria Math" w:hAnsi="Cambria Math" w:cstheme="minorHAnsi"/>
                  <w:i/>
                </w:rPr>
              </m:ctrlPr>
            </m:sSupPr>
            <m:e>
              <m:r>
                <w:rPr>
                  <w:rFonts w:ascii="Cambria Math" w:hAnsi="Cambria Math" w:cstheme="minorHAnsi"/>
                </w:rPr>
                <m:t>u</m:t>
              </m:r>
            </m:e>
            <m:sup>
              <m:r>
                <w:rPr>
                  <w:rFonts w:ascii="Cambria Math" w:hAnsi="Cambria Math" w:cstheme="minorHAnsi"/>
                </w:rPr>
                <m:t>*</m:t>
              </m:r>
            </m:sup>
          </m:sSup>
          <m:r>
            <w:rPr>
              <w:rFonts w:ascii="Cambria Math" w:hAnsi="Cambria Math" w:cstheme="minorHAnsi"/>
            </w:rPr>
            <m:t>=-0,5(Y-</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m:t>
              </m:r>
            </m:sup>
          </m:sSup>
          <m:r>
            <w:rPr>
              <w:rFonts w:ascii="Cambria Math" w:hAnsi="Cambria Math" w:cstheme="minorHAnsi"/>
            </w:rPr>
            <m:t>)</m:t>
          </m:r>
        </m:oMath>
      </m:oMathPara>
    </w:p>
    <w:p w:rsidR="008121E9" w:rsidRDefault="008121E9" w:rsidP="008121E9">
      <w:pPr>
        <w:ind w:left="705"/>
        <w:jc w:val="both"/>
        <w:rPr>
          <w:rFonts w:asciiTheme="minorHAnsi" w:hAnsiTheme="minorHAnsi" w:cstheme="minorHAnsi"/>
        </w:rPr>
      </w:pPr>
      <w:r w:rsidRPr="00340E4C">
        <w:rPr>
          <w:rFonts w:asciiTheme="minorHAnsi" w:hAnsiTheme="minorHAnsi" w:cstheme="minorHAnsi"/>
        </w:rPr>
        <w:t>Růst AD zvýší Y nad úroveň Y</w:t>
      </w:r>
      <w:r w:rsidRPr="00340E4C">
        <w:rPr>
          <w:rFonts w:asciiTheme="minorHAnsi" w:hAnsiTheme="minorHAnsi" w:cstheme="minorHAnsi"/>
          <w:vertAlign w:val="superscript"/>
        </w:rPr>
        <w:t>*</w:t>
      </w:r>
      <w:r w:rsidRPr="00340E4C">
        <w:rPr>
          <w:rFonts w:asciiTheme="minorHAnsi" w:hAnsiTheme="minorHAnsi" w:cstheme="minorHAnsi"/>
        </w:rPr>
        <w:t xml:space="preserve"> o 2% body. Koeficient vyjadřující reakci míry inflace na změny v míře nezaměstnanosti je 0,6. Produktivita práce se nezměnila. Jak se bude vyvíjet míra inflace?  Využijte k vysvětlení rovnici cenové Phillipsovy křivky!</w:t>
      </w:r>
    </w:p>
    <w:p w:rsidR="00BF2545" w:rsidRPr="00340E4C" w:rsidRDefault="00BF2545" w:rsidP="008121E9">
      <w:pPr>
        <w:ind w:left="705"/>
        <w:jc w:val="both"/>
        <w:rPr>
          <w:rFonts w:asciiTheme="minorHAnsi" w:hAnsiTheme="minorHAnsi" w:cstheme="minorHAnsi"/>
        </w:rPr>
      </w:pPr>
    </w:p>
    <w:p w:rsidR="008121E9" w:rsidRPr="00340E4C" w:rsidRDefault="00BF2545"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 </w:t>
      </w:r>
      <w:r w:rsidR="008121E9" w:rsidRPr="00340E4C">
        <w:rPr>
          <w:rFonts w:asciiTheme="minorHAnsi" w:hAnsiTheme="minorHAnsi" w:cstheme="minorHAnsi"/>
          <w:sz w:val="24"/>
          <w:szCs w:val="24"/>
          <w:lang w:val="cs-CZ"/>
        </w:rPr>
        <w:t xml:space="preserve">( 9/213 Soukup): </w:t>
      </w:r>
      <w:r w:rsidR="008121E9" w:rsidRPr="00340E4C">
        <w:rPr>
          <w:rFonts w:asciiTheme="minorHAnsi" w:hAnsiTheme="minorHAnsi" w:cstheme="minorHAnsi"/>
          <w:sz w:val="24"/>
          <w:szCs w:val="24"/>
          <w:u w:val="single"/>
          <w:lang w:val="cs-CZ"/>
        </w:rPr>
        <w:t>Rozšířená Phillipsova křivka</w:t>
      </w:r>
      <w:r w:rsidR="008121E9" w:rsidRPr="00340E4C">
        <w:rPr>
          <w:rFonts w:asciiTheme="minorHAnsi" w:hAnsiTheme="minorHAnsi" w:cstheme="minorHAnsi"/>
          <w:sz w:val="24"/>
          <w:szCs w:val="24"/>
          <w:lang w:val="cs-CZ"/>
        </w:rPr>
        <w:t xml:space="preserve">: Předpokládejme, že přirozená míra nezaměstnanosti je na úrovni </w:t>
      </w:r>
      <m:oMath>
        <m:sSup>
          <m:sSupPr>
            <m:ctrlPr>
              <w:rPr>
                <w:rFonts w:ascii="Cambria Math" w:hAnsi="Cambria Math" w:cstheme="minorHAnsi"/>
                <w:i/>
                <w:sz w:val="24"/>
                <w:szCs w:val="24"/>
                <w:lang w:val="cs-CZ"/>
              </w:rPr>
            </m:ctrlPr>
          </m:sSupPr>
          <m:e>
            <m:r>
              <w:rPr>
                <w:rFonts w:ascii="Cambria Math" w:hAnsi="Cambria Math" w:cstheme="minorHAnsi"/>
                <w:sz w:val="24"/>
                <w:szCs w:val="24"/>
                <w:lang w:val="cs-CZ"/>
              </w:rPr>
              <m:t>u</m:t>
            </m:r>
          </m:e>
          <m:sup>
            <m:r>
              <w:rPr>
                <w:rFonts w:ascii="Cambria Math" w:hAnsi="Cambria Math" w:cstheme="minorHAnsi"/>
                <w:sz w:val="24"/>
                <w:szCs w:val="24"/>
                <w:lang w:val="cs-CZ"/>
              </w:rPr>
              <m:t>*</m:t>
            </m:r>
          </m:sup>
        </m:sSup>
        <m:r>
          <w:rPr>
            <w:rFonts w:ascii="Cambria Math" w:hAnsi="Cambria Math" w:cstheme="minorHAnsi"/>
            <w:sz w:val="24"/>
            <w:szCs w:val="24"/>
            <w:lang w:val="cs-CZ"/>
          </w:rPr>
          <m:t>=5%</m:t>
        </m:r>
      </m:oMath>
      <w:r w:rsidR="008121E9" w:rsidRPr="00340E4C">
        <w:rPr>
          <w:rFonts w:asciiTheme="minorHAnsi" w:hAnsiTheme="minorHAnsi" w:cstheme="minorHAnsi"/>
          <w:sz w:val="24"/>
          <w:szCs w:val="24"/>
          <w:lang w:val="cs-CZ"/>
        </w:rPr>
        <w:t xml:space="preserve"> a inflační očekávání jsou na úrovni </w:t>
      </w:r>
      <m:oMath>
        <m:sSup>
          <m:sSupPr>
            <m:ctrlPr>
              <w:rPr>
                <w:rFonts w:ascii="Cambria Math" w:hAnsi="Cambria Math" w:cstheme="minorHAnsi"/>
                <w:i/>
                <w:sz w:val="24"/>
                <w:szCs w:val="24"/>
                <w:lang w:val="cs-CZ"/>
              </w:rPr>
            </m:ctrlPr>
          </m:sSupPr>
          <m:e>
            <m:r>
              <w:rPr>
                <w:rFonts w:ascii="Cambria Math" w:hAnsi="Cambria Math" w:cstheme="minorHAnsi"/>
                <w:sz w:val="24"/>
                <w:szCs w:val="24"/>
                <w:lang w:val="cs-CZ"/>
              </w:rPr>
              <m:t>π</m:t>
            </m:r>
          </m:e>
          <m:sup>
            <m:r>
              <w:rPr>
                <w:rFonts w:ascii="Cambria Math" w:hAnsi="Cambria Math" w:cstheme="minorHAnsi"/>
                <w:sz w:val="24"/>
                <w:szCs w:val="24"/>
                <w:lang w:val="cs-CZ"/>
              </w:rPr>
              <m:t>e</m:t>
            </m:r>
          </m:sup>
        </m:sSup>
        <m:r>
          <w:rPr>
            <w:rFonts w:ascii="Cambria Math" w:hAnsi="Cambria Math" w:cstheme="minorHAnsi"/>
            <w:sz w:val="24"/>
            <w:szCs w:val="24"/>
            <w:lang w:val="cs-CZ"/>
          </w:rPr>
          <m:t>=2%.</m:t>
        </m:r>
      </m:oMath>
      <w:r w:rsidR="008121E9" w:rsidRPr="00340E4C">
        <w:rPr>
          <w:rFonts w:asciiTheme="minorHAnsi" w:hAnsiTheme="minorHAnsi" w:cstheme="minorHAnsi"/>
          <w:sz w:val="24"/>
          <w:szCs w:val="24"/>
          <w:lang w:val="cs-CZ"/>
        </w:rPr>
        <w:t xml:space="preserve"> Produktivita práce se nemění. Potom Phillipsovu křivku můžeme napsat následujícím způsobem:</w:t>
      </w:r>
    </w:p>
    <w:p w:rsidR="008121E9" w:rsidRPr="00340E4C" w:rsidRDefault="008121E9" w:rsidP="008121E9">
      <w:pPr>
        <w:ind w:left="705"/>
        <w:jc w:val="both"/>
        <w:rPr>
          <w:rFonts w:asciiTheme="minorHAnsi" w:hAnsiTheme="minorHAnsi" w:cstheme="minorHAnsi"/>
        </w:rPr>
      </w:pPr>
      <m:oMathPara>
        <m:oMath>
          <m:r>
            <w:rPr>
              <w:rFonts w:ascii="Cambria Math" w:hAnsi="Cambria Math" w:cstheme="minorHAnsi"/>
            </w:rPr>
            <m:t>π=</m:t>
          </m:r>
          <m:sSup>
            <m:sSupPr>
              <m:ctrlPr>
                <w:rPr>
                  <w:rFonts w:ascii="Cambria Math" w:hAnsi="Cambria Math" w:cstheme="minorHAnsi"/>
                  <w:i/>
                </w:rPr>
              </m:ctrlPr>
            </m:sSupPr>
            <m:e>
              <m:r>
                <w:rPr>
                  <w:rFonts w:ascii="Cambria Math" w:hAnsi="Cambria Math" w:cstheme="minorHAnsi"/>
                </w:rPr>
                <m:t>π</m:t>
              </m:r>
            </m:e>
            <m:sup>
              <m:r>
                <w:rPr>
                  <w:rFonts w:ascii="Cambria Math" w:hAnsi="Cambria Math" w:cstheme="minorHAnsi"/>
                </w:rPr>
                <m:t>e</m:t>
              </m:r>
            </m:sup>
          </m:sSup>
          <m:r>
            <w:rPr>
              <w:rFonts w:ascii="Cambria Math" w:hAnsi="Cambria Math" w:cstheme="minorHAnsi"/>
            </w:rPr>
            <m:t>-2</m:t>
          </m:r>
          <m:d>
            <m:dPr>
              <m:ctrlPr>
                <w:rPr>
                  <w:rFonts w:ascii="Cambria Math" w:hAnsi="Cambria Math" w:cstheme="minorHAnsi"/>
                  <w:i/>
                </w:rPr>
              </m:ctrlPr>
            </m:dPr>
            <m:e>
              <m:r>
                <w:rPr>
                  <w:rFonts w:ascii="Cambria Math" w:hAnsi="Cambria Math" w:cstheme="minorHAnsi"/>
                </w:rPr>
                <m:t>u-</m:t>
              </m:r>
              <m:sSup>
                <m:sSupPr>
                  <m:ctrlPr>
                    <w:rPr>
                      <w:rFonts w:ascii="Cambria Math" w:hAnsi="Cambria Math" w:cstheme="minorHAnsi"/>
                      <w:i/>
                    </w:rPr>
                  </m:ctrlPr>
                </m:sSupPr>
                <m:e>
                  <m:r>
                    <w:rPr>
                      <w:rFonts w:ascii="Cambria Math" w:hAnsi="Cambria Math" w:cstheme="minorHAnsi"/>
                    </w:rPr>
                    <m:t>u</m:t>
                  </m:r>
                </m:e>
                <m:sup>
                  <m:r>
                    <w:rPr>
                      <w:rFonts w:ascii="Cambria Math" w:hAnsi="Cambria Math" w:cstheme="minorHAnsi"/>
                    </w:rPr>
                    <m:t>*</m:t>
                  </m:r>
                </m:sup>
              </m:sSup>
            </m:e>
          </m:d>
          <m:r>
            <w:rPr>
              <w:rFonts w:ascii="Cambria Math" w:hAnsi="Cambria Math" w:cstheme="minorHAnsi"/>
            </w:rPr>
            <m:t>.</m:t>
          </m:r>
        </m:oMath>
      </m:oMathPara>
    </w:p>
    <w:p w:rsidR="008121E9" w:rsidRPr="00340E4C" w:rsidRDefault="008121E9" w:rsidP="00BF2545">
      <w:pPr>
        <w:ind w:left="705"/>
        <w:jc w:val="both"/>
        <w:rPr>
          <w:rFonts w:asciiTheme="minorHAnsi" w:hAnsiTheme="minorHAnsi" w:cstheme="minorHAnsi"/>
        </w:rPr>
      </w:pPr>
      <w:r w:rsidRPr="00340E4C">
        <w:rPr>
          <w:rFonts w:asciiTheme="minorHAnsi" w:hAnsiTheme="minorHAnsi" w:cstheme="minorHAnsi"/>
        </w:rPr>
        <w:t xml:space="preserve">Koeficient vyjadřující citlivost odchylky skutečné míry nezaměstnanosti od přirozené míry je v závislosti na produkční mezeře 0,5. </w:t>
      </w:r>
    </w:p>
    <w:p w:rsidR="008121E9" w:rsidRPr="00340E4C" w:rsidRDefault="008121E9" w:rsidP="001741A7">
      <w:pPr>
        <w:pStyle w:val="Listenabsatz"/>
        <w:numPr>
          <w:ilvl w:val="0"/>
          <w:numId w:val="4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Jaká je skutečná míra inflace, pokud se ekonomika nachází na úrovni potenciálního produktu?</w:t>
      </w:r>
    </w:p>
    <w:p w:rsidR="008121E9" w:rsidRPr="00340E4C" w:rsidRDefault="008121E9" w:rsidP="001741A7">
      <w:pPr>
        <w:pStyle w:val="Listenabsatz"/>
        <w:numPr>
          <w:ilvl w:val="0"/>
          <w:numId w:val="4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Jak se změní skutečná míra inflace, pokud skutečná míra nezaměstnanosti klesne na 4%</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(13/214 Soukup): </w:t>
      </w:r>
      <w:r w:rsidRPr="00340E4C">
        <w:rPr>
          <w:rFonts w:asciiTheme="minorHAnsi" w:hAnsiTheme="minorHAnsi" w:cstheme="minorHAnsi"/>
          <w:sz w:val="24"/>
          <w:szCs w:val="24"/>
          <w:u w:val="single"/>
          <w:lang w:val="cs-CZ"/>
        </w:rPr>
        <w:t>Rozšířená Phillipsova křivka.</w:t>
      </w:r>
      <w:r w:rsidRPr="00340E4C">
        <w:rPr>
          <w:rFonts w:asciiTheme="minorHAnsi" w:hAnsiTheme="minorHAnsi" w:cstheme="minorHAnsi"/>
          <w:sz w:val="24"/>
          <w:szCs w:val="24"/>
          <w:lang w:val="cs-CZ"/>
        </w:rPr>
        <w:t xml:space="preserve"> Vysvětlete změny Phillipsovy křivky způsobené negativním nabídkovým šokem. Využijte k tomu model trojúhelníku!</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(1/95 Soukup): </w:t>
      </w:r>
      <w:r w:rsidRPr="00340E4C">
        <w:rPr>
          <w:rFonts w:asciiTheme="minorHAnsi" w:hAnsiTheme="minorHAnsi" w:cstheme="minorHAnsi"/>
          <w:sz w:val="24"/>
          <w:szCs w:val="24"/>
          <w:u w:val="single"/>
          <w:lang w:val="cs-CZ"/>
        </w:rPr>
        <w:t>Monetární politika</w:t>
      </w:r>
      <w:r w:rsidRPr="00340E4C">
        <w:rPr>
          <w:rFonts w:asciiTheme="minorHAnsi" w:hAnsiTheme="minorHAnsi" w:cstheme="minorHAnsi"/>
          <w:sz w:val="24"/>
          <w:szCs w:val="24"/>
          <w:lang w:val="cs-CZ"/>
        </w:rPr>
        <w:t>: porovnejte referenční úrokovou sazbu ČNB, tržní úrokové sazby, objem úvěrů a domácností a firem, domácí poptávku a změnu GDP v čase a vyhodnoťte potenciál monetární politiky ovlivňovat domácí poptávku prostřednictvím změn spotřeby a investic! Uvažujte zpoždění ekonomických procesů!</w:t>
      </w:r>
    </w:p>
    <w:p w:rsidR="008121E9" w:rsidRPr="00340E4C" w:rsidRDefault="008121E9" w:rsidP="008121E9">
      <w:pPr>
        <w:ind w:left="705"/>
        <w:jc w:val="both"/>
        <w:rPr>
          <w:rFonts w:asciiTheme="minorHAnsi" w:hAnsiTheme="minorHAnsi" w:cstheme="minorHAnsi"/>
          <w:b/>
        </w:rPr>
      </w:pPr>
    </w:p>
    <w:p w:rsidR="008121E9" w:rsidRPr="00340E4C" w:rsidRDefault="008121E9" w:rsidP="008121E9">
      <w:pPr>
        <w:ind w:left="705"/>
        <w:jc w:val="both"/>
        <w:rPr>
          <w:rFonts w:asciiTheme="minorHAnsi" w:hAnsiTheme="minorHAnsi" w:cstheme="minorHAnsi"/>
          <w:b/>
          <w:color w:val="FF0000"/>
        </w:rPr>
      </w:pPr>
      <w:r w:rsidRPr="00340E4C">
        <w:rPr>
          <w:rFonts w:asciiTheme="minorHAnsi" w:hAnsiTheme="minorHAnsi" w:cstheme="minorHAnsi"/>
          <w:b/>
        </w:rPr>
        <w:t xml:space="preserve">Řešení: </w:t>
      </w:r>
      <w:r w:rsidRPr="00340E4C">
        <w:rPr>
          <w:rFonts w:asciiTheme="minorHAnsi" w:hAnsiTheme="minorHAnsi" w:cstheme="minorHAnsi"/>
          <w:b/>
          <w:color w:val="FF0000"/>
        </w:rPr>
        <w:t>příklad není vyřešen. Je určen pro případné doplnění.</w:t>
      </w:r>
    </w:p>
    <w:tbl>
      <w:tblPr>
        <w:tblStyle w:val="Tabellenraster"/>
        <w:tblW w:w="0" w:type="auto"/>
        <w:tblInd w:w="705" w:type="dxa"/>
        <w:tblLayout w:type="fixed"/>
        <w:tblLook w:val="04A0" w:firstRow="1" w:lastRow="0" w:firstColumn="1" w:lastColumn="0" w:noHBand="0" w:noVBand="1"/>
      </w:tblPr>
      <w:tblGrid>
        <w:gridCol w:w="679"/>
        <w:gridCol w:w="636"/>
        <w:gridCol w:w="819"/>
        <w:gridCol w:w="795"/>
        <w:gridCol w:w="818"/>
        <w:gridCol w:w="794"/>
        <w:gridCol w:w="818"/>
        <w:gridCol w:w="794"/>
        <w:gridCol w:w="818"/>
        <w:gridCol w:w="794"/>
        <w:gridCol w:w="818"/>
      </w:tblGrid>
      <w:tr w:rsidR="008121E9" w:rsidRPr="00340E4C" w:rsidTr="008121E9">
        <w:tc>
          <w:tcPr>
            <w:tcW w:w="679" w:type="dxa"/>
          </w:tcPr>
          <w:p w:rsidR="008121E9" w:rsidRPr="00340E4C" w:rsidRDefault="008121E9" w:rsidP="008121E9">
            <w:pPr>
              <w:jc w:val="both"/>
              <w:rPr>
                <w:rFonts w:asciiTheme="minorHAnsi" w:hAnsiTheme="minorHAnsi" w:cstheme="minorHAnsi"/>
                <w:sz w:val="18"/>
                <w:szCs w:val="18"/>
              </w:rPr>
            </w:pPr>
            <w:r w:rsidRPr="00340E4C">
              <w:rPr>
                <w:rFonts w:asciiTheme="minorHAnsi" w:hAnsiTheme="minorHAnsi" w:cstheme="minorHAnsi"/>
                <w:sz w:val="18"/>
                <w:szCs w:val="18"/>
              </w:rPr>
              <w:t>rok</w:t>
            </w:r>
          </w:p>
        </w:tc>
        <w:tc>
          <w:tcPr>
            <w:tcW w:w="1455" w:type="dxa"/>
            <w:gridSpan w:val="2"/>
          </w:tcPr>
          <w:p w:rsidR="008121E9" w:rsidRPr="00340E4C" w:rsidRDefault="008121E9" w:rsidP="008121E9">
            <w:pPr>
              <w:jc w:val="both"/>
              <w:rPr>
                <w:rFonts w:asciiTheme="minorHAnsi" w:hAnsiTheme="minorHAnsi" w:cstheme="minorHAnsi"/>
                <w:sz w:val="18"/>
                <w:szCs w:val="18"/>
              </w:rPr>
            </w:pPr>
            <w:r w:rsidRPr="00340E4C">
              <w:rPr>
                <w:rFonts w:asciiTheme="minorHAnsi" w:hAnsiTheme="minorHAnsi" w:cstheme="minorHAnsi"/>
                <w:sz w:val="18"/>
                <w:szCs w:val="18"/>
              </w:rPr>
              <w:t>Referenční úroková sazba ČNB k 31.12.</w:t>
            </w:r>
          </w:p>
        </w:tc>
        <w:tc>
          <w:tcPr>
            <w:tcW w:w="1613" w:type="dxa"/>
            <w:gridSpan w:val="2"/>
          </w:tcPr>
          <w:p w:rsidR="008121E9" w:rsidRPr="00340E4C" w:rsidRDefault="008121E9" w:rsidP="008121E9">
            <w:pPr>
              <w:jc w:val="both"/>
              <w:rPr>
                <w:rFonts w:asciiTheme="minorHAnsi" w:hAnsiTheme="minorHAnsi" w:cstheme="minorHAnsi"/>
                <w:sz w:val="18"/>
                <w:szCs w:val="18"/>
              </w:rPr>
            </w:pPr>
            <w:r w:rsidRPr="00340E4C">
              <w:rPr>
                <w:rFonts w:asciiTheme="minorHAnsi" w:hAnsiTheme="minorHAnsi" w:cstheme="minorHAnsi"/>
                <w:sz w:val="18"/>
                <w:szCs w:val="18"/>
              </w:rPr>
              <w:t>Tržní úrokové sazby</w:t>
            </w:r>
          </w:p>
        </w:tc>
        <w:tc>
          <w:tcPr>
            <w:tcW w:w="1612" w:type="dxa"/>
            <w:gridSpan w:val="2"/>
          </w:tcPr>
          <w:p w:rsidR="008121E9" w:rsidRPr="00340E4C" w:rsidRDefault="008121E9" w:rsidP="008121E9">
            <w:pPr>
              <w:jc w:val="both"/>
              <w:rPr>
                <w:rFonts w:asciiTheme="minorHAnsi" w:hAnsiTheme="minorHAnsi" w:cstheme="minorHAnsi"/>
                <w:sz w:val="18"/>
                <w:szCs w:val="18"/>
              </w:rPr>
            </w:pPr>
            <w:r w:rsidRPr="00340E4C">
              <w:rPr>
                <w:rFonts w:asciiTheme="minorHAnsi" w:hAnsiTheme="minorHAnsi" w:cstheme="minorHAnsi"/>
                <w:sz w:val="18"/>
                <w:szCs w:val="18"/>
              </w:rPr>
              <w:t xml:space="preserve">Objem úvěrů (včetně od nebankovních institucí) domácností v mld </w:t>
            </w:r>
            <w:r w:rsidRPr="00340E4C">
              <w:rPr>
                <w:rFonts w:asciiTheme="minorHAnsi" w:hAnsiTheme="minorHAnsi" w:cstheme="minorHAnsi"/>
                <w:sz w:val="18"/>
                <w:szCs w:val="18"/>
              </w:rPr>
              <w:lastRenderedPageBreak/>
              <w:t>CZK</w:t>
            </w:r>
          </w:p>
        </w:tc>
        <w:tc>
          <w:tcPr>
            <w:tcW w:w="1612" w:type="dxa"/>
            <w:gridSpan w:val="2"/>
          </w:tcPr>
          <w:p w:rsidR="008121E9" w:rsidRPr="00340E4C" w:rsidRDefault="008121E9" w:rsidP="008121E9">
            <w:pPr>
              <w:jc w:val="both"/>
              <w:rPr>
                <w:rFonts w:asciiTheme="minorHAnsi" w:hAnsiTheme="minorHAnsi" w:cstheme="minorHAnsi"/>
                <w:sz w:val="18"/>
                <w:szCs w:val="18"/>
              </w:rPr>
            </w:pPr>
            <w:r w:rsidRPr="00340E4C">
              <w:rPr>
                <w:rFonts w:asciiTheme="minorHAnsi" w:hAnsiTheme="minorHAnsi" w:cstheme="minorHAnsi"/>
                <w:sz w:val="18"/>
                <w:szCs w:val="18"/>
              </w:rPr>
              <w:lastRenderedPageBreak/>
              <w:t>Objem úvěrů firem v mld CZK</w:t>
            </w:r>
          </w:p>
        </w:tc>
        <w:tc>
          <w:tcPr>
            <w:tcW w:w="1612" w:type="dxa"/>
            <w:gridSpan w:val="2"/>
          </w:tcPr>
          <w:p w:rsidR="008121E9" w:rsidRPr="00340E4C" w:rsidRDefault="008121E9" w:rsidP="008121E9">
            <w:pPr>
              <w:jc w:val="both"/>
              <w:rPr>
                <w:rFonts w:asciiTheme="minorHAnsi" w:hAnsiTheme="minorHAnsi" w:cstheme="minorHAnsi"/>
                <w:sz w:val="18"/>
                <w:szCs w:val="18"/>
              </w:rPr>
            </w:pPr>
            <w:r w:rsidRPr="00340E4C">
              <w:rPr>
                <w:rFonts w:asciiTheme="minorHAnsi" w:hAnsiTheme="minorHAnsi" w:cstheme="minorHAnsi"/>
                <w:sz w:val="18"/>
                <w:szCs w:val="18"/>
              </w:rPr>
              <w:t>GDP v mld CZK b. c.</w:t>
            </w:r>
          </w:p>
          <w:p w:rsidR="008121E9" w:rsidRPr="00340E4C" w:rsidRDefault="008121E9" w:rsidP="008121E9">
            <w:pPr>
              <w:jc w:val="both"/>
              <w:rPr>
                <w:rFonts w:asciiTheme="minorHAnsi" w:hAnsiTheme="minorHAnsi" w:cstheme="minorHAnsi"/>
                <w:sz w:val="18"/>
                <w:szCs w:val="18"/>
              </w:rPr>
            </w:pP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p>
        </w:tc>
        <w:tc>
          <w:tcPr>
            <w:tcW w:w="636"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Absolutní výše</w:t>
            </w:r>
          </w:p>
        </w:tc>
        <w:tc>
          <w:tcPr>
            <w:tcW w:w="819"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Meziroční změna</w:t>
            </w:r>
          </w:p>
        </w:tc>
        <w:tc>
          <w:tcPr>
            <w:tcW w:w="795"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Absolutní výše</w:t>
            </w:r>
          </w:p>
        </w:tc>
        <w:tc>
          <w:tcPr>
            <w:tcW w:w="818"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Meziroční změna</w:t>
            </w:r>
          </w:p>
        </w:tc>
        <w:tc>
          <w:tcPr>
            <w:tcW w:w="794"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Absolutní výše</w:t>
            </w:r>
          </w:p>
        </w:tc>
        <w:tc>
          <w:tcPr>
            <w:tcW w:w="818"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Meziroční změna</w:t>
            </w:r>
          </w:p>
        </w:tc>
        <w:tc>
          <w:tcPr>
            <w:tcW w:w="794"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Absolutní výše</w:t>
            </w:r>
          </w:p>
        </w:tc>
        <w:tc>
          <w:tcPr>
            <w:tcW w:w="818"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Meziroční změna</w:t>
            </w:r>
          </w:p>
        </w:tc>
        <w:tc>
          <w:tcPr>
            <w:tcW w:w="794"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Absolutní výše</w:t>
            </w:r>
          </w:p>
        </w:tc>
        <w:tc>
          <w:tcPr>
            <w:tcW w:w="818" w:type="dxa"/>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Meziroční změna v %</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2001</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x</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132</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2354</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X</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2002</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2,52</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168</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2465</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12,4</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2003</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1,68</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230</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2578</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4,58</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2004</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2,40</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303</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2811</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9,04</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2005</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2,10</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412</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703</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2982</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6,08</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2006</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2,57</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510</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809</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3226</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8,18</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2007</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2,79</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680</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992</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3539</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9,70</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2008</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1,26</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818</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1129</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3687</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4,18</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2009</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0,46</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1078</w:t>
            </w: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3629</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-1,57</w:t>
            </w:r>
          </w:p>
        </w:tc>
      </w:tr>
      <w:tr w:rsidR="008121E9" w:rsidRPr="00340E4C" w:rsidTr="008121E9">
        <w:tc>
          <w:tcPr>
            <w:tcW w:w="679" w:type="dxa"/>
            <w:vAlign w:val="center"/>
          </w:tcPr>
          <w:p w:rsidR="008121E9" w:rsidRPr="00340E4C" w:rsidRDefault="008121E9" w:rsidP="008121E9">
            <w:pPr>
              <w:jc w:val="center"/>
              <w:rPr>
                <w:rFonts w:asciiTheme="minorHAnsi" w:hAnsiTheme="minorHAnsi" w:cstheme="minorHAnsi"/>
                <w:sz w:val="18"/>
                <w:szCs w:val="18"/>
              </w:rPr>
            </w:pPr>
            <w:r w:rsidRPr="00340E4C">
              <w:rPr>
                <w:rFonts w:asciiTheme="minorHAnsi" w:hAnsiTheme="minorHAnsi" w:cstheme="minorHAnsi"/>
                <w:sz w:val="18"/>
                <w:szCs w:val="18"/>
              </w:rPr>
              <w:t>2010</w:t>
            </w:r>
          </w:p>
        </w:tc>
        <w:tc>
          <w:tcPr>
            <w:tcW w:w="636"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0,32</w:t>
            </w:r>
          </w:p>
        </w:tc>
        <w:tc>
          <w:tcPr>
            <w:tcW w:w="819" w:type="dxa"/>
          </w:tcPr>
          <w:p w:rsidR="008121E9" w:rsidRPr="00340E4C" w:rsidRDefault="008121E9" w:rsidP="008121E9">
            <w:pPr>
              <w:jc w:val="right"/>
              <w:rPr>
                <w:rFonts w:asciiTheme="minorHAnsi" w:hAnsiTheme="minorHAnsi" w:cstheme="minorHAnsi"/>
                <w:sz w:val="18"/>
                <w:szCs w:val="18"/>
              </w:rPr>
            </w:pPr>
          </w:p>
        </w:tc>
        <w:tc>
          <w:tcPr>
            <w:tcW w:w="795"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p>
        </w:tc>
        <w:tc>
          <w:tcPr>
            <w:tcW w:w="818" w:type="dxa"/>
          </w:tcPr>
          <w:p w:rsidR="008121E9" w:rsidRPr="00340E4C" w:rsidRDefault="008121E9" w:rsidP="008121E9">
            <w:pPr>
              <w:jc w:val="right"/>
              <w:rPr>
                <w:rFonts w:asciiTheme="minorHAnsi" w:hAnsiTheme="minorHAnsi" w:cstheme="minorHAnsi"/>
                <w:sz w:val="18"/>
                <w:szCs w:val="18"/>
              </w:rPr>
            </w:pPr>
          </w:p>
        </w:tc>
        <w:tc>
          <w:tcPr>
            <w:tcW w:w="794"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3667</w:t>
            </w:r>
          </w:p>
        </w:tc>
        <w:tc>
          <w:tcPr>
            <w:tcW w:w="818" w:type="dxa"/>
          </w:tcPr>
          <w:p w:rsidR="008121E9" w:rsidRPr="00340E4C" w:rsidRDefault="008121E9" w:rsidP="008121E9">
            <w:pPr>
              <w:jc w:val="right"/>
              <w:rPr>
                <w:rFonts w:asciiTheme="minorHAnsi" w:hAnsiTheme="minorHAnsi" w:cstheme="minorHAnsi"/>
                <w:sz w:val="18"/>
                <w:szCs w:val="18"/>
              </w:rPr>
            </w:pPr>
            <w:r w:rsidRPr="00340E4C">
              <w:rPr>
                <w:rFonts w:asciiTheme="minorHAnsi" w:hAnsiTheme="minorHAnsi" w:cstheme="minorHAnsi"/>
                <w:sz w:val="18"/>
                <w:szCs w:val="18"/>
              </w:rPr>
              <w:t>1,04</w:t>
            </w:r>
          </w:p>
        </w:tc>
      </w:tr>
    </w:tbl>
    <w:p w:rsidR="008121E9" w:rsidRPr="00340E4C" w:rsidRDefault="008121E9" w:rsidP="008121E9">
      <w:pPr>
        <w:ind w:left="705"/>
        <w:jc w:val="both"/>
        <w:rPr>
          <w:rFonts w:asciiTheme="minorHAnsi" w:hAnsiTheme="minorHAnsi" w:cstheme="minorHAnsi"/>
        </w:rPr>
      </w:pPr>
    </w:p>
    <w:p w:rsidR="008121E9" w:rsidRPr="00340E4C" w:rsidRDefault="008121E9" w:rsidP="001741A7">
      <w:pPr>
        <w:pStyle w:val="Listenabsatz"/>
        <w:numPr>
          <w:ilvl w:val="0"/>
          <w:numId w:val="3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Jaký je potenciál monetární politiky ovlivňovat domácí poptávku prostřednictvím spotřeby a investic?</w:t>
      </w:r>
    </w:p>
    <w:p w:rsidR="008121E9" w:rsidRPr="00340E4C" w:rsidRDefault="008121E9" w:rsidP="001741A7">
      <w:pPr>
        <w:pStyle w:val="Listenabsatz"/>
        <w:numPr>
          <w:ilvl w:val="0"/>
          <w:numId w:val="33"/>
        </w:numPr>
        <w:spacing w:after="0" w:line="240" w:lineRule="auto"/>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Jaký vliv má zpoždění ekonomických procesů? </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(4/95 Soukup): </w:t>
      </w:r>
      <w:r w:rsidRPr="00340E4C">
        <w:rPr>
          <w:rFonts w:asciiTheme="minorHAnsi" w:hAnsiTheme="minorHAnsi" w:cstheme="minorHAnsi"/>
          <w:sz w:val="24"/>
          <w:szCs w:val="24"/>
          <w:u w:val="single"/>
          <w:lang w:val="cs-CZ"/>
        </w:rPr>
        <w:t xml:space="preserve">Monetární politika: </w:t>
      </w:r>
      <w:r w:rsidRPr="00340E4C">
        <w:rPr>
          <w:rFonts w:asciiTheme="minorHAnsi" w:hAnsiTheme="minorHAnsi" w:cstheme="minorHAnsi"/>
          <w:sz w:val="24"/>
          <w:szCs w:val="24"/>
          <w:lang w:val="cs-CZ"/>
        </w:rPr>
        <w:t>Zhodnoťte, jakým hlavním kanálem působí ČNB na agregátní poptávku?</w:t>
      </w:r>
    </w:p>
    <w:p w:rsidR="008121E9" w:rsidRPr="00340E4C" w:rsidRDefault="008121E9" w:rsidP="008121E9">
      <w:pPr>
        <w:ind w:left="284" w:firstLine="421"/>
        <w:jc w:val="both"/>
        <w:rPr>
          <w:rFonts w:asciiTheme="minorHAnsi" w:hAnsiTheme="minorHAnsi" w:cstheme="minorHAnsi"/>
          <w:b/>
        </w:rPr>
      </w:pPr>
      <w:r w:rsidRPr="00340E4C">
        <w:rPr>
          <w:rFonts w:asciiTheme="minorHAnsi" w:hAnsiTheme="minorHAnsi" w:cstheme="minorHAnsi"/>
          <w:b/>
        </w:rPr>
        <w:t>Řešení:</w:t>
      </w:r>
    </w:p>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ab/>
        <w:t>Změnou REPO sazby a tuzemskými operacemi na volném trhu.</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(6/217 Pošta) </w:t>
      </w:r>
      <w:r w:rsidRPr="00340E4C">
        <w:rPr>
          <w:rFonts w:asciiTheme="minorHAnsi" w:hAnsiTheme="minorHAnsi" w:cstheme="minorHAnsi"/>
          <w:sz w:val="24"/>
          <w:szCs w:val="24"/>
          <w:u w:val="single"/>
          <w:lang w:val="cs-CZ"/>
        </w:rPr>
        <w:t xml:space="preserve">fiskální politika: </w:t>
      </w:r>
      <w:r w:rsidRPr="00340E4C">
        <w:rPr>
          <w:rFonts w:asciiTheme="minorHAnsi" w:hAnsiTheme="minorHAnsi" w:cstheme="minorHAnsi"/>
          <w:sz w:val="24"/>
          <w:szCs w:val="24"/>
          <w:lang w:val="cs-CZ"/>
        </w:rPr>
        <w:t>Známe následující údaje o modelové ekonomice:</w:t>
      </w:r>
    </w:p>
    <w:tbl>
      <w:tblPr>
        <w:tblStyle w:val="Tabellenraster"/>
        <w:tblW w:w="0" w:type="auto"/>
        <w:tblInd w:w="4786" w:type="dxa"/>
        <w:tblLook w:val="04A0" w:firstRow="1" w:lastRow="0" w:firstColumn="1" w:lastColumn="0" w:noHBand="0" w:noVBand="1"/>
      </w:tblPr>
      <w:tblGrid>
        <w:gridCol w:w="2695"/>
        <w:gridCol w:w="1699"/>
      </w:tblGrid>
      <w:tr w:rsidR="008121E9" w:rsidRPr="00340E4C" w:rsidTr="008121E9">
        <w:tc>
          <w:tcPr>
            <w:tcW w:w="2695"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TA</w:t>
            </w:r>
            <w:r w:rsidRPr="00340E4C">
              <w:rPr>
                <w:rFonts w:asciiTheme="minorHAnsi" w:hAnsiTheme="minorHAnsi" w:cstheme="minorHAnsi"/>
                <w:vertAlign w:val="subscript"/>
              </w:rPr>
              <w:t xml:space="preserve">a </w:t>
            </w:r>
            <w:r w:rsidRPr="00340E4C">
              <w:rPr>
                <w:rFonts w:asciiTheme="minorHAnsi" w:hAnsiTheme="minorHAnsi" w:cstheme="minorHAnsi"/>
              </w:rPr>
              <w:t>– autonomní daně</w:t>
            </w:r>
          </w:p>
        </w:tc>
        <w:tc>
          <w:tcPr>
            <w:tcW w:w="1699"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200</w:t>
            </w:r>
          </w:p>
        </w:tc>
      </w:tr>
      <w:tr w:rsidR="008121E9" w:rsidRPr="00340E4C" w:rsidTr="008121E9">
        <w:tc>
          <w:tcPr>
            <w:tcW w:w="2695"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G – vládní výdaje</w:t>
            </w:r>
          </w:p>
        </w:tc>
        <w:tc>
          <w:tcPr>
            <w:tcW w:w="1699"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700</w:t>
            </w:r>
          </w:p>
        </w:tc>
      </w:tr>
      <w:tr w:rsidR="008121E9" w:rsidRPr="00340E4C" w:rsidTr="008121E9">
        <w:tc>
          <w:tcPr>
            <w:tcW w:w="2695"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t – sklon ke zdanění</w:t>
            </w:r>
          </w:p>
        </w:tc>
        <w:tc>
          <w:tcPr>
            <w:tcW w:w="1699"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0,3</w:t>
            </w:r>
          </w:p>
        </w:tc>
      </w:tr>
      <w:tr w:rsidR="008121E9" w:rsidRPr="00340E4C" w:rsidTr="008121E9">
        <w:tc>
          <w:tcPr>
            <w:tcW w:w="2695"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Y</w:t>
            </w:r>
          </w:p>
        </w:tc>
        <w:tc>
          <w:tcPr>
            <w:tcW w:w="1699"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2000</w:t>
            </w:r>
          </w:p>
        </w:tc>
      </w:tr>
      <w:tr w:rsidR="008121E9" w:rsidRPr="00340E4C" w:rsidTr="008121E9">
        <w:tc>
          <w:tcPr>
            <w:tcW w:w="2695"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TR - transfery</w:t>
            </w:r>
          </w:p>
        </w:tc>
        <w:tc>
          <w:tcPr>
            <w:tcW w:w="1699"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300</w:t>
            </w:r>
          </w:p>
        </w:tc>
      </w:tr>
      <w:tr w:rsidR="008121E9" w:rsidRPr="00340E4C" w:rsidTr="008121E9">
        <w:tc>
          <w:tcPr>
            <w:tcW w:w="2695" w:type="dxa"/>
          </w:tcPr>
          <w:p w:rsidR="008121E9" w:rsidRPr="00340E4C" w:rsidRDefault="008121E9" w:rsidP="008121E9">
            <w:pPr>
              <w:jc w:val="both"/>
              <w:rPr>
                <w:rFonts w:asciiTheme="minorHAnsi" w:hAnsiTheme="minorHAnsi" w:cstheme="minorHAnsi"/>
              </w:rPr>
            </w:pPr>
            <w:r w:rsidRPr="00340E4C">
              <w:rPr>
                <w:rFonts w:asciiTheme="minorHAnsi" w:hAnsiTheme="minorHAnsi" w:cstheme="minorHAnsi"/>
              </w:rPr>
              <w:t>Y* (potenciální produkt)</w:t>
            </w:r>
          </w:p>
        </w:tc>
        <w:tc>
          <w:tcPr>
            <w:tcW w:w="1699" w:type="dxa"/>
          </w:tcPr>
          <w:p w:rsidR="008121E9" w:rsidRPr="00340E4C" w:rsidRDefault="008121E9" w:rsidP="008121E9">
            <w:pPr>
              <w:jc w:val="right"/>
              <w:rPr>
                <w:rFonts w:asciiTheme="minorHAnsi" w:hAnsiTheme="minorHAnsi" w:cstheme="minorHAnsi"/>
              </w:rPr>
            </w:pPr>
            <w:r w:rsidRPr="00340E4C">
              <w:rPr>
                <w:rFonts w:asciiTheme="minorHAnsi" w:hAnsiTheme="minorHAnsi" w:cstheme="minorHAnsi"/>
              </w:rPr>
              <w:t>2200</w:t>
            </w:r>
          </w:p>
        </w:tc>
      </w:tr>
    </w:tbl>
    <w:p w:rsidR="008121E9" w:rsidRPr="00340E4C" w:rsidRDefault="008121E9" w:rsidP="008121E9">
      <w:pPr>
        <w:ind w:left="705"/>
        <w:jc w:val="both"/>
        <w:rPr>
          <w:rFonts w:asciiTheme="minorHAnsi" w:hAnsiTheme="minorHAnsi" w:cstheme="minorHAnsi"/>
        </w:rPr>
      </w:pPr>
      <w:r w:rsidRPr="00340E4C">
        <w:rPr>
          <w:rFonts w:asciiTheme="minorHAnsi" w:hAnsiTheme="minorHAnsi" w:cstheme="minorHAnsi"/>
        </w:rPr>
        <w:t>Vypočtěte celkový, strukturální a cyklický deficit!</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(7/218 Pošta) </w:t>
      </w:r>
      <w:r w:rsidRPr="00340E4C">
        <w:rPr>
          <w:rFonts w:asciiTheme="minorHAnsi" w:hAnsiTheme="minorHAnsi" w:cstheme="minorHAnsi"/>
          <w:sz w:val="24"/>
          <w:szCs w:val="24"/>
          <w:u w:val="single"/>
          <w:lang w:val="cs-CZ"/>
        </w:rPr>
        <w:t>fiskální politika</w:t>
      </w:r>
      <w:r w:rsidRPr="00340E4C">
        <w:rPr>
          <w:rFonts w:asciiTheme="minorHAnsi" w:hAnsiTheme="minorHAnsi" w:cstheme="minorHAnsi"/>
          <w:sz w:val="24"/>
          <w:szCs w:val="24"/>
          <w:lang w:val="cs-CZ"/>
        </w:rPr>
        <w:t>: Mezní daňová sazba je 0,25. Potenciální produkt je 3000 a skutečný produkt je o pět procent nižší. Vypočítejte velikost cyklického deficitu!</w:t>
      </w:r>
    </w:p>
    <w:p w:rsidR="008121E9"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(5/95 Soukup): </w:t>
      </w:r>
      <w:r w:rsidRPr="00340E4C">
        <w:rPr>
          <w:rFonts w:asciiTheme="minorHAnsi" w:hAnsiTheme="minorHAnsi" w:cstheme="minorHAnsi"/>
          <w:sz w:val="24"/>
          <w:szCs w:val="24"/>
          <w:u w:val="single"/>
          <w:lang w:val="cs-CZ"/>
        </w:rPr>
        <w:t>Vnější politika:</w:t>
      </w:r>
      <w:r w:rsidRPr="00340E4C">
        <w:rPr>
          <w:rFonts w:asciiTheme="minorHAnsi" w:hAnsiTheme="minorHAnsi" w:cstheme="minorHAnsi"/>
          <w:sz w:val="24"/>
          <w:szCs w:val="24"/>
          <w:lang w:val="cs-CZ"/>
        </w:rPr>
        <w:t xml:space="preserve"> Vyplývá z pouhé grafické analýzy vztah mezi časovou řadou obchodní bilance a vývojem nominálního efektivního kurzu nějaký vztah?</w:t>
      </w:r>
    </w:p>
    <w:p w:rsidR="008121E9" w:rsidRPr="00340E4C" w:rsidRDefault="008121E9" w:rsidP="008121E9">
      <w:pPr>
        <w:pStyle w:val="Listenabsatz"/>
        <w:rPr>
          <w:rFonts w:asciiTheme="minorHAnsi" w:hAnsiTheme="minorHAnsi" w:cstheme="minorHAnsi"/>
          <w:sz w:val="24"/>
          <w:szCs w:val="24"/>
          <w:lang w:val="cs-CZ"/>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(10/109 Soukup): </w:t>
      </w:r>
      <w:r w:rsidRPr="00340E4C">
        <w:rPr>
          <w:rFonts w:asciiTheme="minorHAnsi" w:hAnsiTheme="minorHAnsi" w:cstheme="minorHAnsi"/>
          <w:sz w:val="24"/>
          <w:szCs w:val="24"/>
          <w:u w:val="single"/>
          <w:lang w:val="cs-CZ"/>
        </w:rPr>
        <w:t xml:space="preserve">Vnější politika: </w:t>
      </w:r>
      <w:r w:rsidRPr="00340E4C">
        <w:rPr>
          <w:rFonts w:asciiTheme="minorHAnsi" w:hAnsiTheme="minorHAnsi" w:cstheme="minorHAnsi"/>
          <w:sz w:val="24"/>
          <w:szCs w:val="24"/>
          <w:lang w:val="cs-CZ"/>
        </w:rPr>
        <w:t>mezinárodní Fisherův efekt: Domácí nominální úroková míra je 4%, domácí reálná úroková míra je 2,5% a zahraniční nominální úroková míra je 5%. Jak vysoký je inflační diferenciál? Vycházejte z neaproximované verze Fisherova efektu.</w:t>
      </w:r>
    </w:p>
    <w:p w:rsidR="008121E9" w:rsidRPr="00340E4C" w:rsidRDefault="008121E9" w:rsidP="008121E9">
      <w:pPr>
        <w:jc w:val="both"/>
        <w:rPr>
          <w:rFonts w:asciiTheme="minorHAnsi" w:hAnsiTheme="minorHAnsi" w:cstheme="minorHAnsi"/>
        </w:rPr>
      </w:pPr>
    </w:p>
    <w:p w:rsidR="008121E9" w:rsidRPr="00340E4C" w:rsidRDefault="008121E9" w:rsidP="001741A7">
      <w:pPr>
        <w:pStyle w:val="Listenabsatz"/>
        <w:numPr>
          <w:ilvl w:val="0"/>
          <w:numId w:val="28"/>
        </w:numPr>
        <w:spacing w:after="0" w:line="240" w:lineRule="auto"/>
        <w:ind w:left="705"/>
        <w:jc w:val="both"/>
        <w:rPr>
          <w:rFonts w:asciiTheme="minorHAnsi" w:hAnsiTheme="minorHAnsi" w:cstheme="minorHAnsi"/>
          <w:sz w:val="24"/>
          <w:szCs w:val="24"/>
          <w:lang w:val="cs-CZ"/>
        </w:rPr>
      </w:pPr>
      <w:r w:rsidRPr="00340E4C">
        <w:rPr>
          <w:rFonts w:asciiTheme="minorHAnsi" w:hAnsiTheme="minorHAnsi" w:cstheme="minorHAnsi"/>
          <w:sz w:val="24"/>
          <w:szCs w:val="24"/>
          <w:lang w:val="cs-CZ"/>
        </w:rPr>
        <w:t xml:space="preserve">(15/118 Soukup): </w:t>
      </w:r>
      <w:r w:rsidRPr="00340E4C">
        <w:rPr>
          <w:rFonts w:asciiTheme="minorHAnsi" w:hAnsiTheme="minorHAnsi" w:cstheme="minorHAnsi"/>
          <w:sz w:val="24"/>
          <w:szCs w:val="24"/>
          <w:u w:val="single"/>
          <w:lang w:val="cs-CZ"/>
        </w:rPr>
        <w:t xml:space="preserve">Vnější politika: </w:t>
      </w:r>
      <w:r w:rsidRPr="00340E4C">
        <w:rPr>
          <w:rFonts w:asciiTheme="minorHAnsi" w:hAnsiTheme="minorHAnsi" w:cstheme="minorHAnsi"/>
          <w:sz w:val="24"/>
          <w:szCs w:val="24"/>
          <w:lang w:val="cs-CZ"/>
        </w:rPr>
        <w:t>Dornbuschův model přestřelování: Znázorněte dopad monetární expanze na vývoj měnového kurzu, jestliže uvažujete krátkodobý růst domácího reálného produktu!</w:t>
      </w:r>
    </w:p>
    <w:p w:rsidR="00783598" w:rsidRPr="00340E4C" w:rsidRDefault="00783598">
      <w:r w:rsidRPr="00340E4C">
        <w:br w:type="page"/>
      </w:r>
    </w:p>
    <w:p w:rsidR="00783598" w:rsidRPr="00340E4C" w:rsidRDefault="00783598" w:rsidP="00636A7A">
      <w:pPr>
        <w:pStyle w:val="berschrift1"/>
      </w:pPr>
      <w:bookmarkStart w:id="245" w:name="_Toc240444157"/>
      <w:bookmarkStart w:id="246" w:name="_Toc240775357"/>
      <w:bookmarkStart w:id="247" w:name="_Toc281979959"/>
      <w:bookmarkStart w:id="248" w:name="_Toc281980001"/>
      <w:bookmarkStart w:id="249" w:name="_Toc296073452"/>
      <w:bookmarkStart w:id="250" w:name="_Toc297533160"/>
      <w:bookmarkStart w:id="251" w:name="_Toc303675520"/>
      <w:bookmarkStart w:id="252" w:name="_Toc303963021"/>
      <w:bookmarkStart w:id="253" w:name="_Toc306176410"/>
      <w:bookmarkStart w:id="254" w:name="_Toc315341179"/>
      <w:bookmarkStart w:id="255" w:name="_Toc316459974"/>
      <w:bookmarkStart w:id="256" w:name="_Toc316460449"/>
      <w:bookmarkStart w:id="257" w:name="_Toc318291426"/>
      <w:bookmarkStart w:id="258" w:name="_Toc328466832"/>
      <w:bookmarkStart w:id="259" w:name="_Toc335724889"/>
      <w:bookmarkStart w:id="260" w:name="_Toc411926294"/>
      <w:bookmarkStart w:id="261" w:name="_Toc1629147"/>
      <w:r w:rsidRPr="00340E4C">
        <w:lastRenderedPageBreak/>
        <w:t>Témata na kolokviální referát za LS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783598" w:rsidRPr="00340E4C" w:rsidRDefault="00783598"/>
    <w:p w:rsidR="00783598" w:rsidRPr="00340E4C" w:rsidRDefault="00783598" w:rsidP="001741A7">
      <w:pPr>
        <w:numPr>
          <w:ilvl w:val="0"/>
          <w:numId w:val="9"/>
        </w:numPr>
        <w:jc w:val="both"/>
      </w:pPr>
      <w:r w:rsidRPr="00340E4C">
        <w:t>mezinárodní porovnání makroekonomických ukazatelů! Jak si stojí česká ekonomika?</w:t>
      </w:r>
    </w:p>
    <w:p w:rsidR="00783598" w:rsidRPr="00340E4C" w:rsidRDefault="00783598" w:rsidP="001741A7">
      <w:pPr>
        <w:numPr>
          <w:ilvl w:val="0"/>
          <w:numId w:val="9"/>
        </w:numPr>
        <w:jc w:val="both"/>
      </w:pPr>
      <w:r w:rsidRPr="00340E4C">
        <w:t>inflační tendence ve 20.</w:t>
      </w:r>
      <w:r w:rsidR="00557111">
        <w:t xml:space="preserve"> </w:t>
      </w:r>
      <w:r w:rsidRPr="00340E4C">
        <w:t>století a na počátku 21.</w:t>
      </w:r>
      <w:r w:rsidR="00557111">
        <w:t xml:space="preserve"> </w:t>
      </w:r>
      <w:r w:rsidRPr="00340E4C">
        <w:t>století</w:t>
      </w:r>
    </w:p>
    <w:p w:rsidR="00783598" w:rsidRPr="00340E4C" w:rsidRDefault="00783598" w:rsidP="001741A7">
      <w:pPr>
        <w:numPr>
          <w:ilvl w:val="0"/>
          <w:numId w:val="9"/>
        </w:numPr>
        <w:jc w:val="both"/>
      </w:pPr>
      <w:r w:rsidRPr="00340E4C">
        <w:t>analýza jakéhokoli inflačního faktoru současnosti</w:t>
      </w:r>
    </w:p>
    <w:p w:rsidR="00783598" w:rsidRPr="00340E4C" w:rsidRDefault="00783598" w:rsidP="001741A7">
      <w:pPr>
        <w:numPr>
          <w:ilvl w:val="0"/>
          <w:numId w:val="9"/>
        </w:numPr>
        <w:jc w:val="both"/>
      </w:pPr>
      <w:r w:rsidRPr="00340E4C">
        <w:t xml:space="preserve">vývoj peněžních agregátů ČR nebo několika středoevropských zemí (viz </w:t>
      </w:r>
      <w:hyperlink r:id="rId157" w:history="1">
        <w:r w:rsidRPr="00340E4C">
          <w:rPr>
            <w:rStyle w:val="Hyperlink"/>
          </w:rPr>
          <w:t>www.cnb.cz</w:t>
        </w:r>
      </w:hyperlink>
      <w:r w:rsidRPr="00340E4C">
        <w:t>)</w:t>
      </w:r>
    </w:p>
    <w:p w:rsidR="00783598" w:rsidRPr="00340E4C" w:rsidRDefault="00783598" w:rsidP="001741A7">
      <w:pPr>
        <w:numPr>
          <w:ilvl w:val="0"/>
          <w:numId w:val="9"/>
        </w:numPr>
        <w:jc w:val="both"/>
      </w:pPr>
      <w:r w:rsidRPr="00340E4C">
        <w:t>analýza hospodářského růstu libovolné země v libovolném období</w:t>
      </w:r>
    </w:p>
    <w:p w:rsidR="00783598" w:rsidRPr="00340E4C" w:rsidRDefault="00783598" w:rsidP="001741A7">
      <w:pPr>
        <w:numPr>
          <w:ilvl w:val="0"/>
          <w:numId w:val="9"/>
        </w:numPr>
        <w:jc w:val="both"/>
      </w:pPr>
      <w:r w:rsidRPr="00340E4C">
        <w:t>analýza hospodářského cyklu libovolné země nebo skupiny zemí v libovolném období</w:t>
      </w:r>
    </w:p>
    <w:p w:rsidR="00783598" w:rsidRPr="00340E4C" w:rsidRDefault="00783598" w:rsidP="001741A7">
      <w:pPr>
        <w:numPr>
          <w:ilvl w:val="0"/>
          <w:numId w:val="9"/>
        </w:numPr>
        <w:jc w:val="both"/>
      </w:pPr>
      <w:r w:rsidRPr="00340E4C">
        <w:t>analýza strukturální nezaměstnanosti od roku 1993 na příkladu vybraného kraje nebo okresu</w:t>
      </w:r>
    </w:p>
    <w:p w:rsidR="00783598" w:rsidRPr="00340E4C" w:rsidRDefault="00783598" w:rsidP="001741A7">
      <w:pPr>
        <w:numPr>
          <w:ilvl w:val="0"/>
          <w:numId w:val="9"/>
        </w:numPr>
        <w:jc w:val="both"/>
      </w:pPr>
      <w:r w:rsidRPr="00340E4C">
        <w:t>exkurz do historie a aktuální pozice některé světové burzy</w:t>
      </w:r>
    </w:p>
    <w:p w:rsidR="00783598" w:rsidRPr="00340E4C" w:rsidRDefault="00783598" w:rsidP="001741A7">
      <w:pPr>
        <w:numPr>
          <w:ilvl w:val="0"/>
          <w:numId w:val="9"/>
        </w:numPr>
        <w:jc w:val="both"/>
      </w:pPr>
      <w:r w:rsidRPr="00340E4C">
        <w:t>makroekonomické projevy globalizace</w:t>
      </w:r>
    </w:p>
    <w:p w:rsidR="00783598" w:rsidRPr="00340E4C" w:rsidRDefault="00783598" w:rsidP="001741A7">
      <w:pPr>
        <w:numPr>
          <w:ilvl w:val="0"/>
          <w:numId w:val="9"/>
        </w:numPr>
        <w:jc w:val="both"/>
      </w:pPr>
      <w:r w:rsidRPr="00340E4C">
        <w:t>makroekonomické podmínky v ČR, rámec pro fungování ekonomiky, mezinárodní srovnání, např. v rámci EU</w:t>
      </w:r>
    </w:p>
    <w:p w:rsidR="00783598" w:rsidRPr="00340E4C" w:rsidRDefault="00783598" w:rsidP="001741A7">
      <w:pPr>
        <w:numPr>
          <w:ilvl w:val="0"/>
          <w:numId w:val="9"/>
        </w:numPr>
        <w:jc w:val="both"/>
      </w:pPr>
      <w:r w:rsidRPr="00340E4C">
        <w:t>srovnání makroekonomických podmínek v Evropské unii s jinými makroekonomickými celky (USA, Čína, Indie, Latinská Amerika)</w:t>
      </w:r>
    </w:p>
    <w:p w:rsidR="00783598" w:rsidRPr="00340E4C" w:rsidRDefault="00783598" w:rsidP="001741A7">
      <w:pPr>
        <w:numPr>
          <w:ilvl w:val="0"/>
          <w:numId w:val="9"/>
        </w:numPr>
        <w:jc w:val="both"/>
      </w:pPr>
      <w:r w:rsidRPr="00340E4C">
        <w:t>Analýza inflace v některé zemi kromě ČR</w:t>
      </w:r>
    </w:p>
    <w:p w:rsidR="00783598" w:rsidRPr="00340E4C" w:rsidRDefault="00783598" w:rsidP="001741A7">
      <w:pPr>
        <w:numPr>
          <w:ilvl w:val="0"/>
          <w:numId w:val="9"/>
        </w:numPr>
        <w:jc w:val="both"/>
      </w:pPr>
      <w:r w:rsidRPr="00340E4C">
        <w:t>Dnešní pohled na Phillipsovu křivku</w:t>
      </w:r>
    </w:p>
    <w:p w:rsidR="00783598" w:rsidRPr="00340E4C" w:rsidRDefault="00783598" w:rsidP="001741A7">
      <w:pPr>
        <w:numPr>
          <w:ilvl w:val="0"/>
          <w:numId w:val="9"/>
        </w:numPr>
        <w:jc w:val="both"/>
      </w:pPr>
      <w:r w:rsidRPr="00340E4C">
        <w:t>úloha státu v nynější finanční krizi, analýza vybraných opatření</w:t>
      </w:r>
    </w:p>
    <w:p w:rsidR="00783598" w:rsidRPr="00340E4C" w:rsidRDefault="00783598" w:rsidP="001741A7">
      <w:pPr>
        <w:numPr>
          <w:ilvl w:val="0"/>
          <w:numId w:val="9"/>
        </w:numPr>
        <w:jc w:val="both"/>
      </w:pPr>
      <w:r w:rsidRPr="00340E4C">
        <w:t>Šance a rizika společné měnové politiky Evropské unie</w:t>
      </w:r>
    </w:p>
    <w:p w:rsidR="00783598" w:rsidRPr="00340E4C" w:rsidRDefault="00783598" w:rsidP="001741A7">
      <w:pPr>
        <w:numPr>
          <w:ilvl w:val="0"/>
          <w:numId w:val="9"/>
        </w:numPr>
        <w:jc w:val="both"/>
      </w:pPr>
      <w:r w:rsidRPr="00340E4C">
        <w:t>historický exkurs do státních zásahů v době hospodářských krizí (např. krize 19.</w:t>
      </w:r>
      <w:r w:rsidR="00557111">
        <w:t xml:space="preserve"> </w:t>
      </w:r>
      <w:r w:rsidRPr="00340E4C">
        <w:t>století a jejich srovnání s krizemi dnešními, Velká hospodářská krize 30.let 20.století, ropné šoky 70.léta 20.století)</w:t>
      </w:r>
      <w:r w:rsidR="00986E0F">
        <w:t xml:space="preserve"> </w:t>
      </w:r>
      <w:r w:rsidRPr="00340E4C">
        <w:t xml:space="preserve">na příkladu několika málo vybraných kroků a jejich dlouhodobých dopadů  </w:t>
      </w:r>
    </w:p>
    <w:p w:rsidR="00783598" w:rsidRPr="00340E4C" w:rsidRDefault="00783598" w:rsidP="001741A7">
      <w:pPr>
        <w:numPr>
          <w:ilvl w:val="0"/>
          <w:numId w:val="9"/>
        </w:numPr>
        <w:jc w:val="both"/>
      </w:pPr>
      <w:r w:rsidRPr="00340E4C">
        <w:t>vybraný nástroj makroekonomické politiky státu a jiných veřejných institucí</w:t>
      </w:r>
    </w:p>
    <w:p w:rsidR="00783598" w:rsidRPr="00340E4C" w:rsidRDefault="00783598" w:rsidP="001741A7">
      <w:pPr>
        <w:numPr>
          <w:ilvl w:val="0"/>
          <w:numId w:val="9"/>
        </w:numPr>
        <w:jc w:val="both"/>
      </w:pPr>
      <w:r w:rsidRPr="00340E4C">
        <w:t>deficit veřejných rozpočtů České republiky – srovnání s jinými zeměmi</w:t>
      </w:r>
    </w:p>
    <w:p w:rsidR="00783598" w:rsidRPr="00340E4C" w:rsidRDefault="00783598" w:rsidP="001741A7">
      <w:pPr>
        <w:numPr>
          <w:ilvl w:val="0"/>
          <w:numId w:val="9"/>
        </w:numPr>
        <w:jc w:val="both"/>
      </w:pPr>
      <w:r w:rsidRPr="00340E4C">
        <w:t>veřejný dluh – analýza jedné nebo několika zemí</w:t>
      </w:r>
    </w:p>
    <w:p w:rsidR="00783598" w:rsidRPr="00340E4C" w:rsidRDefault="00783598" w:rsidP="001741A7">
      <w:pPr>
        <w:numPr>
          <w:ilvl w:val="0"/>
          <w:numId w:val="9"/>
        </w:numPr>
        <w:jc w:val="both"/>
      </w:pPr>
      <w:r w:rsidRPr="00340E4C">
        <w:t>Míra otevřenosti ekonomiky – mezinárodní srovnání</w:t>
      </w:r>
    </w:p>
    <w:p w:rsidR="00783598" w:rsidRPr="00340E4C" w:rsidRDefault="00783598" w:rsidP="001741A7">
      <w:pPr>
        <w:numPr>
          <w:ilvl w:val="0"/>
          <w:numId w:val="9"/>
        </w:numPr>
        <w:jc w:val="both"/>
      </w:pPr>
      <w:r w:rsidRPr="00340E4C">
        <w:t xml:space="preserve">Evropská centrální banka, úkoly, dosavadní výsledky, slabiny, její vliv na řešení současné hospodářské krize  </w:t>
      </w:r>
    </w:p>
    <w:p w:rsidR="00783598" w:rsidRPr="00340E4C" w:rsidRDefault="00783598" w:rsidP="001741A7">
      <w:pPr>
        <w:numPr>
          <w:ilvl w:val="0"/>
          <w:numId w:val="9"/>
        </w:numPr>
        <w:jc w:val="both"/>
      </w:pPr>
      <w:r w:rsidRPr="00340E4C">
        <w:t>Evropská hospodářská politika, problémy, výhledy</w:t>
      </w:r>
    </w:p>
    <w:p w:rsidR="00783598" w:rsidRPr="00340E4C" w:rsidRDefault="00783598" w:rsidP="001741A7">
      <w:pPr>
        <w:numPr>
          <w:ilvl w:val="0"/>
          <w:numId w:val="9"/>
        </w:numPr>
        <w:jc w:val="both"/>
      </w:pPr>
      <w:r w:rsidRPr="00340E4C">
        <w:t>Evropská fiskální politika, problémy, výhledy</w:t>
      </w:r>
    </w:p>
    <w:p w:rsidR="00783598" w:rsidRPr="00340E4C" w:rsidRDefault="00E82A66" w:rsidP="001741A7">
      <w:pPr>
        <w:numPr>
          <w:ilvl w:val="0"/>
          <w:numId w:val="9"/>
        </w:numPr>
        <w:jc w:val="both"/>
      </w:pPr>
      <w:r w:rsidRPr="00340E4C">
        <w:t>Teorie a praxe „ekonomie veřejné volby“</w:t>
      </w:r>
    </w:p>
    <w:p w:rsidR="00783598" w:rsidRPr="00340E4C" w:rsidRDefault="00783598" w:rsidP="001741A7">
      <w:pPr>
        <w:numPr>
          <w:ilvl w:val="0"/>
          <w:numId w:val="9"/>
        </w:numPr>
        <w:jc w:val="both"/>
      </w:pPr>
      <w:r w:rsidRPr="00340E4C">
        <w:t>Nástroje a výsledky anticyklické politiky</w:t>
      </w:r>
    </w:p>
    <w:p w:rsidR="00075560" w:rsidRPr="00340E4C" w:rsidRDefault="00075560" w:rsidP="001741A7">
      <w:pPr>
        <w:numPr>
          <w:ilvl w:val="0"/>
          <w:numId w:val="9"/>
        </w:numPr>
        <w:jc w:val="both"/>
      </w:pPr>
      <w:r w:rsidRPr="00340E4C">
        <w:t>Mezinárodní měnový fond</w:t>
      </w:r>
    </w:p>
    <w:p w:rsidR="00783598" w:rsidRPr="00340E4C" w:rsidRDefault="00783598" w:rsidP="001741A7">
      <w:pPr>
        <w:numPr>
          <w:ilvl w:val="0"/>
          <w:numId w:val="9"/>
        </w:numPr>
        <w:jc w:val="both"/>
      </w:pPr>
      <w:r w:rsidRPr="00340E4C">
        <w:t>jiné téma – nutný předchozí souhlas vyučujícího</w:t>
      </w:r>
    </w:p>
    <w:p w:rsidR="00783598" w:rsidRPr="00340E4C" w:rsidRDefault="00783598">
      <w:pPr>
        <w:jc w:val="both"/>
      </w:pPr>
    </w:p>
    <w:p w:rsidR="00783598" w:rsidRPr="00340E4C" w:rsidRDefault="00783598">
      <w:pPr>
        <w:jc w:val="both"/>
        <w:sectPr w:rsidR="00783598" w:rsidRPr="00340E4C">
          <w:pgSz w:w="11906" w:h="16838"/>
          <w:pgMar w:top="1417" w:right="1417" w:bottom="1417" w:left="1417" w:header="708" w:footer="708" w:gutter="0"/>
          <w:cols w:space="708"/>
          <w:docGrid w:linePitch="360"/>
        </w:sectPr>
      </w:pPr>
    </w:p>
    <w:p w:rsidR="00783598" w:rsidRPr="00340E4C" w:rsidRDefault="00783598"/>
    <w:p w:rsidR="00783598" w:rsidRPr="00340E4C" w:rsidRDefault="00783598">
      <w:pPr>
        <w:pStyle w:val="berschrift1"/>
      </w:pPr>
      <w:bookmarkStart w:id="262" w:name="_Toc240444158"/>
      <w:bookmarkStart w:id="263" w:name="_Toc240775358"/>
      <w:bookmarkStart w:id="264" w:name="_Toc281979960"/>
      <w:bookmarkStart w:id="265" w:name="_Toc281980002"/>
      <w:bookmarkStart w:id="266" w:name="_Toc296073453"/>
      <w:bookmarkStart w:id="267" w:name="_Toc297533161"/>
      <w:bookmarkStart w:id="268" w:name="_Toc303675521"/>
      <w:bookmarkStart w:id="269" w:name="_Toc303963022"/>
      <w:bookmarkStart w:id="270" w:name="_Toc306176411"/>
      <w:bookmarkStart w:id="271" w:name="_Toc315341180"/>
      <w:bookmarkStart w:id="272" w:name="_Toc316459975"/>
      <w:bookmarkStart w:id="273" w:name="_Toc316460450"/>
      <w:bookmarkStart w:id="274" w:name="_Toc318291427"/>
      <w:bookmarkStart w:id="275" w:name="_Toc328466833"/>
      <w:bookmarkStart w:id="276" w:name="_Toc335724890"/>
      <w:bookmarkStart w:id="277" w:name="_Toc411926295"/>
      <w:bookmarkStart w:id="278" w:name="_Toc1629148"/>
      <w:r w:rsidRPr="00340E4C">
        <w:t>Literatura</w:t>
      </w:r>
      <w:bookmarkEnd w:id="262"/>
      <w:bookmarkEnd w:id="263"/>
      <w:bookmarkEnd w:id="264"/>
      <w:bookmarkEnd w:id="265"/>
      <w:r w:rsidR="00EA7C5A" w:rsidRPr="00340E4C">
        <w:t xml:space="preserve"> a zdroje</w:t>
      </w:r>
      <w:bookmarkEnd w:id="266"/>
      <w:bookmarkEnd w:id="267"/>
      <w:bookmarkEnd w:id="268"/>
      <w:bookmarkEnd w:id="269"/>
      <w:bookmarkEnd w:id="270"/>
      <w:bookmarkEnd w:id="271"/>
      <w:bookmarkEnd w:id="272"/>
      <w:bookmarkEnd w:id="273"/>
      <w:bookmarkEnd w:id="274"/>
      <w:bookmarkEnd w:id="275"/>
      <w:bookmarkEnd w:id="276"/>
      <w:bookmarkEnd w:id="277"/>
      <w:bookmarkEnd w:id="278"/>
    </w:p>
    <w:p w:rsidR="00783598" w:rsidRPr="00340E4C" w:rsidRDefault="00783598">
      <w:pPr>
        <w:rPr>
          <w:szCs w:val="20"/>
        </w:rPr>
      </w:pPr>
    </w:p>
    <w:p w:rsidR="00783598" w:rsidRDefault="00783598">
      <w:pPr>
        <w:pStyle w:val="berschrift2"/>
        <w:jc w:val="both"/>
        <w:rPr>
          <w:iCs w:val="0"/>
          <w:szCs w:val="20"/>
        </w:rPr>
      </w:pPr>
      <w:bookmarkStart w:id="279" w:name="_Toc240444159"/>
      <w:bookmarkStart w:id="280" w:name="_Toc240775359"/>
      <w:bookmarkStart w:id="281" w:name="_Toc281979961"/>
      <w:bookmarkStart w:id="282" w:name="_Toc281980003"/>
      <w:bookmarkStart w:id="283" w:name="_Toc296073454"/>
      <w:bookmarkStart w:id="284" w:name="_Toc297533162"/>
      <w:bookmarkStart w:id="285" w:name="_Toc303675522"/>
      <w:bookmarkStart w:id="286" w:name="_Toc303963023"/>
      <w:bookmarkStart w:id="287" w:name="_Toc306176412"/>
      <w:bookmarkStart w:id="288" w:name="_Toc315341181"/>
      <w:bookmarkStart w:id="289" w:name="_Toc316459976"/>
      <w:bookmarkStart w:id="290" w:name="_Toc316460451"/>
      <w:bookmarkStart w:id="291" w:name="_Toc318291428"/>
      <w:bookmarkStart w:id="292" w:name="_Toc328466834"/>
      <w:r w:rsidRPr="00340E4C">
        <w:rPr>
          <w:iCs w:val="0"/>
          <w:szCs w:val="20"/>
        </w:rPr>
        <w:t>Literatura k</w:t>
      </w:r>
      <w:r w:rsidR="00340E4C">
        <w:rPr>
          <w:iCs w:val="0"/>
          <w:szCs w:val="20"/>
        </w:rPr>
        <w:t> </w:t>
      </w:r>
      <w:r w:rsidRPr="00340E4C">
        <w:rPr>
          <w:iCs w:val="0"/>
          <w:szCs w:val="20"/>
        </w:rPr>
        <w:t>mikroekonomii</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340E4C" w:rsidRPr="00340E4C" w:rsidRDefault="00340E4C" w:rsidP="00340E4C"/>
    <w:p w:rsidR="00783598" w:rsidRPr="00340E4C" w:rsidRDefault="00783598">
      <w:pPr>
        <w:ind w:left="360" w:hanging="360"/>
        <w:jc w:val="both"/>
      </w:pPr>
      <w:r w:rsidRPr="00340E4C">
        <w:rPr>
          <w:szCs w:val="20"/>
        </w:rPr>
        <w:t xml:space="preserve">[1] </w:t>
      </w:r>
      <w:r w:rsidRPr="00340E4C">
        <w:t>Hořejší B., Macáková L., Soukup J. a Soukupová J.: Mikroekonomie, Management Press, Praha 2003</w:t>
      </w:r>
    </w:p>
    <w:p w:rsidR="00783598" w:rsidRPr="00340E4C" w:rsidRDefault="00783598">
      <w:pPr>
        <w:rPr>
          <w:szCs w:val="20"/>
        </w:rPr>
      </w:pPr>
    </w:p>
    <w:p w:rsidR="00783598" w:rsidRPr="00340E4C" w:rsidRDefault="00783598">
      <w:pPr>
        <w:jc w:val="both"/>
        <w:rPr>
          <w:szCs w:val="20"/>
        </w:rPr>
      </w:pPr>
      <w:r w:rsidRPr="00340E4C">
        <w:rPr>
          <w:szCs w:val="20"/>
        </w:rPr>
        <w:t>[2] Macáková L. a kol.: Mikroekonomie II, cvičebnice, MELANDRIUM Slaný 2003</w:t>
      </w:r>
    </w:p>
    <w:p w:rsidR="00783598" w:rsidRPr="00340E4C" w:rsidRDefault="00783598">
      <w:pPr>
        <w:rPr>
          <w:szCs w:val="20"/>
        </w:rPr>
      </w:pPr>
    </w:p>
    <w:p w:rsidR="00783598" w:rsidRDefault="00783598">
      <w:pPr>
        <w:ind w:left="360" w:hanging="360"/>
        <w:jc w:val="both"/>
        <w:rPr>
          <w:szCs w:val="20"/>
        </w:rPr>
      </w:pPr>
      <w:r w:rsidRPr="00340E4C">
        <w:rPr>
          <w:szCs w:val="20"/>
        </w:rPr>
        <w:t>[3] Nezval P., Tuleja P.: Mikroekonomie A, Slezská univerzita v Opavě, Obchodně podnikatelská fakulta v Karviné</w:t>
      </w:r>
      <w:r w:rsidRPr="00340E4C">
        <w:rPr>
          <w:caps/>
          <w:szCs w:val="20"/>
        </w:rPr>
        <w:t xml:space="preserve"> 2004</w:t>
      </w:r>
      <w:r w:rsidRPr="00340E4C">
        <w:rPr>
          <w:szCs w:val="20"/>
        </w:rPr>
        <w:t xml:space="preserve"> </w:t>
      </w:r>
    </w:p>
    <w:p w:rsidR="00340E4C" w:rsidRDefault="00340E4C">
      <w:pPr>
        <w:ind w:left="360" w:hanging="360"/>
        <w:jc w:val="both"/>
        <w:rPr>
          <w:szCs w:val="20"/>
        </w:rPr>
      </w:pPr>
    </w:p>
    <w:p w:rsidR="00340E4C" w:rsidRPr="00340E4C" w:rsidRDefault="00340E4C">
      <w:pPr>
        <w:ind w:left="360" w:hanging="360"/>
        <w:jc w:val="both"/>
        <w:rPr>
          <w:szCs w:val="20"/>
        </w:rPr>
      </w:pPr>
      <w:r>
        <w:rPr>
          <w:szCs w:val="20"/>
          <w:lang w:val="en-US"/>
        </w:rPr>
        <w:t>[4] Václav Jurečka a kolektiv: Mikroekonomie, Grada Publishing, Praha 2010</w:t>
      </w:r>
    </w:p>
    <w:p w:rsidR="00783598" w:rsidRPr="00340E4C" w:rsidRDefault="00783598">
      <w:pPr>
        <w:ind w:left="360" w:hanging="360"/>
        <w:jc w:val="both"/>
        <w:rPr>
          <w:szCs w:val="20"/>
        </w:rPr>
      </w:pPr>
    </w:p>
    <w:p w:rsidR="00783598" w:rsidRDefault="00783598">
      <w:pPr>
        <w:pStyle w:val="berschrift2"/>
        <w:jc w:val="both"/>
      </w:pPr>
      <w:bookmarkStart w:id="293" w:name="_Toc240444160"/>
      <w:bookmarkStart w:id="294" w:name="_Toc240775360"/>
      <w:bookmarkStart w:id="295" w:name="_Toc281979962"/>
      <w:bookmarkStart w:id="296" w:name="_Toc281980004"/>
      <w:bookmarkStart w:id="297" w:name="_Toc296073455"/>
      <w:bookmarkStart w:id="298" w:name="_Toc297533163"/>
      <w:bookmarkStart w:id="299" w:name="_Toc303675523"/>
      <w:bookmarkStart w:id="300" w:name="_Toc303963024"/>
      <w:bookmarkStart w:id="301" w:name="_Toc306176413"/>
      <w:bookmarkStart w:id="302" w:name="_Toc315341182"/>
      <w:bookmarkStart w:id="303" w:name="_Toc316459977"/>
      <w:bookmarkStart w:id="304" w:name="_Toc316460452"/>
      <w:bookmarkStart w:id="305" w:name="_Toc318291429"/>
      <w:bookmarkStart w:id="306" w:name="_Toc328466835"/>
      <w:r w:rsidRPr="00340E4C">
        <w:t xml:space="preserve">Literatura </w:t>
      </w:r>
      <w:r w:rsidR="00EA7C5A" w:rsidRPr="00340E4C">
        <w:t xml:space="preserve">a zdroje </w:t>
      </w:r>
      <w:r w:rsidRPr="00340E4C">
        <w:t>k</w:t>
      </w:r>
      <w:r w:rsidR="00340E4C">
        <w:t> </w:t>
      </w:r>
      <w:r w:rsidRPr="00340E4C">
        <w:t>makroekonomii</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340E4C" w:rsidRPr="00340E4C" w:rsidRDefault="00340E4C" w:rsidP="00340E4C"/>
    <w:p w:rsidR="009B4211" w:rsidRDefault="00783598">
      <w:pPr>
        <w:rPr>
          <w:szCs w:val="20"/>
        </w:rPr>
      </w:pPr>
      <w:r w:rsidRPr="00340E4C">
        <w:rPr>
          <w:szCs w:val="20"/>
        </w:rPr>
        <w:t>[</w:t>
      </w:r>
      <w:r w:rsidR="00340E4C">
        <w:rPr>
          <w:szCs w:val="20"/>
        </w:rPr>
        <w:t>5</w:t>
      </w:r>
      <w:r w:rsidRPr="00340E4C">
        <w:rPr>
          <w:szCs w:val="20"/>
        </w:rPr>
        <w:t xml:space="preserve">] </w:t>
      </w:r>
      <w:r w:rsidR="009B4211">
        <w:rPr>
          <w:szCs w:val="20"/>
        </w:rPr>
        <w:t>Soukup J., Pošta V., Neset P., Pavelka T., Dobrylovský J.: Makroekonomie, 2. Aktuali-zované vydání, Management Press Praha 2011</w:t>
      </w:r>
    </w:p>
    <w:p w:rsidR="009B4211" w:rsidRDefault="009B4211">
      <w:pPr>
        <w:rPr>
          <w:szCs w:val="20"/>
        </w:rPr>
      </w:pPr>
    </w:p>
    <w:p w:rsidR="00783598" w:rsidRPr="00340E4C" w:rsidRDefault="009B4211">
      <w:pPr>
        <w:rPr>
          <w:szCs w:val="20"/>
        </w:rPr>
      </w:pPr>
      <w:r w:rsidRPr="00340E4C">
        <w:rPr>
          <w:szCs w:val="20"/>
        </w:rPr>
        <w:t>[</w:t>
      </w:r>
      <w:r>
        <w:rPr>
          <w:szCs w:val="20"/>
        </w:rPr>
        <w:t>6</w:t>
      </w:r>
      <w:r w:rsidRPr="00340E4C">
        <w:rPr>
          <w:szCs w:val="20"/>
        </w:rPr>
        <w:t>]</w:t>
      </w:r>
      <w:r>
        <w:rPr>
          <w:szCs w:val="20"/>
        </w:rPr>
        <w:t xml:space="preserve"> </w:t>
      </w:r>
      <w:r w:rsidR="00783598" w:rsidRPr="00340E4C">
        <w:rPr>
          <w:szCs w:val="20"/>
        </w:rPr>
        <w:t>Holman R.: Makroekonomie, C.</w:t>
      </w:r>
      <w:r>
        <w:rPr>
          <w:szCs w:val="20"/>
        </w:rPr>
        <w:t xml:space="preserve"> </w:t>
      </w:r>
      <w:r w:rsidR="00783598" w:rsidRPr="00340E4C">
        <w:rPr>
          <w:szCs w:val="20"/>
        </w:rPr>
        <w:t>H.</w:t>
      </w:r>
      <w:r>
        <w:rPr>
          <w:szCs w:val="20"/>
        </w:rPr>
        <w:t xml:space="preserve"> </w:t>
      </w:r>
      <w:r w:rsidR="00783598" w:rsidRPr="00340E4C">
        <w:rPr>
          <w:szCs w:val="20"/>
        </w:rPr>
        <w:t>Beck v Praze roku 2004</w:t>
      </w:r>
    </w:p>
    <w:p w:rsidR="00783598" w:rsidRPr="00340E4C" w:rsidRDefault="00783598">
      <w:pPr>
        <w:rPr>
          <w:szCs w:val="20"/>
        </w:rPr>
      </w:pPr>
    </w:p>
    <w:p w:rsidR="00783598" w:rsidRPr="00340E4C" w:rsidRDefault="00783598">
      <w:pPr>
        <w:rPr>
          <w:szCs w:val="20"/>
        </w:rPr>
      </w:pPr>
      <w:r w:rsidRPr="00340E4C">
        <w:rPr>
          <w:szCs w:val="20"/>
        </w:rPr>
        <w:t>[</w:t>
      </w:r>
      <w:r w:rsidR="009B4211">
        <w:rPr>
          <w:szCs w:val="20"/>
        </w:rPr>
        <w:t>7</w:t>
      </w:r>
      <w:r w:rsidRPr="00340E4C">
        <w:rPr>
          <w:szCs w:val="20"/>
        </w:rPr>
        <w:t>] Holman R.: Ekonomie, C.</w:t>
      </w:r>
      <w:r w:rsidR="009B4211">
        <w:rPr>
          <w:szCs w:val="20"/>
        </w:rPr>
        <w:t xml:space="preserve"> </w:t>
      </w:r>
      <w:r w:rsidRPr="00340E4C">
        <w:rPr>
          <w:szCs w:val="20"/>
        </w:rPr>
        <w:t>H.</w:t>
      </w:r>
      <w:r w:rsidR="009B4211">
        <w:rPr>
          <w:szCs w:val="20"/>
        </w:rPr>
        <w:t xml:space="preserve"> </w:t>
      </w:r>
      <w:r w:rsidRPr="00340E4C">
        <w:rPr>
          <w:szCs w:val="20"/>
        </w:rPr>
        <w:t>Beck v Praze roku 2005</w:t>
      </w:r>
    </w:p>
    <w:p w:rsidR="00783598" w:rsidRPr="00340E4C" w:rsidRDefault="00783598">
      <w:pPr>
        <w:ind w:left="360" w:hanging="360"/>
        <w:jc w:val="both"/>
        <w:rPr>
          <w:szCs w:val="20"/>
        </w:rPr>
      </w:pPr>
    </w:p>
    <w:p w:rsidR="00783598" w:rsidRDefault="00783598">
      <w:pPr>
        <w:ind w:left="360" w:hanging="360"/>
        <w:jc w:val="both"/>
        <w:rPr>
          <w:caps/>
          <w:szCs w:val="20"/>
        </w:rPr>
      </w:pPr>
      <w:r w:rsidRPr="00340E4C">
        <w:rPr>
          <w:szCs w:val="20"/>
        </w:rPr>
        <w:t>[</w:t>
      </w:r>
      <w:r w:rsidR="009B4211">
        <w:rPr>
          <w:szCs w:val="20"/>
        </w:rPr>
        <w:t>8</w:t>
      </w:r>
      <w:r w:rsidRPr="00340E4C">
        <w:rPr>
          <w:szCs w:val="20"/>
        </w:rPr>
        <w:t xml:space="preserve">] Paulík T., Pellešová P.: Makroekonomie </w:t>
      </w:r>
      <w:r w:rsidRPr="00340E4C">
        <w:rPr>
          <w:caps/>
          <w:szCs w:val="20"/>
        </w:rPr>
        <w:t xml:space="preserve">A, </w:t>
      </w:r>
      <w:r w:rsidRPr="00340E4C">
        <w:rPr>
          <w:szCs w:val="20"/>
        </w:rPr>
        <w:t>Slezská univerzita v Opavě, Obchodně podnikatelská fakulta v Karviné</w:t>
      </w:r>
      <w:r w:rsidRPr="00340E4C">
        <w:rPr>
          <w:caps/>
          <w:szCs w:val="20"/>
        </w:rPr>
        <w:t xml:space="preserve"> 2004</w:t>
      </w:r>
    </w:p>
    <w:p w:rsidR="005A3C96" w:rsidRDefault="005A3C96">
      <w:pPr>
        <w:ind w:left="360" w:hanging="360"/>
        <w:jc w:val="both"/>
        <w:rPr>
          <w:caps/>
          <w:szCs w:val="20"/>
        </w:rPr>
      </w:pPr>
    </w:p>
    <w:p w:rsidR="005A3C96" w:rsidRPr="005A3C96" w:rsidRDefault="005A3C96">
      <w:pPr>
        <w:ind w:left="360" w:hanging="360"/>
        <w:jc w:val="both"/>
        <w:rPr>
          <w:caps/>
          <w:szCs w:val="20"/>
        </w:rPr>
      </w:pPr>
      <w:r w:rsidRPr="005A3C96">
        <w:rPr>
          <w:caps/>
          <w:szCs w:val="20"/>
        </w:rPr>
        <w:t>[</w:t>
      </w:r>
      <w:r w:rsidR="009B4211">
        <w:rPr>
          <w:caps/>
          <w:szCs w:val="20"/>
        </w:rPr>
        <w:t>9</w:t>
      </w:r>
      <w:r w:rsidRPr="005A3C96">
        <w:rPr>
          <w:caps/>
          <w:szCs w:val="20"/>
        </w:rPr>
        <w:t>]</w:t>
      </w:r>
      <w:r w:rsidRPr="005A3C96">
        <w:rPr>
          <w:szCs w:val="20"/>
        </w:rPr>
        <w:t xml:space="preserve"> Pošta V., Sirůček P.: Makroekonomie základní kurz cvičebnice, Melandrium, Slaný 2008</w:t>
      </w:r>
    </w:p>
    <w:p w:rsidR="00340E4C" w:rsidRPr="005A3C96" w:rsidRDefault="00340E4C">
      <w:pPr>
        <w:ind w:left="360" w:hanging="360"/>
        <w:jc w:val="both"/>
        <w:rPr>
          <w:caps/>
          <w:szCs w:val="20"/>
        </w:rPr>
      </w:pPr>
    </w:p>
    <w:p w:rsidR="00EA7C5A" w:rsidRPr="00F87C61" w:rsidRDefault="00340E4C">
      <w:pPr>
        <w:ind w:left="360" w:hanging="360"/>
        <w:jc w:val="both"/>
        <w:rPr>
          <w:szCs w:val="20"/>
        </w:rPr>
      </w:pPr>
      <w:r w:rsidRPr="00F87C61">
        <w:rPr>
          <w:caps/>
          <w:szCs w:val="20"/>
        </w:rPr>
        <w:t>[</w:t>
      </w:r>
      <w:r w:rsidR="009B4211">
        <w:rPr>
          <w:caps/>
          <w:szCs w:val="20"/>
        </w:rPr>
        <w:t>10</w:t>
      </w:r>
      <w:r w:rsidRPr="00F87C61">
        <w:rPr>
          <w:caps/>
          <w:szCs w:val="20"/>
        </w:rPr>
        <w:t xml:space="preserve">] </w:t>
      </w:r>
      <w:r w:rsidRPr="00F87C61">
        <w:rPr>
          <w:szCs w:val="20"/>
        </w:rPr>
        <w:t>Soukup J., Pošta V., Neset P., Pavelka T., Dobrylovský J.: Makroekonomie cvičebnice</w:t>
      </w:r>
      <w:r w:rsidR="005A3C96" w:rsidRPr="00F87C61">
        <w:rPr>
          <w:szCs w:val="20"/>
        </w:rPr>
        <w:t>, Melandrium,  Slaný 2009</w:t>
      </w:r>
    </w:p>
    <w:p w:rsidR="00340E4C" w:rsidRPr="00340E4C" w:rsidRDefault="00340E4C">
      <w:pPr>
        <w:ind w:left="360" w:hanging="360"/>
        <w:jc w:val="both"/>
        <w:rPr>
          <w:szCs w:val="20"/>
        </w:rPr>
      </w:pPr>
    </w:p>
    <w:p w:rsidR="00EA7C5A" w:rsidRPr="00340E4C" w:rsidRDefault="00EA7C5A">
      <w:pPr>
        <w:ind w:left="360" w:hanging="360"/>
        <w:jc w:val="both"/>
        <w:rPr>
          <w:szCs w:val="20"/>
        </w:rPr>
      </w:pPr>
      <w:r w:rsidRPr="00340E4C">
        <w:rPr>
          <w:szCs w:val="20"/>
        </w:rPr>
        <w:t>[</w:t>
      </w:r>
      <w:r w:rsidR="005A3C96">
        <w:rPr>
          <w:szCs w:val="20"/>
        </w:rPr>
        <w:t>1</w:t>
      </w:r>
      <w:r w:rsidR="009B4211">
        <w:rPr>
          <w:szCs w:val="20"/>
        </w:rPr>
        <w:t>1</w:t>
      </w:r>
      <w:r w:rsidRPr="00340E4C">
        <w:rPr>
          <w:szCs w:val="20"/>
        </w:rPr>
        <w:t xml:space="preserve">] </w:t>
      </w:r>
      <w:hyperlink r:id="rId158" w:history="1">
        <w:r w:rsidRPr="00340E4C">
          <w:rPr>
            <w:rStyle w:val="Hyperlink"/>
            <w:szCs w:val="20"/>
          </w:rPr>
          <w:t>www.fgn.unisg.ch/eurmacro/Tutor/</w:t>
        </w:r>
      </w:hyperlink>
    </w:p>
    <w:p w:rsidR="00EA7C5A" w:rsidRPr="00340E4C" w:rsidRDefault="00EA7C5A">
      <w:pPr>
        <w:ind w:left="360" w:hanging="360"/>
        <w:jc w:val="both"/>
        <w:rPr>
          <w:caps/>
          <w:szCs w:val="20"/>
        </w:rPr>
      </w:pPr>
    </w:p>
    <w:p w:rsidR="00783598" w:rsidRDefault="00783598">
      <w:pPr>
        <w:pStyle w:val="berschrift2"/>
        <w:jc w:val="both"/>
        <w:rPr>
          <w:iCs w:val="0"/>
          <w:szCs w:val="20"/>
        </w:rPr>
      </w:pPr>
      <w:bookmarkStart w:id="307" w:name="_Toc240444161"/>
      <w:bookmarkStart w:id="308" w:name="_Toc240775361"/>
      <w:bookmarkStart w:id="309" w:name="_Toc281979963"/>
      <w:bookmarkStart w:id="310" w:name="_Toc281980005"/>
      <w:bookmarkStart w:id="311" w:name="_Toc296073456"/>
      <w:bookmarkStart w:id="312" w:name="_Toc297533164"/>
      <w:bookmarkStart w:id="313" w:name="_Toc303675524"/>
      <w:bookmarkStart w:id="314" w:name="_Toc303963025"/>
      <w:bookmarkStart w:id="315" w:name="_Toc306176414"/>
      <w:bookmarkStart w:id="316" w:name="_Toc315341183"/>
      <w:bookmarkStart w:id="317" w:name="_Toc316459978"/>
      <w:bookmarkStart w:id="318" w:name="_Toc316460453"/>
      <w:bookmarkStart w:id="319" w:name="_Toc318291430"/>
      <w:bookmarkStart w:id="320" w:name="_Toc328466836"/>
      <w:r w:rsidRPr="00340E4C">
        <w:rPr>
          <w:iCs w:val="0"/>
          <w:szCs w:val="20"/>
        </w:rPr>
        <w:t>Ostatní a doplňková literatura</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340E4C" w:rsidRPr="00340E4C" w:rsidRDefault="00340E4C" w:rsidP="00340E4C"/>
    <w:p w:rsidR="00783598" w:rsidRPr="00340E4C" w:rsidRDefault="00783598">
      <w:pPr>
        <w:rPr>
          <w:szCs w:val="20"/>
        </w:rPr>
      </w:pPr>
      <w:r w:rsidRPr="00340E4C">
        <w:rPr>
          <w:szCs w:val="20"/>
        </w:rPr>
        <w:t>[</w:t>
      </w:r>
      <w:r w:rsidR="00340E4C">
        <w:rPr>
          <w:szCs w:val="20"/>
        </w:rPr>
        <w:t>1</w:t>
      </w:r>
      <w:r w:rsidR="009B4211">
        <w:rPr>
          <w:szCs w:val="20"/>
        </w:rPr>
        <w:t>2</w:t>
      </w:r>
      <w:r w:rsidRPr="00340E4C">
        <w:rPr>
          <w:szCs w:val="20"/>
        </w:rPr>
        <w:t>] Holman R.: Dějiny ekonomického myšlení, C.H.Beck v Praze roku 2001</w:t>
      </w:r>
    </w:p>
    <w:p w:rsidR="00783598" w:rsidRPr="00340E4C" w:rsidRDefault="00783598">
      <w:pPr>
        <w:rPr>
          <w:szCs w:val="20"/>
        </w:rPr>
      </w:pPr>
    </w:p>
    <w:p w:rsidR="00783598" w:rsidRPr="00340E4C" w:rsidRDefault="00783598">
      <w:pPr>
        <w:jc w:val="both"/>
        <w:rPr>
          <w:szCs w:val="20"/>
        </w:rPr>
      </w:pPr>
      <w:r w:rsidRPr="00340E4C">
        <w:rPr>
          <w:szCs w:val="20"/>
        </w:rPr>
        <w:t>[</w:t>
      </w:r>
      <w:r w:rsidR="00340E4C">
        <w:rPr>
          <w:szCs w:val="20"/>
        </w:rPr>
        <w:t>1</w:t>
      </w:r>
      <w:r w:rsidR="009B4211">
        <w:rPr>
          <w:szCs w:val="20"/>
        </w:rPr>
        <w:t>3</w:t>
      </w:r>
      <w:r w:rsidRPr="00340E4C">
        <w:rPr>
          <w:szCs w:val="20"/>
        </w:rPr>
        <w:t>] Samuelson P.A., Nordhaus W.D.: Ekonomie, Svoboda Praha 1995</w:t>
      </w:r>
    </w:p>
    <w:p w:rsidR="00A062C6" w:rsidRPr="00340E4C" w:rsidRDefault="00A062C6">
      <w:pPr>
        <w:jc w:val="both"/>
        <w:rPr>
          <w:szCs w:val="20"/>
        </w:rPr>
      </w:pPr>
    </w:p>
    <w:p w:rsidR="00A062C6" w:rsidRPr="00340E4C" w:rsidRDefault="00A062C6">
      <w:pPr>
        <w:jc w:val="both"/>
        <w:rPr>
          <w:szCs w:val="20"/>
        </w:rPr>
      </w:pPr>
      <w:r w:rsidRPr="00340E4C">
        <w:rPr>
          <w:szCs w:val="20"/>
        </w:rPr>
        <w:t>[</w:t>
      </w:r>
      <w:r w:rsidR="00EA7C5A" w:rsidRPr="00340E4C">
        <w:rPr>
          <w:szCs w:val="20"/>
        </w:rPr>
        <w:t>1</w:t>
      </w:r>
      <w:r w:rsidR="009B4211">
        <w:rPr>
          <w:szCs w:val="20"/>
        </w:rPr>
        <w:t>4</w:t>
      </w:r>
      <w:r w:rsidRPr="00340E4C">
        <w:rPr>
          <w:szCs w:val="20"/>
        </w:rPr>
        <w:t xml:space="preserve">] Ing. Jena Švarcová, Ph. </w:t>
      </w:r>
      <w:r w:rsidRPr="00340E4C">
        <w:t>D., Ekonomie stručný přehled 2009/10, CEED (</w:t>
      </w:r>
      <w:r w:rsidRPr="00340E4C">
        <w:rPr>
          <w:b/>
          <w:bCs/>
          <w:color w:val="000000"/>
        </w:rPr>
        <w:t>C</w:t>
      </w:r>
      <w:r w:rsidRPr="00340E4C">
        <w:rPr>
          <w:color w:val="000000"/>
        </w:rPr>
        <w:t xml:space="preserve">entre of </w:t>
      </w:r>
      <w:r w:rsidRPr="00340E4C">
        <w:rPr>
          <w:b/>
          <w:bCs/>
          <w:color w:val="000000"/>
        </w:rPr>
        <w:t>E</w:t>
      </w:r>
      <w:r w:rsidRPr="00340E4C">
        <w:rPr>
          <w:color w:val="000000"/>
        </w:rPr>
        <w:t xml:space="preserve">conomy </w:t>
      </w:r>
      <w:r w:rsidRPr="00340E4C">
        <w:rPr>
          <w:b/>
          <w:bCs/>
          <w:color w:val="000000"/>
        </w:rPr>
        <w:t>E</w:t>
      </w:r>
      <w:r w:rsidRPr="00340E4C">
        <w:rPr>
          <w:color w:val="000000"/>
        </w:rPr>
        <w:t xml:space="preserve">ducation </w:t>
      </w:r>
      <w:r w:rsidRPr="00340E4C">
        <w:rPr>
          <w:b/>
          <w:bCs/>
          <w:color w:val="000000"/>
        </w:rPr>
        <w:t>D</w:t>
      </w:r>
      <w:r w:rsidRPr="00340E4C">
        <w:rPr>
          <w:color w:val="000000"/>
        </w:rPr>
        <w:t xml:space="preserve">evelopment), </w:t>
      </w:r>
      <w:hyperlink r:id="rId159" w:history="1">
        <w:r w:rsidRPr="00340E4C">
          <w:rPr>
            <w:rStyle w:val="Hyperlink"/>
          </w:rPr>
          <w:t>www.ceed.cz</w:t>
        </w:r>
      </w:hyperlink>
    </w:p>
    <w:p w:rsidR="00783598" w:rsidRPr="00340E4C" w:rsidRDefault="00783598">
      <w:pPr>
        <w:rPr>
          <w:szCs w:val="20"/>
        </w:rPr>
      </w:pPr>
    </w:p>
    <w:p w:rsidR="00783598" w:rsidRPr="00340E4C" w:rsidRDefault="00783598">
      <w:pPr>
        <w:rPr>
          <w:szCs w:val="20"/>
        </w:rPr>
      </w:pPr>
    </w:p>
    <w:p w:rsidR="00783598" w:rsidRPr="00340E4C" w:rsidRDefault="00783598">
      <w:pPr>
        <w:rPr>
          <w:szCs w:val="20"/>
        </w:rPr>
      </w:pPr>
    </w:p>
    <w:p w:rsidR="00783598" w:rsidRPr="00340E4C" w:rsidRDefault="00783598">
      <w:pPr>
        <w:rPr>
          <w:b/>
          <w:bCs/>
          <w:u w:val="single"/>
        </w:rPr>
        <w:sectPr w:rsidR="00783598" w:rsidRPr="00340E4C">
          <w:pgSz w:w="11906" w:h="16838"/>
          <w:pgMar w:top="1417" w:right="1417" w:bottom="1417" w:left="1417" w:header="708" w:footer="708" w:gutter="0"/>
          <w:cols w:space="708"/>
          <w:docGrid w:linePitch="360"/>
        </w:sectPr>
      </w:pPr>
    </w:p>
    <w:p w:rsidR="00783598" w:rsidRDefault="00783598">
      <w:pPr>
        <w:pStyle w:val="berschrift1"/>
      </w:pPr>
      <w:bookmarkStart w:id="321" w:name="_Toc240444162"/>
      <w:bookmarkStart w:id="322" w:name="_Toc240775362"/>
      <w:bookmarkStart w:id="323" w:name="_Toc281979964"/>
      <w:bookmarkStart w:id="324" w:name="_Toc281980006"/>
      <w:bookmarkStart w:id="325" w:name="_Toc296073457"/>
      <w:bookmarkStart w:id="326" w:name="_Toc297533165"/>
      <w:bookmarkStart w:id="327" w:name="_Toc303675525"/>
      <w:bookmarkStart w:id="328" w:name="_Toc303963026"/>
      <w:bookmarkStart w:id="329" w:name="_Toc306176415"/>
      <w:bookmarkStart w:id="330" w:name="_Toc315341184"/>
      <w:bookmarkStart w:id="331" w:name="_Toc316459979"/>
      <w:bookmarkStart w:id="332" w:name="_Toc316460454"/>
      <w:bookmarkStart w:id="333" w:name="_Toc318291431"/>
      <w:bookmarkStart w:id="334" w:name="_Toc328466837"/>
      <w:bookmarkStart w:id="335" w:name="_Toc335724891"/>
      <w:bookmarkStart w:id="336" w:name="_Toc411926296"/>
      <w:bookmarkStart w:id="337" w:name="_Toc1629149"/>
      <w:r w:rsidRPr="00340E4C">
        <w:lastRenderedPageBreak/>
        <w:t>Otázky ke zkouškám</w:t>
      </w:r>
      <w:r w:rsidR="00FD62F4">
        <w:t xml:space="preserve"> </w:t>
      </w:r>
      <w:r w:rsidRPr="00340E4C">
        <w:t xml:space="preserve"> makroekonomie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783598" w:rsidRPr="00340E4C" w:rsidRDefault="00783598" w:rsidP="00FD62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744"/>
      </w:tblGrid>
      <w:tr w:rsidR="00783598" w:rsidRPr="00340E4C">
        <w:trPr>
          <w:trHeight w:val="584"/>
        </w:trPr>
        <w:tc>
          <w:tcPr>
            <w:tcW w:w="468" w:type="dxa"/>
          </w:tcPr>
          <w:p w:rsidR="00783598" w:rsidRPr="00340E4C" w:rsidRDefault="00783598">
            <w:pPr>
              <w:jc w:val="right"/>
            </w:pPr>
            <w:r w:rsidRPr="00340E4C">
              <w:t>1.</w:t>
            </w:r>
          </w:p>
        </w:tc>
        <w:tc>
          <w:tcPr>
            <w:tcW w:w="8744" w:type="dxa"/>
          </w:tcPr>
          <w:p w:rsidR="00783598" w:rsidRPr="00340E4C" w:rsidRDefault="00783598" w:rsidP="00557111">
            <w:pPr>
              <w:jc w:val="both"/>
            </w:pPr>
            <w:r w:rsidRPr="00340E4C">
              <w:t xml:space="preserve">Charakterizujte subjekty ekonomických systémů a popište fungování dvousektorové ekonomiky </w:t>
            </w:r>
          </w:p>
        </w:tc>
      </w:tr>
      <w:tr w:rsidR="00783598" w:rsidRPr="00340E4C">
        <w:tc>
          <w:tcPr>
            <w:tcW w:w="468" w:type="dxa"/>
          </w:tcPr>
          <w:p w:rsidR="00783598" w:rsidRPr="00340E4C" w:rsidRDefault="00783598">
            <w:pPr>
              <w:jc w:val="right"/>
            </w:pPr>
            <w:r w:rsidRPr="00340E4C">
              <w:t>2.</w:t>
            </w:r>
          </w:p>
        </w:tc>
        <w:tc>
          <w:tcPr>
            <w:tcW w:w="8744" w:type="dxa"/>
          </w:tcPr>
          <w:p w:rsidR="00783598" w:rsidRPr="00340E4C" w:rsidRDefault="00783598" w:rsidP="00557111">
            <w:pPr>
              <w:jc w:val="both"/>
            </w:pPr>
            <w:r w:rsidRPr="00340E4C">
              <w:t xml:space="preserve">Popište rovnovážný produkt v dvousektorové, třísektorové a čtyřsektorové ekonomice </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3.</w:t>
            </w:r>
          </w:p>
        </w:tc>
        <w:tc>
          <w:tcPr>
            <w:tcW w:w="8744" w:type="dxa"/>
          </w:tcPr>
          <w:p w:rsidR="00783598" w:rsidRPr="00340E4C" w:rsidRDefault="00783598" w:rsidP="00557111">
            <w:pPr>
              <w:jc w:val="both"/>
            </w:pPr>
            <w:r w:rsidRPr="00340E4C">
              <w:t>Jaké jsou hlavní makroekonomické problémy?</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4.</w:t>
            </w:r>
          </w:p>
        </w:tc>
        <w:tc>
          <w:tcPr>
            <w:tcW w:w="8744" w:type="dxa"/>
          </w:tcPr>
          <w:p w:rsidR="00783598" w:rsidRPr="00340E4C" w:rsidRDefault="00783598" w:rsidP="00557111">
            <w:pPr>
              <w:jc w:val="both"/>
            </w:pPr>
            <w:r w:rsidRPr="00340E4C">
              <w:t>Co je HDP, HNP, nominální a reálný? Popište zjednodušený makroekonomický koloběh. V čem spočívá výrobková a důchodová metoda zjišťování HDP?</w:t>
            </w:r>
          </w:p>
        </w:tc>
      </w:tr>
      <w:tr w:rsidR="00783598" w:rsidRPr="00340E4C">
        <w:tc>
          <w:tcPr>
            <w:tcW w:w="468" w:type="dxa"/>
          </w:tcPr>
          <w:p w:rsidR="00783598" w:rsidRPr="00340E4C" w:rsidRDefault="00783598">
            <w:pPr>
              <w:jc w:val="right"/>
            </w:pPr>
            <w:r w:rsidRPr="00340E4C">
              <w:t>5.</w:t>
            </w:r>
          </w:p>
        </w:tc>
        <w:tc>
          <w:tcPr>
            <w:tcW w:w="8744" w:type="dxa"/>
          </w:tcPr>
          <w:p w:rsidR="00783598" w:rsidRPr="00340E4C" w:rsidRDefault="00783598" w:rsidP="00557111">
            <w:pPr>
              <w:jc w:val="both"/>
            </w:pPr>
            <w:r w:rsidRPr="00340E4C">
              <w:t>Makroekonomické důsledky agregátů úspor, investic a spotřeby i ve vztahu k zahraničnímu obchodu!</w:t>
            </w:r>
          </w:p>
        </w:tc>
      </w:tr>
      <w:tr w:rsidR="00783598" w:rsidRPr="00340E4C">
        <w:tc>
          <w:tcPr>
            <w:tcW w:w="468" w:type="dxa"/>
          </w:tcPr>
          <w:p w:rsidR="00783598" w:rsidRPr="00340E4C" w:rsidRDefault="00783598">
            <w:pPr>
              <w:jc w:val="right"/>
            </w:pPr>
            <w:r w:rsidRPr="00340E4C">
              <w:t>6.</w:t>
            </w:r>
          </w:p>
        </w:tc>
        <w:tc>
          <w:tcPr>
            <w:tcW w:w="8744" w:type="dxa"/>
          </w:tcPr>
          <w:p w:rsidR="00783598" w:rsidRPr="00340E4C" w:rsidRDefault="00783598" w:rsidP="00557111">
            <w:pPr>
              <w:jc w:val="both"/>
            </w:pPr>
            <w:r w:rsidRPr="00340E4C">
              <w:t>Jaké jsou základní ekonomické charakteristiky země? Jaké jsou zdroje ekonomického růstu. Charakterizujte hospodářský cyklus</w:t>
            </w:r>
          </w:p>
        </w:tc>
      </w:tr>
      <w:tr w:rsidR="00783598" w:rsidRPr="00340E4C">
        <w:tc>
          <w:tcPr>
            <w:tcW w:w="468" w:type="dxa"/>
          </w:tcPr>
          <w:p w:rsidR="00783598" w:rsidRPr="00340E4C" w:rsidRDefault="00783598">
            <w:pPr>
              <w:jc w:val="right"/>
            </w:pPr>
            <w:r w:rsidRPr="00340E4C">
              <w:t>7.</w:t>
            </w:r>
          </w:p>
        </w:tc>
        <w:tc>
          <w:tcPr>
            <w:tcW w:w="8744" w:type="dxa"/>
          </w:tcPr>
          <w:p w:rsidR="00783598" w:rsidRPr="00340E4C" w:rsidRDefault="00783598" w:rsidP="00557111">
            <w:pPr>
              <w:jc w:val="both"/>
            </w:pPr>
            <w:r w:rsidRPr="00340E4C">
              <w:t>Teorie ekonomického růstu. Produkční funkce</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8.</w:t>
            </w:r>
          </w:p>
        </w:tc>
        <w:tc>
          <w:tcPr>
            <w:tcW w:w="8744" w:type="dxa"/>
          </w:tcPr>
          <w:p w:rsidR="00783598" w:rsidRPr="00340E4C" w:rsidRDefault="00783598" w:rsidP="00557111">
            <w:pPr>
              <w:jc w:val="both"/>
            </w:pPr>
            <w:r w:rsidRPr="00340E4C">
              <w:t>Charakterizujte finanční trh. Co jsou peníze, formy a funkce peněz. Na čem je závislá poptávka po penězích, její typy? Kdo ovlivňuje nabídku peněz</w:t>
            </w:r>
          </w:p>
        </w:tc>
      </w:tr>
      <w:tr w:rsidR="00783598" w:rsidRPr="00340E4C">
        <w:tc>
          <w:tcPr>
            <w:tcW w:w="468" w:type="dxa"/>
          </w:tcPr>
          <w:p w:rsidR="00783598" w:rsidRPr="00340E4C" w:rsidRDefault="00783598">
            <w:pPr>
              <w:jc w:val="right"/>
            </w:pPr>
            <w:r w:rsidRPr="00340E4C">
              <w:t>9.</w:t>
            </w:r>
          </w:p>
        </w:tc>
        <w:tc>
          <w:tcPr>
            <w:tcW w:w="8744" w:type="dxa"/>
          </w:tcPr>
          <w:p w:rsidR="00783598" w:rsidRPr="00340E4C" w:rsidRDefault="00783598" w:rsidP="00557111">
            <w:pPr>
              <w:jc w:val="both"/>
            </w:pPr>
            <w:r w:rsidRPr="00340E4C">
              <w:t>Inflace. Druhy inflace podle tempa růstu cen, podle projevu, podle příčiny. Jaké jsou příčiny a důsledky inflace? Co je deflace? Stagflace? Charakterizujte vztah mezi inflací a nezaměstnaností. Co znázorňuje Phil</w:t>
            </w:r>
            <w:r w:rsidR="008D4F71">
              <w:t>l</w:t>
            </w:r>
            <w:r w:rsidRPr="00340E4C">
              <w:t>ipsova křivka? V čem spočívá protiinflační politika?</w:t>
            </w:r>
          </w:p>
        </w:tc>
      </w:tr>
      <w:tr w:rsidR="00783598" w:rsidRPr="00340E4C">
        <w:tc>
          <w:tcPr>
            <w:tcW w:w="468" w:type="dxa"/>
          </w:tcPr>
          <w:p w:rsidR="00783598" w:rsidRPr="00340E4C" w:rsidRDefault="00783598">
            <w:pPr>
              <w:jc w:val="right"/>
            </w:pPr>
            <w:r w:rsidRPr="00340E4C">
              <w:t>10.</w:t>
            </w:r>
          </w:p>
        </w:tc>
        <w:tc>
          <w:tcPr>
            <w:tcW w:w="8744" w:type="dxa"/>
          </w:tcPr>
          <w:p w:rsidR="00783598" w:rsidRPr="00340E4C" w:rsidRDefault="00783598" w:rsidP="00557111">
            <w:pPr>
              <w:jc w:val="both"/>
            </w:pPr>
            <w:r w:rsidRPr="00340E4C">
              <w:t xml:space="preserve">Charakterizujte bankovní soustavu. Peněžní multiplikátor. </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11.</w:t>
            </w:r>
          </w:p>
        </w:tc>
        <w:tc>
          <w:tcPr>
            <w:tcW w:w="8744" w:type="dxa"/>
          </w:tcPr>
          <w:p w:rsidR="00783598" w:rsidRPr="00340E4C" w:rsidRDefault="00783598" w:rsidP="00557111">
            <w:pPr>
              <w:jc w:val="both"/>
            </w:pPr>
            <w:r w:rsidRPr="00340E4C">
              <w:t>Charakterizujte nástroje peněžní politiky centrální banky! Jaké jsou funkce a činnosti centrální banky?</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12.</w:t>
            </w:r>
          </w:p>
        </w:tc>
        <w:tc>
          <w:tcPr>
            <w:tcW w:w="8744" w:type="dxa"/>
          </w:tcPr>
          <w:p w:rsidR="00783598" w:rsidRPr="00340E4C" w:rsidRDefault="00783598" w:rsidP="00557111">
            <w:pPr>
              <w:jc w:val="both"/>
            </w:pPr>
            <w:r w:rsidRPr="00340E4C">
              <w:t>Vnější ekonomická rovnováha. Platební bilance. Souvislosti s měnovým trhem, inflací, růstem a zaměstnaností.</w:t>
            </w:r>
          </w:p>
        </w:tc>
      </w:tr>
      <w:tr w:rsidR="00783598" w:rsidRPr="00340E4C">
        <w:tc>
          <w:tcPr>
            <w:tcW w:w="468" w:type="dxa"/>
          </w:tcPr>
          <w:p w:rsidR="00783598" w:rsidRPr="00340E4C" w:rsidRDefault="00783598">
            <w:pPr>
              <w:jc w:val="right"/>
            </w:pPr>
            <w:r w:rsidRPr="00340E4C">
              <w:t>13.</w:t>
            </w:r>
          </w:p>
        </w:tc>
        <w:tc>
          <w:tcPr>
            <w:tcW w:w="8744" w:type="dxa"/>
          </w:tcPr>
          <w:p w:rsidR="00783598" w:rsidRPr="00340E4C" w:rsidRDefault="00FC02A9" w:rsidP="00557111">
            <w:pPr>
              <w:jc w:val="both"/>
            </w:pPr>
            <w:r w:rsidRPr="00340E4C">
              <w:t>I</w:t>
            </w:r>
            <w:r w:rsidR="00783598" w:rsidRPr="00340E4C">
              <w:t>nvestiční multiplikátor</w:t>
            </w:r>
            <w:r w:rsidRPr="00340E4C">
              <w:t>, multiplikátor vládních výdajů a jejich makroekonomické souvislosti</w:t>
            </w:r>
          </w:p>
        </w:tc>
      </w:tr>
      <w:tr w:rsidR="00783598" w:rsidRPr="00340E4C">
        <w:tc>
          <w:tcPr>
            <w:tcW w:w="468" w:type="dxa"/>
          </w:tcPr>
          <w:p w:rsidR="00783598" w:rsidRPr="00340E4C" w:rsidRDefault="00783598">
            <w:pPr>
              <w:jc w:val="right"/>
            </w:pPr>
            <w:r w:rsidRPr="00340E4C">
              <w:t>14.</w:t>
            </w:r>
          </w:p>
        </w:tc>
        <w:tc>
          <w:tcPr>
            <w:tcW w:w="8744" w:type="dxa"/>
          </w:tcPr>
          <w:p w:rsidR="00783598" w:rsidRPr="00340E4C" w:rsidRDefault="00783598" w:rsidP="00557111">
            <w:pPr>
              <w:jc w:val="both"/>
            </w:pPr>
            <w:r w:rsidRPr="00340E4C">
              <w:t xml:space="preserve">Keynesiánská AS, model IS-LM </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15.</w:t>
            </w:r>
          </w:p>
        </w:tc>
        <w:tc>
          <w:tcPr>
            <w:tcW w:w="8744" w:type="dxa"/>
          </w:tcPr>
          <w:p w:rsidR="00783598" w:rsidRPr="00340E4C" w:rsidRDefault="00783598" w:rsidP="00557111">
            <w:pPr>
              <w:jc w:val="both"/>
            </w:pPr>
            <w:r w:rsidRPr="00340E4C">
              <w:t>E</w:t>
            </w:r>
            <w:r w:rsidR="008D4F71">
              <w:t>vropská centrální banka její pozice a nástroje</w:t>
            </w:r>
            <w:r w:rsidRPr="00340E4C">
              <w:t xml:space="preserve">, konvergence národních politik členských zemí EU, cíle, slabiny </w:t>
            </w:r>
          </w:p>
        </w:tc>
      </w:tr>
      <w:tr w:rsidR="00783598" w:rsidRPr="00340E4C">
        <w:tc>
          <w:tcPr>
            <w:tcW w:w="468" w:type="dxa"/>
          </w:tcPr>
          <w:p w:rsidR="00783598" w:rsidRPr="00340E4C" w:rsidRDefault="00783598">
            <w:pPr>
              <w:jc w:val="right"/>
            </w:pPr>
            <w:r w:rsidRPr="00340E4C">
              <w:t>16.</w:t>
            </w:r>
          </w:p>
        </w:tc>
        <w:tc>
          <w:tcPr>
            <w:tcW w:w="8744" w:type="dxa"/>
          </w:tcPr>
          <w:p w:rsidR="003A45C1" w:rsidRPr="00340E4C" w:rsidRDefault="007E4D1B" w:rsidP="00557111">
            <w:pPr>
              <w:jc w:val="both"/>
            </w:pPr>
            <w:r w:rsidRPr="00340E4C">
              <w:t>Zaměstnanost</w:t>
            </w:r>
            <w:r w:rsidR="00605BCE" w:rsidRPr="00340E4C">
              <w:t xml:space="preserve"> a nezaměstnanost jako součást makroekonomie</w:t>
            </w:r>
          </w:p>
          <w:p w:rsidR="007E4D1B" w:rsidRPr="00340E4C" w:rsidRDefault="007E4D1B" w:rsidP="00557111">
            <w:pPr>
              <w:jc w:val="both"/>
            </w:pPr>
          </w:p>
        </w:tc>
      </w:tr>
      <w:tr w:rsidR="00783598" w:rsidRPr="00340E4C">
        <w:tc>
          <w:tcPr>
            <w:tcW w:w="468" w:type="dxa"/>
          </w:tcPr>
          <w:p w:rsidR="00783598" w:rsidRPr="00340E4C" w:rsidRDefault="00783598">
            <w:pPr>
              <w:jc w:val="right"/>
            </w:pPr>
            <w:r w:rsidRPr="00340E4C">
              <w:t>17.</w:t>
            </w:r>
          </w:p>
        </w:tc>
        <w:tc>
          <w:tcPr>
            <w:tcW w:w="8744" w:type="dxa"/>
          </w:tcPr>
          <w:p w:rsidR="00783598" w:rsidRPr="00340E4C" w:rsidRDefault="00605BCE" w:rsidP="00557111">
            <w:pPr>
              <w:jc w:val="both"/>
            </w:pPr>
            <w:r w:rsidRPr="00340E4C">
              <w:t>M</w:t>
            </w:r>
            <w:r w:rsidR="00783598" w:rsidRPr="00340E4C">
              <w:t>ěnov</w:t>
            </w:r>
            <w:r w:rsidRPr="00340E4C">
              <w:t>ý</w:t>
            </w:r>
            <w:r w:rsidR="00783598" w:rsidRPr="00340E4C">
              <w:t xml:space="preserve"> kurz</w:t>
            </w:r>
            <w:r w:rsidRPr="00340E4C">
              <w:t>, rovnováha</w:t>
            </w:r>
            <w:r w:rsidR="008D4F71">
              <w:t xml:space="preserve"> na trhu peněz, platební bilance</w:t>
            </w:r>
          </w:p>
        </w:tc>
      </w:tr>
      <w:tr w:rsidR="00783598" w:rsidRPr="00340E4C">
        <w:tc>
          <w:tcPr>
            <w:tcW w:w="468" w:type="dxa"/>
          </w:tcPr>
          <w:p w:rsidR="00783598" w:rsidRPr="00340E4C" w:rsidRDefault="00783598">
            <w:pPr>
              <w:jc w:val="right"/>
            </w:pPr>
            <w:r w:rsidRPr="00340E4C">
              <w:t>18.</w:t>
            </w:r>
          </w:p>
        </w:tc>
        <w:tc>
          <w:tcPr>
            <w:tcW w:w="8744" w:type="dxa"/>
          </w:tcPr>
          <w:p w:rsidR="00783598" w:rsidRPr="00340E4C" w:rsidRDefault="00783598" w:rsidP="00557111">
            <w:pPr>
              <w:jc w:val="both"/>
            </w:pPr>
            <w:r w:rsidRPr="00340E4C">
              <w:t>Monetární politika</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19.</w:t>
            </w:r>
          </w:p>
        </w:tc>
        <w:tc>
          <w:tcPr>
            <w:tcW w:w="8744" w:type="dxa"/>
          </w:tcPr>
          <w:p w:rsidR="00783598" w:rsidRPr="00340E4C" w:rsidRDefault="00783598" w:rsidP="00557111">
            <w:pPr>
              <w:jc w:val="both"/>
            </w:pPr>
            <w:r w:rsidRPr="00340E4C">
              <w:t xml:space="preserve">Státní rozpočet, </w:t>
            </w:r>
            <w:r w:rsidR="003A45C1" w:rsidRPr="00340E4C">
              <w:t xml:space="preserve">veřejný dluh, </w:t>
            </w:r>
            <w:r w:rsidRPr="00340E4C">
              <w:t>fiskální politika, Lafferova křivka</w:t>
            </w:r>
          </w:p>
          <w:p w:rsidR="00783598" w:rsidRPr="00340E4C" w:rsidRDefault="00783598" w:rsidP="00557111">
            <w:pPr>
              <w:jc w:val="both"/>
            </w:pPr>
          </w:p>
        </w:tc>
      </w:tr>
      <w:tr w:rsidR="00783598" w:rsidRPr="00340E4C">
        <w:tc>
          <w:tcPr>
            <w:tcW w:w="468" w:type="dxa"/>
          </w:tcPr>
          <w:p w:rsidR="00783598" w:rsidRPr="00340E4C" w:rsidRDefault="00783598">
            <w:pPr>
              <w:jc w:val="right"/>
            </w:pPr>
            <w:r w:rsidRPr="00340E4C">
              <w:t>20.</w:t>
            </w:r>
          </w:p>
        </w:tc>
        <w:tc>
          <w:tcPr>
            <w:tcW w:w="8744" w:type="dxa"/>
          </w:tcPr>
          <w:p w:rsidR="00783598" w:rsidRPr="00340E4C" w:rsidRDefault="00783598" w:rsidP="00557111">
            <w:pPr>
              <w:jc w:val="both"/>
            </w:pPr>
            <w:r w:rsidRPr="00340E4C">
              <w:t>Hospodářská politika a její cíle, nástroje, typy a slabiny</w:t>
            </w:r>
          </w:p>
          <w:p w:rsidR="00783598" w:rsidRPr="00340E4C" w:rsidRDefault="00783598" w:rsidP="00557111">
            <w:pPr>
              <w:jc w:val="both"/>
            </w:pPr>
          </w:p>
        </w:tc>
      </w:tr>
    </w:tbl>
    <w:p w:rsidR="00783598" w:rsidRPr="00340E4C" w:rsidRDefault="00783598">
      <w:pPr>
        <w:jc w:val="both"/>
      </w:pPr>
    </w:p>
    <w:p w:rsidR="00783598" w:rsidRPr="00340E4C" w:rsidRDefault="00783598">
      <w:pPr>
        <w:jc w:val="both"/>
      </w:pPr>
    </w:p>
    <w:p w:rsidR="00783598" w:rsidRPr="00340E4C" w:rsidRDefault="00783598">
      <w:pPr>
        <w:pStyle w:val="berschrift1"/>
      </w:pPr>
      <w:r w:rsidRPr="00340E4C">
        <w:br w:type="page"/>
      </w:r>
      <w:bookmarkStart w:id="338" w:name="_Toc240444165"/>
      <w:bookmarkStart w:id="339" w:name="_Toc240775365"/>
      <w:bookmarkStart w:id="340" w:name="_Toc281979967"/>
      <w:bookmarkStart w:id="341" w:name="_Toc281980009"/>
      <w:bookmarkStart w:id="342" w:name="_Toc296073460"/>
      <w:bookmarkStart w:id="343" w:name="_Toc297533168"/>
      <w:bookmarkStart w:id="344" w:name="_Toc303675528"/>
      <w:bookmarkStart w:id="345" w:name="_Toc303963029"/>
      <w:bookmarkStart w:id="346" w:name="_Toc306176418"/>
      <w:bookmarkStart w:id="347" w:name="_Toc315341187"/>
      <w:bookmarkStart w:id="348" w:name="_Toc316459982"/>
      <w:bookmarkStart w:id="349" w:name="_Toc316460457"/>
      <w:bookmarkStart w:id="350" w:name="_Toc318291434"/>
      <w:bookmarkStart w:id="351" w:name="_Toc328466840"/>
      <w:bookmarkStart w:id="352" w:name="_Toc335724892"/>
      <w:bookmarkStart w:id="353" w:name="_Toc411926297"/>
      <w:bookmarkStart w:id="354" w:name="_Toc1629150"/>
      <w:r w:rsidRPr="00340E4C">
        <w:lastRenderedPageBreak/>
        <w:t>Požadavky ke státním závěrečným zkouškám</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783598" w:rsidRPr="00340E4C" w:rsidRDefault="00783598"/>
    <w:p w:rsidR="00783598" w:rsidRPr="00340E4C" w:rsidRDefault="00783598" w:rsidP="001741A7">
      <w:pPr>
        <w:numPr>
          <w:ilvl w:val="0"/>
          <w:numId w:val="1"/>
        </w:numPr>
        <w:jc w:val="both"/>
      </w:pPr>
      <w:r w:rsidRPr="00340E4C">
        <w:t>Makro a mikroekonomika, řešení základních ekonomických problémů, charakteristika subjektů ekonomických systémů, pyramida potřeb, výrobní faktory.</w:t>
      </w:r>
    </w:p>
    <w:p w:rsidR="00783598" w:rsidRPr="00340E4C" w:rsidRDefault="00783598" w:rsidP="001741A7">
      <w:pPr>
        <w:numPr>
          <w:ilvl w:val="0"/>
          <w:numId w:val="1"/>
        </w:numPr>
        <w:jc w:val="both"/>
      </w:pPr>
      <w:r w:rsidRPr="00340E4C">
        <w:t>Cíl hospodářské politiky vlády, tvorba a užití HDP a HNP, inflace, nezaměstnanost, cyklický vývoj ekonomiky.</w:t>
      </w:r>
    </w:p>
    <w:p w:rsidR="00783598" w:rsidRPr="00340E4C" w:rsidRDefault="00783598" w:rsidP="001741A7">
      <w:pPr>
        <w:numPr>
          <w:ilvl w:val="0"/>
          <w:numId w:val="1"/>
        </w:numPr>
        <w:jc w:val="both"/>
      </w:pPr>
      <w:r w:rsidRPr="00340E4C">
        <w:t>Trh, faktory ovlivňující nabídku a poptávku, cenová elasticita poptávky, tržní rovnováha se změnou nabídky a poptávky, teorém pavučiny, selhání trhu.</w:t>
      </w:r>
    </w:p>
    <w:p w:rsidR="00783598" w:rsidRPr="00340E4C" w:rsidRDefault="00783598" w:rsidP="001741A7">
      <w:pPr>
        <w:numPr>
          <w:ilvl w:val="0"/>
          <w:numId w:val="1"/>
        </w:numPr>
        <w:jc w:val="both"/>
      </w:pPr>
      <w:r w:rsidRPr="00340E4C">
        <w:t>Finanční trh, poptávka po penězích a jejich nabídka, cenné papíry, charakteristika bankovní soustavy, funkce a činnosti centrální banky.</w:t>
      </w:r>
    </w:p>
    <w:p w:rsidR="00783598" w:rsidRPr="00340E4C" w:rsidRDefault="00783598" w:rsidP="001741A7">
      <w:pPr>
        <w:numPr>
          <w:ilvl w:val="0"/>
          <w:numId w:val="1"/>
        </w:numPr>
        <w:jc w:val="both"/>
      </w:pPr>
      <w:r w:rsidRPr="00340E4C">
        <w:t>Zákon klesajícího mezního užitku, rovnováha spotřebitele, indiferenční křivky, Paretovo optimum, produkční funkce v krátkém a dlouhém období, vztah celkového mezního a průměrného produktu.</w:t>
      </w:r>
    </w:p>
    <w:p w:rsidR="00783598" w:rsidRPr="00340E4C" w:rsidRDefault="00783598" w:rsidP="001741A7">
      <w:pPr>
        <w:numPr>
          <w:ilvl w:val="0"/>
          <w:numId w:val="1"/>
        </w:numPr>
        <w:jc w:val="both"/>
      </w:pPr>
      <w:r w:rsidRPr="00340E4C">
        <w:t>Firma v dokonalé konkurenci ekonomický a účetní zisk, fixní, variabilní, celkové a mezní náklady, bod uzavření firmy, bod vyrovnání.</w:t>
      </w:r>
    </w:p>
    <w:p w:rsidR="00783598" w:rsidRPr="00340E4C" w:rsidRDefault="00783598" w:rsidP="001741A7">
      <w:pPr>
        <w:numPr>
          <w:ilvl w:val="0"/>
          <w:numId w:val="1"/>
        </w:numPr>
        <w:jc w:val="both"/>
      </w:pPr>
      <w:r w:rsidRPr="00340E4C">
        <w:t>Firma v nedokonalé konkurenci – monopol, cenová diskriminace prvního, druhého a třetího stupně, konkrétní formy cenové diskriminace.</w:t>
      </w:r>
    </w:p>
    <w:p w:rsidR="00783598" w:rsidRPr="00340E4C" w:rsidRDefault="00783598" w:rsidP="001741A7">
      <w:pPr>
        <w:numPr>
          <w:ilvl w:val="0"/>
          <w:numId w:val="1"/>
        </w:numPr>
        <w:jc w:val="both"/>
      </w:pPr>
      <w:r w:rsidRPr="00340E4C">
        <w:t>Firma v nedokonalé konkurenci – monopolistická konkurence, oligopol, maximalizace zisku, přebytek výrobce a spotřebitele.</w:t>
      </w:r>
    </w:p>
    <w:p w:rsidR="00783598" w:rsidRPr="00340E4C" w:rsidRDefault="00783598" w:rsidP="001741A7">
      <w:pPr>
        <w:numPr>
          <w:ilvl w:val="0"/>
          <w:numId w:val="1"/>
        </w:numPr>
        <w:jc w:val="both"/>
      </w:pPr>
      <w:r w:rsidRPr="00340E4C">
        <w:rPr>
          <w:b/>
          <w:bCs/>
        </w:rPr>
        <w:t>Management</w:t>
      </w:r>
      <w:r w:rsidRPr="00340E4C">
        <w:t xml:space="preserve"> – základy managementu a manažerské funkce – plánování, rozhodování, organizování, personalistika a kontrolování, manažerské techniky.</w:t>
      </w:r>
    </w:p>
    <w:p w:rsidR="00783598" w:rsidRPr="00340E4C" w:rsidRDefault="00783598" w:rsidP="001741A7">
      <w:pPr>
        <w:numPr>
          <w:ilvl w:val="0"/>
          <w:numId w:val="1"/>
        </w:numPr>
        <w:jc w:val="both"/>
      </w:pPr>
      <w:r w:rsidRPr="00340E4C">
        <w:rPr>
          <w:b/>
          <w:bCs/>
        </w:rPr>
        <w:t>Marketing</w:t>
      </w:r>
      <w:r w:rsidRPr="00340E4C">
        <w:t xml:space="preserve"> – marketing jako pojem, podnikatelské filozofie, trhy a segmentace trhů, kupní chování zákazníků na trzích (spotřebitelských a organizací), marketingový výzkum, marketingový mix a jeho užití (základní a rozšířený), podnikatelský záměr (Business plan).</w:t>
      </w:r>
    </w:p>
    <w:sectPr w:rsidR="00783598" w:rsidRPr="00340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E4" w:rsidRDefault="006647E4">
      <w:r>
        <w:separator/>
      </w:r>
    </w:p>
  </w:endnote>
  <w:endnote w:type="continuationSeparator" w:id="0">
    <w:p w:rsidR="006647E4" w:rsidRDefault="0066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E4" w:rsidRDefault="006647E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647E4" w:rsidRDefault="006647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E4" w:rsidRDefault="006647E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47F78">
      <w:rPr>
        <w:rStyle w:val="Seitenzahl"/>
        <w:noProof/>
      </w:rPr>
      <w:t>7</w:t>
    </w:r>
    <w:r>
      <w:rPr>
        <w:rStyle w:val="Seitenzahl"/>
      </w:rPr>
      <w:fldChar w:fldCharType="end"/>
    </w:r>
  </w:p>
  <w:p w:rsidR="006647E4" w:rsidRDefault="006647E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E4" w:rsidRDefault="006647E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6647E4" w:rsidRDefault="006647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E4" w:rsidRDefault="006647E4">
      <w:r>
        <w:separator/>
      </w:r>
    </w:p>
  </w:footnote>
  <w:footnote w:type="continuationSeparator" w:id="0">
    <w:p w:rsidR="006647E4" w:rsidRDefault="006647E4">
      <w:r>
        <w:continuationSeparator/>
      </w:r>
    </w:p>
  </w:footnote>
  <w:footnote w:id="1">
    <w:p w:rsidR="006647E4" w:rsidRDefault="006647E4">
      <w:pPr>
        <w:pStyle w:val="Funotentext"/>
      </w:pPr>
      <w:r>
        <w:rPr>
          <w:rStyle w:val="Funotenzeichen"/>
        </w:rPr>
        <w:footnoteRef/>
      </w:r>
      <w:r>
        <w:t xml:space="preserve"> Churchill říkal, že podnikatel není ani dojná kráva, kterou je třeba vydojit, ani vlk, kterého je třeba zabít, ale kůň, který táhne káru.</w:t>
      </w:r>
    </w:p>
  </w:footnote>
  <w:footnote w:id="2">
    <w:p w:rsidR="006647E4" w:rsidRDefault="006647E4">
      <w:pPr>
        <w:pStyle w:val="Funotentext"/>
      </w:pPr>
      <w:r>
        <w:rPr>
          <w:rStyle w:val="Funotenzeichen"/>
        </w:rPr>
        <w:footnoteRef/>
      </w:r>
      <w:r>
        <w:t xml:space="preserve"> Stanley Fisher (*1943), americký ekonom</w:t>
      </w:r>
    </w:p>
  </w:footnote>
  <w:footnote w:id="3">
    <w:p w:rsidR="006647E4" w:rsidRDefault="006647E4">
      <w:pPr>
        <w:pStyle w:val="Funotentext"/>
      </w:pPr>
      <w:r>
        <w:rPr>
          <w:rStyle w:val="Funotenzeichen"/>
        </w:rPr>
        <w:footnoteRef/>
      </w:r>
      <w:r>
        <w:t xml:space="preserve"> Franco Modigliani (1918-2003)</w:t>
      </w:r>
    </w:p>
  </w:footnote>
  <w:footnote w:id="4">
    <w:p w:rsidR="006647E4" w:rsidRDefault="006647E4">
      <w:pPr>
        <w:pStyle w:val="Funotentext"/>
      </w:pPr>
      <w:r>
        <w:rPr>
          <w:rStyle w:val="Funotenzeichen"/>
        </w:rPr>
        <w:footnoteRef/>
      </w:r>
      <w:r>
        <w:t xml:space="preserve"> Milton Friedman (1912-2006) americký ekonom</w:t>
      </w:r>
    </w:p>
  </w:footnote>
  <w:footnote w:id="5">
    <w:p w:rsidR="006647E4" w:rsidRDefault="006647E4">
      <w:pPr>
        <w:pStyle w:val="Funotentext"/>
      </w:pPr>
      <w:r>
        <w:rPr>
          <w:rStyle w:val="Funotenzeichen"/>
        </w:rPr>
        <w:footnoteRef/>
      </w:r>
      <w:r>
        <w:t xml:space="preserve"> Zjednodušeno, nezahrnuty úspory ostatních subjektů, saldo ostatních aktiv ČNB apod.</w:t>
      </w:r>
    </w:p>
  </w:footnote>
  <w:footnote w:id="6">
    <w:p w:rsidR="006647E4" w:rsidRDefault="006647E4">
      <w:pPr>
        <w:pStyle w:val="Funotentext"/>
      </w:pPr>
      <w:r>
        <w:rPr>
          <w:rStyle w:val="Funotenzeichen"/>
        </w:rPr>
        <w:footnoteRef/>
      </w:r>
      <w:r>
        <w:t xml:space="preserve"> John Maynard Keynes (1883-1946), britský ekonom</w:t>
      </w:r>
    </w:p>
  </w:footnote>
  <w:footnote w:id="7">
    <w:p w:rsidR="006647E4" w:rsidRDefault="006647E4">
      <w:pPr>
        <w:pStyle w:val="Funotentext"/>
      </w:pPr>
      <w:r>
        <w:rPr>
          <w:rStyle w:val="Funotenzeichen"/>
        </w:rPr>
        <w:footnoteRef/>
      </w:r>
      <w:r>
        <w:t xml:space="preserve"> Arthur Cecil Pigou (1877-1959), britský ekonom, profesor politické ekonomie na univerzitě v Cambridgi</w:t>
      </w:r>
    </w:p>
  </w:footnote>
  <w:footnote w:id="8">
    <w:p w:rsidR="006647E4" w:rsidRDefault="006647E4" w:rsidP="00BA7B16">
      <w:pPr>
        <w:pStyle w:val="Funotentext"/>
        <w:jc w:val="both"/>
      </w:pPr>
      <w:r>
        <w:rPr>
          <w:rStyle w:val="Funotenzeichen"/>
        </w:rPr>
        <w:footnoteRef/>
      </w:r>
      <w:r>
        <w:t xml:space="preserve"> Samozřejmě existuje model zahrnující i operace domácností a firem vůči státu , tzn. daně a transfery, a vůči zahraničí, tedy rovnováhu domácích a zahraničních úrokových měr. Podstata problému se ale tímto rozšířením nemění.  Takový model nazýváme IS-LM-BP, neboli Mundell-Flemingovým modelem. BP = Balance of payment.</w:t>
      </w:r>
    </w:p>
  </w:footnote>
  <w:footnote w:id="9">
    <w:p w:rsidR="006647E4" w:rsidRDefault="006647E4">
      <w:pPr>
        <w:pStyle w:val="Funotentext"/>
      </w:pPr>
      <w:r>
        <w:rPr>
          <w:rStyle w:val="Funotenzeichen"/>
        </w:rPr>
        <w:footnoteRef/>
      </w:r>
      <w:r>
        <w:t xml:space="preserve"> Adam Smith (1723-1790), skotský filozof a ekonom</w:t>
      </w:r>
    </w:p>
  </w:footnote>
  <w:footnote w:id="10">
    <w:p w:rsidR="006647E4" w:rsidRDefault="006647E4">
      <w:pPr>
        <w:pStyle w:val="Funotentext"/>
      </w:pPr>
      <w:r>
        <w:rPr>
          <w:rStyle w:val="Funotenzeichen"/>
        </w:rPr>
        <w:footnoteRef/>
      </w:r>
      <w:r>
        <w:t xml:space="preserve"> Thomas Robert Malthus (1766-1834), anglický historik, demograf, ekonom a duchovní </w:t>
      </w:r>
    </w:p>
  </w:footnote>
  <w:footnote w:id="11">
    <w:p w:rsidR="006647E4" w:rsidRDefault="006647E4">
      <w:pPr>
        <w:pStyle w:val="Funotentext"/>
      </w:pPr>
      <w:r>
        <w:rPr>
          <w:rStyle w:val="Funotenzeichen"/>
        </w:rPr>
        <w:footnoteRef/>
      </w:r>
      <w:r>
        <w:t xml:space="preserve"> Charles Wigging Cobb (1875-1949) byl americký matematik a ekonom</w:t>
      </w:r>
    </w:p>
  </w:footnote>
  <w:footnote w:id="12">
    <w:p w:rsidR="006647E4" w:rsidRDefault="006647E4">
      <w:pPr>
        <w:pStyle w:val="Funotentext"/>
      </w:pPr>
      <w:r>
        <w:rPr>
          <w:rStyle w:val="Funotenzeichen"/>
        </w:rPr>
        <w:footnoteRef/>
      </w:r>
      <w:r>
        <w:t xml:space="preserve"> Paul Howard Douglas (1892-1976) byl americký ekonom a politik</w:t>
      </w:r>
    </w:p>
  </w:footnote>
  <w:footnote w:id="13">
    <w:p w:rsidR="006647E4" w:rsidRDefault="006647E4">
      <w:pPr>
        <w:pStyle w:val="Funotentext"/>
      </w:pPr>
      <w:r>
        <w:rPr>
          <w:rStyle w:val="Funotenzeichen"/>
        </w:rPr>
        <w:footnoteRef/>
      </w:r>
      <w:r>
        <w:t xml:space="preserve"> Robert Merton Solow (*1927) je americký ekonom</w:t>
      </w:r>
    </w:p>
  </w:footnote>
  <w:footnote w:id="14">
    <w:p w:rsidR="006647E4" w:rsidRDefault="006647E4">
      <w:pPr>
        <w:pStyle w:val="Funotentext"/>
      </w:pPr>
      <w:r>
        <w:rPr>
          <w:rStyle w:val="Funotenzeichen"/>
        </w:rPr>
        <w:footnoteRef/>
      </w:r>
      <w:r>
        <w:t xml:space="preserve"> Evsey David Domar (1914-1997) byl rusko-americký ekonom</w:t>
      </w:r>
    </w:p>
  </w:footnote>
  <w:footnote w:id="15">
    <w:p w:rsidR="006647E4" w:rsidRPr="0025749A" w:rsidRDefault="006647E4">
      <w:pPr>
        <w:pStyle w:val="Funotentext"/>
      </w:pPr>
      <w:r w:rsidRPr="0025749A">
        <w:rPr>
          <w:rStyle w:val="Funotenzeichen"/>
        </w:rPr>
        <w:footnoteRef/>
      </w:r>
      <w:r w:rsidRPr="0025749A">
        <w:t xml:space="preserve"> </w:t>
      </w:r>
      <w:r w:rsidRPr="0025749A">
        <w:rPr>
          <w:bCs/>
          <w:lang w:val="en"/>
        </w:rPr>
        <w:t>Henry Roy Forbes Harrod</w:t>
      </w:r>
      <w:r w:rsidRPr="0025749A">
        <w:rPr>
          <w:lang w:val="en"/>
        </w:rPr>
        <w:t xml:space="preserve"> (1900–1978) byl anglický ekonom</w:t>
      </w:r>
    </w:p>
  </w:footnote>
  <w:footnote w:id="16">
    <w:p w:rsidR="006647E4" w:rsidRDefault="006647E4">
      <w:pPr>
        <w:pStyle w:val="Funotentext"/>
      </w:pPr>
      <w:r>
        <w:rPr>
          <w:rStyle w:val="Funotenzeichen"/>
        </w:rPr>
        <w:footnoteRef/>
      </w:r>
      <w:r>
        <w:t xml:space="preserve"> Nikolaj Dmitrijevič Kondratěv (1892-1931? Zmizel v koncentračním táboře), ruský ekonoma  statistik</w:t>
      </w:r>
    </w:p>
  </w:footnote>
  <w:footnote w:id="17">
    <w:p w:rsidR="006647E4" w:rsidRDefault="006647E4">
      <w:pPr>
        <w:pStyle w:val="Funotentext"/>
        <w:jc w:val="both"/>
      </w:pPr>
      <w:r>
        <w:rPr>
          <w:rStyle w:val="Funotenzeichen"/>
        </w:rPr>
        <w:footnoteRef/>
      </w:r>
      <w:r>
        <w:t xml:space="preserve"> Joseph Alois Schumpeter (1883-1950), rakousko-uherský ekonom. </w:t>
      </w:r>
      <w:r w:rsidRPr="005721DE">
        <w:rPr>
          <w:b/>
        </w:rPr>
        <w:t>Narodil se v Třešti</w:t>
      </w:r>
      <w:r>
        <w:t>. Vytvořil teorii podnikatele jako inovátora.</w:t>
      </w:r>
    </w:p>
  </w:footnote>
  <w:footnote w:id="18">
    <w:p w:rsidR="006647E4" w:rsidRDefault="006647E4">
      <w:pPr>
        <w:pStyle w:val="Funotentext"/>
      </w:pPr>
      <w:r>
        <w:rPr>
          <w:rStyle w:val="Funotenzeichen"/>
        </w:rPr>
        <w:footnoteRef/>
      </w:r>
      <w:r>
        <w:t xml:space="preserve"> Dary, dědictví a další převody jinde neuvedené</w:t>
      </w:r>
    </w:p>
  </w:footnote>
  <w:footnote w:id="19">
    <w:p w:rsidR="006647E4" w:rsidRDefault="006647E4">
      <w:pPr>
        <w:pStyle w:val="Funotentext"/>
      </w:pPr>
      <w:r>
        <w:rPr>
          <w:rStyle w:val="Funotenzeichen"/>
        </w:rPr>
        <w:footnoteRef/>
      </w:r>
      <w:r>
        <w:t xml:space="preserve"> Alban William Hausego.Phillips (1914-1975), novozélandský ekonom </w:t>
      </w:r>
    </w:p>
  </w:footnote>
  <w:footnote w:id="20">
    <w:p w:rsidR="006647E4" w:rsidRPr="008C3067" w:rsidRDefault="006647E4" w:rsidP="00D7604D">
      <w:pPr>
        <w:jc w:val="both"/>
      </w:pPr>
      <w:r>
        <w:rPr>
          <w:rStyle w:val="Funotenzeichen"/>
        </w:rPr>
        <w:footnoteRef/>
      </w:r>
      <w:r>
        <w:t xml:space="preserve"> </w:t>
      </w:r>
      <w:r w:rsidRPr="008C3067">
        <w:rPr>
          <w:bCs/>
          <w:sz w:val="20"/>
        </w:rPr>
        <w:t>Paul Adolph Volcker</w:t>
      </w:r>
      <w:r w:rsidRPr="008C3067">
        <w:rPr>
          <w:sz w:val="20"/>
        </w:rPr>
        <w:t xml:space="preserve"> (* </w:t>
      </w:r>
      <w:hyperlink r:id="rId1" w:tooltip="5. September" w:history="1">
        <w:r w:rsidRPr="008C3067">
          <w:rPr>
            <w:rStyle w:val="Hyperlink"/>
            <w:color w:val="auto"/>
            <w:sz w:val="20"/>
          </w:rPr>
          <w:t>5. September</w:t>
        </w:r>
      </w:hyperlink>
      <w:r w:rsidRPr="008C3067">
        <w:rPr>
          <w:sz w:val="20"/>
        </w:rPr>
        <w:t xml:space="preserve"> </w:t>
      </w:r>
      <w:hyperlink r:id="rId2" w:tooltip="1927" w:history="1">
        <w:r w:rsidRPr="008C3067">
          <w:rPr>
            <w:rStyle w:val="Hyperlink"/>
            <w:color w:val="auto"/>
            <w:sz w:val="20"/>
          </w:rPr>
          <w:t>1927</w:t>
        </w:r>
      </w:hyperlink>
      <w:r w:rsidRPr="008C3067">
        <w:rPr>
          <w:sz w:val="20"/>
        </w:rPr>
        <w:t xml:space="preserve"> in </w:t>
      </w:r>
      <w:hyperlink r:id="rId3" w:tooltip="Cape May" w:history="1">
        <w:r w:rsidRPr="008C3067">
          <w:rPr>
            <w:rStyle w:val="Hyperlink"/>
            <w:color w:val="auto"/>
            <w:sz w:val="20"/>
          </w:rPr>
          <w:t>Cape May</w:t>
        </w:r>
      </w:hyperlink>
      <w:r w:rsidRPr="008C3067">
        <w:rPr>
          <w:sz w:val="20"/>
        </w:rPr>
        <w:t xml:space="preserve">, </w:t>
      </w:r>
      <w:hyperlink r:id="rId4" w:tooltip="New Jersey" w:history="1">
        <w:r w:rsidRPr="008C3067">
          <w:rPr>
            <w:rStyle w:val="Hyperlink"/>
            <w:color w:val="auto"/>
            <w:sz w:val="20"/>
          </w:rPr>
          <w:t>NJ</w:t>
        </w:r>
      </w:hyperlink>
      <w:r w:rsidRPr="008C3067">
        <w:rPr>
          <w:sz w:val="20"/>
        </w:rPr>
        <w:t>, USA)</w:t>
      </w:r>
    </w:p>
    <w:p w:rsidR="006647E4" w:rsidRPr="008C3067" w:rsidRDefault="006647E4">
      <w:pPr>
        <w:pStyle w:val="Funotentext"/>
      </w:pPr>
    </w:p>
  </w:footnote>
  <w:footnote w:id="21">
    <w:p w:rsidR="006647E4" w:rsidRDefault="006647E4" w:rsidP="00903C8C">
      <w:pPr>
        <w:pStyle w:val="Funotentext"/>
        <w:jc w:val="both"/>
      </w:pPr>
      <w:r>
        <w:rPr>
          <w:rStyle w:val="Funotenzeichen"/>
        </w:rPr>
        <w:footnoteRef/>
      </w:r>
      <w:r>
        <w:t xml:space="preserve"> Od slova fiscus = původně latinsky „koš“, později nádoba na shromažďování daní, přeneseně státní pokladna, státní rozpočet</w:t>
      </w:r>
    </w:p>
  </w:footnote>
  <w:footnote w:id="22">
    <w:p w:rsidR="006647E4" w:rsidRDefault="006647E4">
      <w:pPr>
        <w:pStyle w:val="Funotentext"/>
      </w:pPr>
      <w:r>
        <w:rPr>
          <w:rStyle w:val="Funotenzeichen"/>
        </w:rPr>
        <w:footnoteRef/>
      </w:r>
      <w:r>
        <w:t xml:space="preserve"> Arthur B. Laffer (* 1940, Youngstown/Ohio)</w:t>
      </w:r>
    </w:p>
  </w:footnote>
  <w:footnote w:id="23">
    <w:p w:rsidR="006647E4" w:rsidRDefault="006647E4">
      <w:pPr>
        <w:pStyle w:val="Funotentext"/>
      </w:pPr>
      <w:r>
        <w:rPr>
          <w:rStyle w:val="Funotenzeichen"/>
        </w:rPr>
        <w:footnoteRef/>
      </w:r>
      <w:r>
        <w:t xml:space="preserve"> Walter Eucken (1891 Jena – 1950 Londýn) – zakladatel ordoliberalismu a Freiburské školy</w:t>
      </w:r>
    </w:p>
  </w:footnote>
  <w:footnote w:id="24">
    <w:p w:rsidR="006647E4" w:rsidRDefault="006647E4">
      <w:pPr>
        <w:pStyle w:val="Funotentext"/>
      </w:pPr>
      <w:r>
        <w:rPr>
          <w:rStyle w:val="Funotenzeichen"/>
        </w:rPr>
        <w:footnoteRef/>
      </w:r>
      <w:r>
        <w:t xml:space="preserve"> Robert Mundell (Kingston, Kanada 1932), Nobelova cena za ekonomii 1999 </w:t>
      </w:r>
    </w:p>
  </w:footnote>
  <w:footnote w:id="25">
    <w:p w:rsidR="006647E4" w:rsidRDefault="006647E4">
      <w:pPr>
        <w:pStyle w:val="Funotentext"/>
      </w:pPr>
      <w:r>
        <w:rPr>
          <w:rStyle w:val="Funotenzeichen"/>
        </w:rPr>
        <w:footnoteRef/>
      </w:r>
      <w:r>
        <w:t xml:space="preserve"> James Edward Meade (Svanage 1907 – Cambridge 1995), Nobelova cena za ekonomii 1977 </w:t>
      </w:r>
    </w:p>
  </w:footnote>
  <w:footnote w:id="26">
    <w:p w:rsidR="006647E4" w:rsidRDefault="006647E4">
      <w:pPr>
        <w:pStyle w:val="Funotentext"/>
      </w:pPr>
      <w:r>
        <w:rPr>
          <w:rStyle w:val="Funotenzeichen"/>
        </w:rPr>
        <w:footnoteRef/>
      </w:r>
      <w:r>
        <w:t xml:space="preserve"> </w:t>
      </w:r>
      <w:r w:rsidRPr="00903C8C">
        <w:rPr>
          <w:bCs/>
          <w:lang w:val="en-US"/>
        </w:rPr>
        <w:t>John B. Taylor</w:t>
      </w:r>
      <w:r w:rsidRPr="00903C8C">
        <w:rPr>
          <w:lang w:val="en-US"/>
        </w:rPr>
        <w:t xml:space="preserve"> (* </w:t>
      </w:r>
      <w:hyperlink r:id="rId5" w:tooltip="8. Dezember" w:history="1">
        <w:r w:rsidRPr="00903C8C">
          <w:rPr>
            <w:rStyle w:val="Hyperlink"/>
            <w:color w:val="auto"/>
            <w:lang w:val="en-US"/>
          </w:rPr>
          <w:t xml:space="preserve">8. </w:t>
        </w:r>
      </w:hyperlink>
      <w:r w:rsidRPr="00903C8C">
        <w:rPr>
          <w:lang w:val="en-US"/>
        </w:rPr>
        <w:t xml:space="preserve">12. </w:t>
      </w:r>
      <w:hyperlink r:id="rId6" w:tooltip="1946" w:history="1">
        <w:r w:rsidRPr="00903C8C">
          <w:rPr>
            <w:rStyle w:val="Hyperlink"/>
            <w:color w:val="auto"/>
            <w:lang w:val="en-US"/>
          </w:rPr>
          <w:t>1946</w:t>
        </w:r>
      </w:hyperlink>
      <w:r w:rsidRPr="00903C8C">
        <w:rPr>
          <w:lang w:val="en-US"/>
        </w:rPr>
        <w:t xml:space="preserve">  </w:t>
      </w:r>
      <w:hyperlink r:id="rId7" w:tooltip="Yonkers" w:history="1">
        <w:r w:rsidRPr="00903C8C">
          <w:rPr>
            <w:rStyle w:val="Hyperlink"/>
            <w:color w:val="auto"/>
            <w:lang w:val="en-US"/>
          </w:rPr>
          <w:t>Yonkers</w:t>
        </w:r>
      </w:hyperlink>
      <w:r w:rsidRPr="00903C8C">
        <w:rPr>
          <w:lang w:val="en-US"/>
        </w:rPr>
        <w:t xml:space="preserve">, </w:t>
      </w:r>
      <w:hyperlink r:id="rId8" w:tooltip="New York (Bundesstaat)" w:history="1">
        <w:r w:rsidRPr="00903C8C">
          <w:rPr>
            <w:rStyle w:val="Hyperlink"/>
            <w:color w:val="auto"/>
            <w:lang w:val="en-US"/>
          </w:rPr>
          <w:t>New York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E4" w:rsidRDefault="006647E4">
    <w:pPr>
      <w:pStyle w:val="Kopfzeile"/>
      <w:jc w:val="center"/>
      <w:rPr>
        <w:b/>
        <w:color w:val="FF0000"/>
        <w:sz w:val="20"/>
        <w:szCs w:val="20"/>
      </w:rPr>
    </w:pPr>
    <w:r>
      <w:rPr>
        <w:sz w:val="20"/>
      </w:rPr>
      <w:t>Předmět: Makroekonomie, MÚ SLU v Opavě, v</w:t>
    </w:r>
    <w:r w:rsidRPr="006E7823">
      <w:rPr>
        <w:sz w:val="20"/>
        <w:szCs w:val="20"/>
      </w:rPr>
      <w:t xml:space="preserve">erze </w:t>
    </w:r>
    <w:r>
      <w:rPr>
        <w:sz w:val="20"/>
        <w:szCs w:val="20"/>
      </w:rPr>
      <w:t>20</w:t>
    </w:r>
    <w:r w:rsidRPr="006E7823">
      <w:rPr>
        <w:sz w:val="20"/>
        <w:szCs w:val="20"/>
      </w:rPr>
      <w:t xml:space="preserve">. </w:t>
    </w:r>
    <w:r>
      <w:rPr>
        <w:sz w:val="20"/>
        <w:szCs w:val="20"/>
      </w:rPr>
      <w:t>02</w:t>
    </w:r>
    <w:r w:rsidRPr="006E7823">
      <w:rPr>
        <w:sz w:val="20"/>
        <w:szCs w:val="20"/>
      </w:rPr>
      <w:t>. 201</w:t>
    </w:r>
    <w:r>
      <w:rPr>
        <w:sz w:val="20"/>
        <w:szCs w:val="20"/>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E4" w:rsidRDefault="006647E4">
    <w:pPr>
      <w:pStyle w:val="Kopfzeile"/>
      <w:jc w:val="center"/>
      <w:rPr>
        <w:sz w:val="20"/>
      </w:rPr>
    </w:pPr>
    <w:r>
      <w:rPr>
        <w:sz w:val="20"/>
      </w:rPr>
      <w:t>Předmět: Mikro- a makroekonomie, obor Matematické metody v ekonomice, Slezská univerzita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9C2"/>
    <w:multiLevelType w:val="multilevel"/>
    <w:tmpl w:val="5F2E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30E2C"/>
    <w:multiLevelType w:val="hybridMultilevel"/>
    <w:tmpl w:val="BD3E8B58"/>
    <w:lvl w:ilvl="0" w:tplc="8EDAE48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44C0FF2"/>
    <w:multiLevelType w:val="hybridMultilevel"/>
    <w:tmpl w:val="F55211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9576D6"/>
    <w:multiLevelType w:val="hybridMultilevel"/>
    <w:tmpl w:val="5308B268"/>
    <w:lvl w:ilvl="0" w:tplc="5EDA3B5A">
      <w:numFmt w:val="bullet"/>
      <w:lvlText w:val="-"/>
      <w:lvlJc w:val="left"/>
      <w:pPr>
        <w:ind w:left="1004" w:hanging="360"/>
      </w:pPr>
      <w:rPr>
        <w:rFonts w:ascii="Calibri" w:eastAsia="Times New Roman"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5BC3146"/>
    <w:multiLevelType w:val="hybridMultilevel"/>
    <w:tmpl w:val="1A464290"/>
    <w:lvl w:ilvl="0" w:tplc="4D5085C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7C11BAB"/>
    <w:multiLevelType w:val="hybridMultilevel"/>
    <w:tmpl w:val="783E46F4"/>
    <w:lvl w:ilvl="0" w:tplc="33B2839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0C140205"/>
    <w:multiLevelType w:val="hybridMultilevel"/>
    <w:tmpl w:val="3C3C2F0E"/>
    <w:lvl w:ilvl="0" w:tplc="57CEE060">
      <w:start w:val="1"/>
      <w:numFmt w:val="bullet"/>
      <w:lvlText w:val=""/>
      <w:lvlJc w:val="left"/>
      <w:pPr>
        <w:tabs>
          <w:tab w:val="num" w:pos="357"/>
        </w:tabs>
        <w:ind w:left="0" w:firstLine="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FDE60F4"/>
    <w:multiLevelType w:val="hybridMultilevel"/>
    <w:tmpl w:val="36E2E0A0"/>
    <w:lvl w:ilvl="0" w:tplc="B1F6C4A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5E51FA5"/>
    <w:multiLevelType w:val="multilevel"/>
    <w:tmpl w:val="53C8A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4262D6"/>
    <w:multiLevelType w:val="hybridMultilevel"/>
    <w:tmpl w:val="C6D452EA"/>
    <w:lvl w:ilvl="0" w:tplc="FE4C4B8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1C0D4DC8"/>
    <w:multiLevelType w:val="hybridMultilevel"/>
    <w:tmpl w:val="95C2C72C"/>
    <w:lvl w:ilvl="0" w:tplc="FDDEF3B2">
      <w:start w:val="1"/>
      <w:numFmt w:val="lowerLetter"/>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209B063C"/>
    <w:multiLevelType w:val="multilevel"/>
    <w:tmpl w:val="2A14C7F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21F4423C"/>
    <w:multiLevelType w:val="hybridMultilevel"/>
    <w:tmpl w:val="1F8C9F82"/>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BD6679"/>
    <w:multiLevelType w:val="hybridMultilevel"/>
    <w:tmpl w:val="F00EF2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5D5E40"/>
    <w:multiLevelType w:val="multilevel"/>
    <w:tmpl w:val="6C208106"/>
    <w:lvl w:ilvl="0">
      <w:start w:val="1"/>
      <w:numFmt w:val="decimal"/>
      <w:lvlText w:val="%1."/>
      <w:lvlJc w:val="left"/>
      <w:pPr>
        <w:tabs>
          <w:tab w:val="num" w:pos="1800"/>
        </w:tabs>
        <w:ind w:left="1800" w:hanging="360"/>
      </w:pPr>
    </w:lvl>
    <w:lvl w:ilvl="1">
      <w:start w:val="1"/>
      <w:numFmt w:val="decimal"/>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240"/>
        </w:tabs>
        <w:ind w:left="3168" w:hanging="648"/>
      </w:pPr>
    </w:lvl>
    <w:lvl w:ilvl="4">
      <w:start w:val="1"/>
      <w:numFmt w:val="decimal"/>
      <w:pStyle w:val="berschrift5"/>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15">
    <w:nsid w:val="251B4682"/>
    <w:multiLevelType w:val="hybridMultilevel"/>
    <w:tmpl w:val="5ECC5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8E3F65"/>
    <w:multiLevelType w:val="multilevel"/>
    <w:tmpl w:val="8C0C2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E6B6F"/>
    <w:multiLevelType w:val="hybridMultilevel"/>
    <w:tmpl w:val="54E439AC"/>
    <w:lvl w:ilvl="0" w:tplc="077A23C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2BDC3F5D"/>
    <w:multiLevelType w:val="hybridMultilevel"/>
    <w:tmpl w:val="0F3CB7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2A0E33"/>
    <w:multiLevelType w:val="hybridMultilevel"/>
    <w:tmpl w:val="D9309636"/>
    <w:lvl w:ilvl="0" w:tplc="57CEE060">
      <w:start w:val="1"/>
      <w:numFmt w:val="bullet"/>
      <w:lvlText w:val=""/>
      <w:lvlJc w:val="left"/>
      <w:pPr>
        <w:tabs>
          <w:tab w:val="num" w:pos="357"/>
        </w:tabs>
        <w:ind w:left="0" w:firstLine="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F7D0C99"/>
    <w:multiLevelType w:val="hybridMultilevel"/>
    <w:tmpl w:val="6EC28FB8"/>
    <w:lvl w:ilvl="0" w:tplc="C4A8FA7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3029478A"/>
    <w:multiLevelType w:val="hybridMultilevel"/>
    <w:tmpl w:val="768C4600"/>
    <w:lvl w:ilvl="0" w:tplc="57CEE060">
      <w:start w:val="1"/>
      <w:numFmt w:val="bullet"/>
      <w:lvlText w:val=""/>
      <w:lvlJc w:val="left"/>
      <w:pPr>
        <w:tabs>
          <w:tab w:val="num" w:pos="357"/>
        </w:tabs>
        <w:ind w:left="0" w:firstLine="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76F551D"/>
    <w:multiLevelType w:val="hybridMultilevel"/>
    <w:tmpl w:val="59D6DA28"/>
    <w:lvl w:ilvl="0" w:tplc="80F835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39E1235A"/>
    <w:multiLevelType w:val="hybridMultilevel"/>
    <w:tmpl w:val="DC207098"/>
    <w:lvl w:ilvl="0" w:tplc="57CEE060">
      <w:start w:val="1"/>
      <w:numFmt w:val="bullet"/>
      <w:lvlText w:val=""/>
      <w:lvlJc w:val="left"/>
      <w:pPr>
        <w:tabs>
          <w:tab w:val="num" w:pos="357"/>
        </w:tabs>
        <w:ind w:left="0" w:firstLine="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D4A7EEB"/>
    <w:multiLevelType w:val="hybridMultilevel"/>
    <w:tmpl w:val="B512E8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F304892"/>
    <w:multiLevelType w:val="hybridMultilevel"/>
    <w:tmpl w:val="B3B4862E"/>
    <w:lvl w:ilvl="0" w:tplc="04050005">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nsid w:val="3FA56799"/>
    <w:multiLevelType w:val="hybridMultilevel"/>
    <w:tmpl w:val="F5B84A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304435"/>
    <w:multiLevelType w:val="hybridMultilevel"/>
    <w:tmpl w:val="BF5A7418"/>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nsid w:val="416F7E5F"/>
    <w:multiLevelType w:val="hybridMultilevel"/>
    <w:tmpl w:val="2C60B2A8"/>
    <w:lvl w:ilvl="0" w:tplc="33C8EE7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nsid w:val="43E45686"/>
    <w:multiLevelType w:val="hybridMultilevel"/>
    <w:tmpl w:val="F9608DB0"/>
    <w:lvl w:ilvl="0" w:tplc="58BED82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nsid w:val="485C2BCA"/>
    <w:multiLevelType w:val="hybridMultilevel"/>
    <w:tmpl w:val="381E5B4A"/>
    <w:lvl w:ilvl="0" w:tplc="795E67D2">
      <w:start w:val="1"/>
      <w:numFmt w:val="decimal"/>
      <w:lvlText w:val="%1."/>
      <w:lvlJc w:val="left"/>
      <w:pPr>
        <w:tabs>
          <w:tab w:val="num" w:pos="720"/>
        </w:tabs>
        <w:ind w:left="720" w:hanging="360"/>
      </w:pPr>
    </w:lvl>
    <w:lvl w:ilvl="1" w:tplc="4B64AAE6" w:tentative="1">
      <w:start w:val="1"/>
      <w:numFmt w:val="decimal"/>
      <w:lvlText w:val="%2."/>
      <w:lvlJc w:val="left"/>
      <w:pPr>
        <w:tabs>
          <w:tab w:val="num" w:pos="1440"/>
        </w:tabs>
        <w:ind w:left="1440" w:hanging="360"/>
      </w:pPr>
    </w:lvl>
    <w:lvl w:ilvl="2" w:tplc="C21EA8B0" w:tentative="1">
      <w:start w:val="1"/>
      <w:numFmt w:val="decimal"/>
      <w:lvlText w:val="%3."/>
      <w:lvlJc w:val="left"/>
      <w:pPr>
        <w:tabs>
          <w:tab w:val="num" w:pos="2160"/>
        </w:tabs>
        <w:ind w:left="2160" w:hanging="360"/>
      </w:pPr>
    </w:lvl>
    <w:lvl w:ilvl="3" w:tplc="E0C442B0" w:tentative="1">
      <w:start w:val="1"/>
      <w:numFmt w:val="decimal"/>
      <w:lvlText w:val="%4."/>
      <w:lvlJc w:val="left"/>
      <w:pPr>
        <w:tabs>
          <w:tab w:val="num" w:pos="2880"/>
        </w:tabs>
        <w:ind w:left="2880" w:hanging="360"/>
      </w:pPr>
    </w:lvl>
    <w:lvl w:ilvl="4" w:tplc="CB307702" w:tentative="1">
      <w:start w:val="1"/>
      <w:numFmt w:val="decimal"/>
      <w:lvlText w:val="%5."/>
      <w:lvlJc w:val="left"/>
      <w:pPr>
        <w:tabs>
          <w:tab w:val="num" w:pos="3600"/>
        </w:tabs>
        <w:ind w:left="3600" w:hanging="360"/>
      </w:pPr>
    </w:lvl>
    <w:lvl w:ilvl="5" w:tplc="E7684106" w:tentative="1">
      <w:start w:val="1"/>
      <w:numFmt w:val="decimal"/>
      <w:lvlText w:val="%6."/>
      <w:lvlJc w:val="left"/>
      <w:pPr>
        <w:tabs>
          <w:tab w:val="num" w:pos="4320"/>
        </w:tabs>
        <w:ind w:left="4320" w:hanging="360"/>
      </w:pPr>
    </w:lvl>
    <w:lvl w:ilvl="6" w:tplc="F370D614" w:tentative="1">
      <w:start w:val="1"/>
      <w:numFmt w:val="decimal"/>
      <w:lvlText w:val="%7."/>
      <w:lvlJc w:val="left"/>
      <w:pPr>
        <w:tabs>
          <w:tab w:val="num" w:pos="5040"/>
        </w:tabs>
        <w:ind w:left="5040" w:hanging="360"/>
      </w:pPr>
    </w:lvl>
    <w:lvl w:ilvl="7" w:tplc="6AE07AC4" w:tentative="1">
      <w:start w:val="1"/>
      <w:numFmt w:val="decimal"/>
      <w:lvlText w:val="%8."/>
      <w:lvlJc w:val="left"/>
      <w:pPr>
        <w:tabs>
          <w:tab w:val="num" w:pos="5760"/>
        </w:tabs>
        <w:ind w:left="5760" w:hanging="360"/>
      </w:pPr>
    </w:lvl>
    <w:lvl w:ilvl="8" w:tplc="307C944C" w:tentative="1">
      <w:start w:val="1"/>
      <w:numFmt w:val="decimal"/>
      <w:lvlText w:val="%9."/>
      <w:lvlJc w:val="left"/>
      <w:pPr>
        <w:tabs>
          <w:tab w:val="num" w:pos="6480"/>
        </w:tabs>
        <w:ind w:left="6480" w:hanging="360"/>
      </w:pPr>
    </w:lvl>
  </w:abstractNum>
  <w:abstractNum w:abstractNumId="31">
    <w:nsid w:val="48BC2069"/>
    <w:multiLevelType w:val="hybridMultilevel"/>
    <w:tmpl w:val="5C8CFC48"/>
    <w:lvl w:ilvl="0" w:tplc="66CC3B2C">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32">
    <w:nsid w:val="4DF91AD4"/>
    <w:multiLevelType w:val="hybridMultilevel"/>
    <w:tmpl w:val="C4CE9A68"/>
    <w:lvl w:ilvl="0" w:tplc="57CEE060">
      <w:start w:val="1"/>
      <w:numFmt w:val="bullet"/>
      <w:lvlText w:val=""/>
      <w:lvlJc w:val="left"/>
      <w:pPr>
        <w:tabs>
          <w:tab w:val="num" w:pos="357"/>
        </w:tabs>
        <w:ind w:left="0" w:firstLine="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E845CBB"/>
    <w:multiLevelType w:val="multilevel"/>
    <w:tmpl w:val="598CE460"/>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F82D36"/>
    <w:multiLevelType w:val="hybridMultilevel"/>
    <w:tmpl w:val="53D0C3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287840"/>
    <w:multiLevelType w:val="hybridMultilevel"/>
    <w:tmpl w:val="05CE1858"/>
    <w:lvl w:ilvl="0" w:tplc="57CEE060">
      <w:start w:val="1"/>
      <w:numFmt w:val="bullet"/>
      <w:lvlText w:val=""/>
      <w:lvlJc w:val="left"/>
      <w:pPr>
        <w:tabs>
          <w:tab w:val="num" w:pos="357"/>
        </w:tabs>
        <w:ind w:left="0" w:firstLine="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53595707"/>
    <w:multiLevelType w:val="hybridMultilevel"/>
    <w:tmpl w:val="C84466FE"/>
    <w:lvl w:ilvl="0" w:tplc="8358492A">
      <w:start w:val="1"/>
      <w:numFmt w:val="decimal"/>
      <w:lvlText w:val="%1."/>
      <w:lvlJc w:val="left"/>
      <w:pPr>
        <w:tabs>
          <w:tab w:val="num" w:pos="720"/>
        </w:tabs>
        <w:ind w:left="720" w:hanging="360"/>
      </w:pPr>
      <w:rPr>
        <w:rFonts w:hint="default"/>
      </w:rPr>
    </w:lvl>
    <w:lvl w:ilvl="1" w:tplc="7BEA347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B353AE1"/>
    <w:multiLevelType w:val="hybridMultilevel"/>
    <w:tmpl w:val="2744BADA"/>
    <w:lvl w:ilvl="0" w:tplc="57CEE060">
      <w:start w:val="1"/>
      <w:numFmt w:val="bullet"/>
      <w:lvlText w:val=""/>
      <w:lvlJc w:val="left"/>
      <w:pPr>
        <w:tabs>
          <w:tab w:val="num" w:pos="357"/>
        </w:tabs>
        <w:ind w:left="0" w:firstLine="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5DB37507"/>
    <w:multiLevelType w:val="hybridMultilevel"/>
    <w:tmpl w:val="9A647E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5C4516E"/>
    <w:multiLevelType w:val="hybridMultilevel"/>
    <w:tmpl w:val="4E1E3BA0"/>
    <w:lvl w:ilvl="0" w:tplc="57CEE060">
      <w:start w:val="1"/>
      <w:numFmt w:val="bullet"/>
      <w:lvlText w:val=""/>
      <w:lvlJc w:val="left"/>
      <w:pPr>
        <w:tabs>
          <w:tab w:val="num" w:pos="417"/>
        </w:tabs>
        <w:ind w:left="60" w:firstLine="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0">
    <w:nsid w:val="6A841837"/>
    <w:multiLevelType w:val="hybridMultilevel"/>
    <w:tmpl w:val="0522623A"/>
    <w:lvl w:ilvl="0" w:tplc="C018CE6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nsid w:val="6EC96788"/>
    <w:multiLevelType w:val="multilevel"/>
    <w:tmpl w:val="CDB8BD90"/>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40"/>
        </w:tabs>
        <w:ind w:left="1224" w:hanging="504"/>
      </w:pPr>
    </w:lvl>
    <w:lvl w:ilvl="3">
      <w:start w:val="1"/>
      <w:numFmt w:val="decimal"/>
      <w:pStyle w:val="berschrift4"/>
      <w:lvlText w:val="%1.%2.%3.%4."/>
      <w:lvlJc w:val="left"/>
      <w:pPr>
        <w:tabs>
          <w:tab w:val="num" w:pos="2564"/>
        </w:tabs>
        <w:ind w:left="2492"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FD17BFD"/>
    <w:multiLevelType w:val="hybridMultilevel"/>
    <w:tmpl w:val="D69E19E0"/>
    <w:lvl w:ilvl="0" w:tplc="8F6CAFC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nsid w:val="70A65B2F"/>
    <w:multiLevelType w:val="hybridMultilevel"/>
    <w:tmpl w:val="FD1813F6"/>
    <w:lvl w:ilvl="0" w:tplc="73F03EEA">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nsid w:val="716B792B"/>
    <w:multiLevelType w:val="multilevel"/>
    <w:tmpl w:val="95CE8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A1404B"/>
    <w:multiLevelType w:val="multilevel"/>
    <w:tmpl w:val="D05CD9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96565C"/>
    <w:multiLevelType w:val="hybridMultilevel"/>
    <w:tmpl w:val="213ED056"/>
    <w:lvl w:ilvl="0" w:tplc="0405000F">
      <w:start w:val="1"/>
      <w:numFmt w:val="decimal"/>
      <w:lvlText w:val="%1."/>
      <w:lvlJc w:val="left"/>
      <w:pPr>
        <w:tabs>
          <w:tab w:val="num" w:pos="720"/>
        </w:tabs>
        <w:ind w:left="720" w:hanging="360"/>
      </w:pPr>
      <w:rPr>
        <w:rFonts w:hint="default"/>
      </w:rPr>
    </w:lvl>
    <w:lvl w:ilvl="1" w:tplc="F126C26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D6616AF"/>
    <w:multiLevelType w:val="hybridMultilevel"/>
    <w:tmpl w:val="F322F652"/>
    <w:lvl w:ilvl="0" w:tplc="2990F5EA">
      <w:start w:val="1"/>
      <w:numFmt w:val="decimal"/>
      <w:lvlText w:val="%1."/>
      <w:lvlJc w:val="left"/>
      <w:pPr>
        <w:tabs>
          <w:tab w:val="num" w:pos="720"/>
        </w:tabs>
        <w:ind w:left="720" w:hanging="360"/>
      </w:pPr>
    </w:lvl>
    <w:lvl w:ilvl="1" w:tplc="97949A6A" w:tentative="1">
      <w:start w:val="1"/>
      <w:numFmt w:val="decimal"/>
      <w:lvlText w:val="%2."/>
      <w:lvlJc w:val="left"/>
      <w:pPr>
        <w:tabs>
          <w:tab w:val="num" w:pos="1440"/>
        </w:tabs>
        <w:ind w:left="1440" w:hanging="360"/>
      </w:pPr>
    </w:lvl>
    <w:lvl w:ilvl="2" w:tplc="5F42FC9E" w:tentative="1">
      <w:start w:val="1"/>
      <w:numFmt w:val="decimal"/>
      <w:lvlText w:val="%3."/>
      <w:lvlJc w:val="left"/>
      <w:pPr>
        <w:tabs>
          <w:tab w:val="num" w:pos="2160"/>
        </w:tabs>
        <w:ind w:left="2160" w:hanging="360"/>
      </w:pPr>
    </w:lvl>
    <w:lvl w:ilvl="3" w:tplc="F0544AB8" w:tentative="1">
      <w:start w:val="1"/>
      <w:numFmt w:val="decimal"/>
      <w:lvlText w:val="%4."/>
      <w:lvlJc w:val="left"/>
      <w:pPr>
        <w:tabs>
          <w:tab w:val="num" w:pos="2880"/>
        </w:tabs>
        <w:ind w:left="2880" w:hanging="360"/>
      </w:pPr>
    </w:lvl>
    <w:lvl w:ilvl="4" w:tplc="C34EF9FC" w:tentative="1">
      <w:start w:val="1"/>
      <w:numFmt w:val="decimal"/>
      <w:lvlText w:val="%5."/>
      <w:lvlJc w:val="left"/>
      <w:pPr>
        <w:tabs>
          <w:tab w:val="num" w:pos="3600"/>
        </w:tabs>
        <w:ind w:left="3600" w:hanging="360"/>
      </w:pPr>
    </w:lvl>
    <w:lvl w:ilvl="5" w:tplc="FC5C1864" w:tentative="1">
      <w:start w:val="1"/>
      <w:numFmt w:val="decimal"/>
      <w:lvlText w:val="%6."/>
      <w:lvlJc w:val="left"/>
      <w:pPr>
        <w:tabs>
          <w:tab w:val="num" w:pos="4320"/>
        </w:tabs>
        <w:ind w:left="4320" w:hanging="360"/>
      </w:pPr>
    </w:lvl>
    <w:lvl w:ilvl="6" w:tplc="1994BC66" w:tentative="1">
      <w:start w:val="1"/>
      <w:numFmt w:val="decimal"/>
      <w:lvlText w:val="%7."/>
      <w:lvlJc w:val="left"/>
      <w:pPr>
        <w:tabs>
          <w:tab w:val="num" w:pos="5040"/>
        </w:tabs>
        <w:ind w:left="5040" w:hanging="360"/>
      </w:pPr>
    </w:lvl>
    <w:lvl w:ilvl="7" w:tplc="2820E166" w:tentative="1">
      <w:start w:val="1"/>
      <w:numFmt w:val="decimal"/>
      <w:lvlText w:val="%8."/>
      <w:lvlJc w:val="left"/>
      <w:pPr>
        <w:tabs>
          <w:tab w:val="num" w:pos="5760"/>
        </w:tabs>
        <w:ind w:left="5760" w:hanging="360"/>
      </w:pPr>
    </w:lvl>
    <w:lvl w:ilvl="8" w:tplc="B2C80E72" w:tentative="1">
      <w:start w:val="1"/>
      <w:numFmt w:val="decimal"/>
      <w:lvlText w:val="%9."/>
      <w:lvlJc w:val="left"/>
      <w:pPr>
        <w:tabs>
          <w:tab w:val="num" w:pos="6480"/>
        </w:tabs>
        <w:ind w:left="6480" w:hanging="360"/>
      </w:pPr>
    </w:lvl>
  </w:abstractNum>
  <w:abstractNum w:abstractNumId="48">
    <w:nsid w:val="7DBE446F"/>
    <w:multiLevelType w:val="hybridMultilevel"/>
    <w:tmpl w:val="1DB403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E9B6081"/>
    <w:multiLevelType w:val="hybridMultilevel"/>
    <w:tmpl w:val="8B2448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41"/>
  </w:num>
  <w:num w:numId="3">
    <w:abstractNumId w:val="25"/>
  </w:num>
  <w:num w:numId="4">
    <w:abstractNumId w:val="32"/>
  </w:num>
  <w:num w:numId="5">
    <w:abstractNumId w:val="6"/>
  </w:num>
  <w:num w:numId="6">
    <w:abstractNumId w:val="19"/>
  </w:num>
  <w:num w:numId="7">
    <w:abstractNumId w:val="30"/>
  </w:num>
  <w:num w:numId="8">
    <w:abstractNumId w:val="26"/>
  </w:num>
  <w:num w:numId="9">
    <w:abstractNumId w:val="38"/>
  </w:num>
  <w:num w:numId="10">
    <w:abstractNumId w:val="46"/>
  </w:num>
  <w:num w:numId="11">
    <w:abstractNumId w:val="36"/>
  </w:num>
  <w:num w:numId="12">
    <w:abstractNumId w:val="18"/>
  </w:num>
  <w:num w:numId="13">
    <w:abstractNumId w:val="31"/>
  </w:num>
  <w:num w:numId="14">
    <w:abstractNumId w:val="24"/>
  </w:num>
  <w:num w:numId="15">
    <w:abstractNumId w:val="2"/>
  </w:num>
  <w:num w:numId="16">
    <w:abstractNumId w:val="14"/>
  </w:num>
  <w:num w:numId="17">
    <w:abstractNumId w:val="35"/>
  </w:num>
  <w:num w:numId="18">
    <w:abstractNumId w:val="39"/>
  </w:num>
  <w:num w:numId="19">
    <w:abstractNumId w:val="23"/>
  </w:num>
  <w:num w:numId="20">
    <w:abstractNumId w:val="16"/>
  </w:num>
  <w:num w:numId="21">
    <w:abstractNumId w:val="21"/>
  </w:num>
  <w:num w:numId="22">
    <w:abstractNumId w:val="37"/>
  </w:num>
  <w:num w:numId="23">
    <w:abstractNumId w:val="47"/>
  </w:num>
  <w:num w:numId="24">
    <w:abstractNumId w:val="34"/>
  </w:num>
  <w:num w:numId="25">
    <w:abstractNumId w:val="48"/>
  </w:num>
  <w:num w:numId="26">
    <w:abstractNumId w:val="33"/>
  </w:num>
  <w:num w:numId="27">
    <w:abstractNumId w:val="44"/>
  </w:num>
  <w:num w:numId="28">
    <w:abstractNumId w:val="12"/>
  </w:num>
  <w:num w:numId="29">
    <w:abstractNumId w:val="49"/>
  </w:num>
  <w:num w:numId="30">
    <w:abstractNumId w:val="22"/>
  </w:num>
  <w:num w:numId="31">
    <w:abstractNumId w:val="4"/>
  </w:num>
  <w:num w:numId="32">
    <w:abstractNumId w:val="7"/>
  </w:num>
  <w:num w:numId="33">
    <w:abstractNumId w:val="3"/>
  </w:num>
  <w:num w:numId="34">
    <w:abstractNumId w:val="5"/>
  </w:num>
  <w:num w:numId="35">
    <w:abstractNumId w:val="1"/>
  </w:num>
  <w:num w:numId="36">
    <w:abstractNumId w:val="42"/>
  </w:num>
  <w:num w:numId="37">
    <w:abstractNumId w:val="28"/>
  </w:num>
  <w:num w:numId="38">
    <w:abstractNumId w:val="43"/>
  </w:num>
  <w:num w:numId="39">
    <w:abstractNumId w:val="40"/>
  </w:num>
  <w:num w:numId="40">
    <w:abstractNumId w:val="29"/>
  </w:num>
  <w:num w:numId="41">
    <w:abstractNumId w:val="10"/>
  </w:num>
  <w:num w:numId="42">
    <w:abstractNumId w:val="9"/>
  </w:num>
  <w:num w:numId="43">
    <w:abstractNumId w:val="17"/>
  </w:num>
  <w:num w:numId="44">
    <w:abstractNumId w:val="11"/>
  </w:num>
  <w:num w:numId="45">
    <w:abstractNumId w:val="15"/>
  </w:num>
  <w:num w:numId="46">
    <w:abstractNumId w:val="41"/>
    <w:lvlOverride w:ilvl="0">
      <w:startOverride w:val="1"/>
    </w:lvlOverride>
  </w:num>
  <w:num w:numId="47">
    <w:abstractNumId w:val="8"/>
  </w:num>
  <w:num w:numId="48">
    <w:abstractNumId w:val="0"/>
  </w:num>
  <w:num w:numId="49">
    <w:abstractNumId w:val="20"/>
  </w:num>
  <w:num w:numId="50">
    <w:abstractNumId w:val="27"/>
  </w:num>
  <w:num w:numId="51">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81"/>
    <w:rsid w:val="00020BBE"/>
    <w:rsid w:val="00022E3D"/>
    <w:rsid w:val="0002707D"/>
    <w:rsid w:val="000301D6"/>
    <w:rsid w:val="00036EE7"/>
    <w:rsid w:val="000458A2"/>
    <w:rsid w:val="00061B92"/>
    <w:rsid w:val="000658BC"/>
    <w:rsid w:val="00075560"/>
    <w:rsid w:val="00080CF9"/>
    <w:rsid w:val="0008176E"/>
    <w:rsid w:val="00083826"/>
    <w:rsid w:val="00086821"/>
    <w:rsid w:val="000A5330"/>
    <w:rsid w:val="000B04A9"/>
    <w:rsid w:val="000B60D0"/>
    <w:rsid w:val="000C4ADA"/>
    <w:rsid w:val="000F1104"/>
    <w:rsid w:val="000F1B50"/>
    <w:rsid w:val="000F1CCE"/>
    <w:rsid w:val="000F1F8F"/>
    <w:rsid w:val="000F5DEB"/>
    <w:rsid w:val="00106483"/>
    <w:rsid w:val="001242BC"/>
    <w:rsid w:val="00130AF5"/>
    <w:rsid w:val="0014596A"/>
    <w:rsid w:val="00153E35"/>
    <w:rsid w:val="001741A7"/>
    <w:rsid w:val="00195A0C"/>
    <w:rsid w:val="001A39DF"/>
    <w:rsid w:val="001A3D48"/>
    <w:rsid w:val="001C3325"/>
    <w:rsid w:val="001C617C"/>
    <w:rsid w:val="001C7D9B"/>
    <w:rsid w:val="001F48FF"/>
    <w:rsid w:val="001F4FF8"/>
    <w:rsid w:val="001F7081"/>
    <w:rsid w:val="002007B9"/>
    <w:rsid w:val="0020269D"/>
    <w:rsid w:val="002137D4"/>
    <w:rsid w:val="0021620A"/>
    <w:rsid w:val="00216649"/>
    <w:rsid w:val="002438CB"/>
    <w:rsid w:val="00251CDA"/>
    <w:rsid w:val="00255698"/>
    <w:rsid w:val="0025749A"/>
    <w:rsid w:val="00280DC5"/>
    <w:rsid w:val="00281ED4"/>
    <w:rsid w:val="00285C78"/>
    <w:rsid w:val="002A4333"/>
    <w:rsid w:val="002B4D15"/>
    <w:rsid w:val="002E1C4E"/>
    <w:rsid w:val="002E38DA"/>
    <w:rsid w:val="002F322B"/>
    <w:rsid w:val="00311878"/>
    <w:rsid w:val="003213C8"/>
    <w:rsid w:val="00324D1B"/>
    <w:rsid w:val="003276CC"/>
    <w:rsid w:val="0033114D"/>
    <w:rsid w:val="00340E4C"/>
    <w:rsid w:val="00381B72"/>
    <w:rsid w:val="00382C29"/>
    <w:rsid w:val="00387BF2"/>
    <w:rsid w:val="003A0CB6"/>
    <w:rsid w:val="003A45C1"/>
    <w:rsid w:val="003A6576"/>
    <w:rsid w:val="003B30AB"/>
    <w:rsid w:val="003C2D32"/>
    <w:rsid w:val="003F39EB"/>
    <w:rsid w:val="004031C8"/>
    <w:rsid w:val="00430558"/>
    <w:rsid w:val="00431CC9"/>
    <w:rsid w:val="004333EF"/>
    <w:rsid w:val="00442C35"/>
    <w:rsid w:val="00443A5A"/>
    <w:rsid w:val="00446DCB"/>
    <w:rsid w:val="004477DD"/>
    <w:rsid w:val="00457FD5"/>
    <w:rsid w:val="0046256B"/>
    <w:rsid w:val="00470BF3"/>
    <w:rsid w:val="0047561B"/>
    <w:rsid w:val="00480B03"/>
    <w:rsid w:val="00483076"/>
    <w:rsid w:val="004973B2"/>
    <w:rsid w:val="004A191A"/>
    <w:rsid w:val="004B06A8"/>
    <w:rsid w:val="004B4A1D"/>
    <w:rsid w:val="004B6B8A"/>
    <w:rsid w:val="004D67D9"/>
    <w:rsid w:val="004E28B7"/>
    <w:rsid w:val="004F4441"/>
    <w:rsid w:val="00505EE9"/>
    <w:rsid w:val="00510D76"/>
    <w:rsid w:val="00515BD5"/>
    <w:rsid w:val="00523AA0"/>
    <w:rsid w:val="005357DB"/>
    <w:rsid w:val="005405A5"/>
    <w:rsid w:val="00545B93"/>
    <w:rsid w:val="00551276"/>
    <w:rsid w:val="00551964"/>
    <w:rsid w:val="00554397"/>
    <w:rsid w:val="00556EF9"/>
    <w:rsid w:val="00557111"/>
    <w:rsid w:val="005572CB"/>
    <w:rsid w:val="005721DE"/>
    <w:rsid w:val="005744B3"/>
    <w:rsid w:val="0058080C"/>
    <w:rsid w:val="00585090"/>
    <w:rsid w:val="005A3C96"/>
    <w:rsid w:val="005B4C1A"/>
    <w:rsid w:val="005B783A"/>
    <w:rsid w:val="005C222C"/>
    <w:rsid w:val="005F1D5F"/>
    <w:rsid w:val="005F6191"/>
    <w:rsid w:val="0060216C"/>
    <w:rsid w:val="00605BCE"/>
    <w:rsid w:val="0061553C"/>
    <w:rsid w:val="0061581D"/>
    <w:rsid w:val="00623C40"/>
    <w:rsid w:val="00636A7A"/>
    <w:rsid w:val="0064380F"/>
    <w:rsid w:val="00643B3F"/>
    <w:rsid w:val="00655681"/>
    <w:rsid w:val="006647E4"/>
    <w:rsid w:val="00664D27"/>
    <w:rsid w:val="00681099"/>
    <w:rsid w:val="006A1AED"/>
    <w:rsid w:val="006D70BE"/>
    <w:rsid w:val="006E4DAF"/>
    <w:rsid w:val="006E7823"/>
    <w:rsid w:val="0070762A"/>
    <w:rsid w:val="00720FAC"/>
    <w:rsid w:val="00730B3E"/>
    <w:rsid w:val="00734785"/>
    <w:rsid w:val="00735206"/>
    <w:rsid w:val="00760982"/>
    <w:rsid w:val="00766DA9"/>
    <w:rsid w:val="00774D9F"/>
    <w:rsid w:val="00783598"/>
    <w:rsid w:val="0078667E"/>
    <w:rsid w:val="00791B72"/>
    <w:rsid w:val="007A5531"/>
    <w:rsid w:val="007B6CE7"/>
    <w:rsid w:val="007B73AD"/>
    <w:rsid w:val="007C0C04"/>
    <w:rsid w:val="007C3812"/>
    <w:rsid w:val="007D6C17"/>
    <w:rsid w:val="007E4D1B"/>
    <w:rsid w:val="007F0F6F"/>
    <w:rsid w:val="007F3354"/>
    <w:rsid w:val="00806FEE"/>
    <w:rsid w:val="008121E9"/>
    <w:rsid w:val="008257AE"/>
    <w:rsid w:val="00830FC7"/>
    <w:rsid w:val="00851A3B"/>
    <w:rsid w:val="00852E95"/>
    <w:rsid w:val="00853B00"/>
    <w:rsid w:val="00871116"/>
    <w:rsid w:val="008739F4"/>
    <w:rsid w:val="00877E5F"/>
    <w:rsid w:val="008871E1"/>
    <w:rsid w:val="008A21AA"/>
    <w:rsid w:val="008A2D04"/>
    <w:rsid w:val="008A595E"/>
    <w:rsid w:val="008B604A"/>
    <w:rsid w:val="008C3067"/>
    <w:rsid w:val="008C48C2"/>
    <w:rsid w:val="008D4F71"/>
    <w:rsid w:val="008E4C76"/>
    <w:rsid w:val="008F0E68"/>
    <w:rsid w:val="008F6023"/>
    <w:rsid w:val="00902549"/>
    <w:rsid w:val="00903C8C"/>
    <w:rsid w:val="00917420"/>
    <w:rsid w:val="00931DBA"/>
    <w:rsid w:val="00936185"/>
    <w:rsid w:val="0095244E"/>
    <w:rsid w:val="00955FFE"/>
    <w:rsid w:val="009712CC"/>
    <w:rsid w:val="0097740E"/>
    <w:rsid w:val="00981A9D"/>
    <w:rsid w:val="00986E0F"/>
    <w:rsid w:val="009908BA"/>
    <w:rsid w:val="00995B5C"/>
    <w:rsid w:val="009A4C0D"/>
    <w:rsid w:val="009A594E"/>
    <w:rsid w:val="009B4211"/>
    <w:rsid w:val="009B6047"/>
    <w:rsid w:val="009C6586"/>
    <w:rsid w:val="009C71EE"/>
    <w:rsid w:val="009D4CA8"/>
    <w:rsid w:val="009D77BA"/>
    <w:rsid w:val="009E0FF3"/>
    <w:rsid w:val="00A062C6"/>
    <w:rsid w:val="00A12381"/>
    <w:rsid w:val="00A21FF0"/>
    <w:rsid w:val="00A305E2"/>
    <w:rsid w:val="00A32CEB"/>
    <w:rsid w:val="00A3336C"/>
    <w:rsid w:val="00A34A19"/>
    <w:rsid w:val="00A37723"/>
    <w:rsid w:val="00A407ED"/>
    <w:rsid w:val="00A447AA"/>
    <w:rsid w:val="00A45F76"/>
    <w:rsid w:val="00A55057"/>
    <w:rsid w:val="00A67F79"/>
    <w:rsid w:val="00A71704"/>
    <w:rsid w:val="00A72195"/>
    <w:rsid w:val="00AA442F"/>
    <w:rsid w:val="00AC1CEA"/>
    <w:rsid w:val="00AD4DBD"/>
    <w:rsid w:val="00AE2680"/>
    <w:rsid w:val="00AF1FED"/>
    <w:rsid w:val="00AF2582"/>
    <w:rsid w:val="00B24FFF"/>
    <w:rsid w:val="00B3382A"/>
    <w:rsid w:val="00B479A6"/>
    <w:rsid w:val="00B52517"/>
    <w:rsid w:val="00B55049"/>
    <w:rsid w:val="00B57749"/>
    <w:rsid w:val="00B766BC"/>
    <w:rsid w:val="00B84467"/>
    <w:rsid w:val="00B94554"/>
    <w:rsid w:val="00BA3F2A"/>
    <w:rsid w:val="00BA7A68"/>
    <w:rsid w:val="00BA7B16"/>
    <w:rsid w:val="00BE086B"/>
    <w:rsid w:val="00BE1856"/>
    <w:rsid w:val="00BE339B"/>
    <w:rsid w:val="00BE4297"/>
    <w:rsid w:val="00BF2545"/>
    <w:rsid w:val="00C13CEF"/>
    <w:rsid w:val="00C26EDE"/>
    <w:rsid w:val="00C3172A"/>
    <w:rsid w:val="00C32C7A"/>
    <w:rsid w:val="00C34469"/>
    <w:rsid w:val="00C35F19"/>
    <w:rsid w:val="00C47F78"/>
    <w:rsid w:val="00C5248B"/>
    <w:rsid w:val="00C545D5"/>
    <w:rsid w:val="00C86A4D"/>
    <w:rsid w:val="00CB1147"/>
    <w:rsid w:val="00CC3E08"/>
    <w:rsid w:val="00CC6404"/>
    <w:rsid w:val="00CD0A0C"/>
    <w:rsid w:val="00D0758B"/>
    <w:rsid w:val="00D253D7"/>
    <w:rsid w:val="00D502E8"/>
    <w:rsid w:val="00D7604D"/>
    <w:rsid w:val="00DB06D6"/>
    <w:rsid w:val="00DC1B83"/>
    <w:rsid w:val="00DC7147"/>
    <w:rsid w:val="00DC7C43"/>
    <w:rsid w:val="00DD2600"/>
    <w:rsid w:val="00DE7CBC"/>
    <w:rsid w:val="00DF63D4"/>
    <w:rsid w:val="00DF6522"/>
    <w:rsid w:val="00E017BD"/>
    <w:rsid w:val="00E02BF0"/>
    <w:rsid w:val="00E23E01"/>
    <w:rsid w:val="00E46138"/>
    <w:rsid w:val="00E67187"/>
    <w:rsid w:val="00E74D86"/>
    <w:rsid w:val="00E81B0D"/>
    <w:rsid w:val="00E82A66"/>
    <w:rsid w:val="00E87A69"/>
    <w:rsid w:val="00E95D95"/>
    <w:rsid w:val="00EA7C5A"/>
    <w:rsid w:val="00EB34B6"/>
    <w:rsid w:val="00ED16E4"/>
    <w:rsid w:val="00ED2731"/>
    <w:rsid w:val="00F30022"/>
    <w:rsid w:val="00F437FC"/>
    <w:rsid w:val="00F43B00"/>
    <w:rsid w:val="00F5635F"/>
    <w:rsid w:val="00F84283"/>
    <w:rsid w:val="00F860B4"/>
    <w:rsid w:val="00F87C61"/>
    <w:rsid w:val="00FA3A37"/>
    <w:rsid w:val="00FA54C1"/>
    <w:rsid w:val="00FB0C11"/>
    <w:rsid w:val="00FB279D"/>
    <w:rsid w:val="00FB3493"/>
    <w:rsid w:val="00FB7A35"/>
    <w:rsid w:val="00FC02A9"/>
    <w:rsid w:val="00FC2BF2"/>
    <w:rsid w:val="00FD62F4"/>
    <w:rsid w:val="00FE185B"/>
    <w:rsid w:val="00FF712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zh-CN"/>
    </w:rPr>
  </w:style>
  <w:style w:type="paragraph" w:styleId="berschrift1">
    <w:name w:val="heading 1"/>
    <w:basedOn w:val="Standard"/>
    <w:next w:val="Standard"/>
    <w:qFormat/>
    <w:pPr>
      <w:keepNext/>
      <w:numPr>
        <w:numId w:val="2"/>
      </w:numPr>
      <w:spacing w:before="240" w:after="60"/>
      <w:outlineLvl w:val="0"/>
    </w:pPr>
    <w:rPr>
      <w:rFonts w:cs="Arial"/>
      <w:b/>
      <w:bCs/>
      <w:kern w:val="32"/>
      <w:sz w:val="28"/>
      <w:szCs w:val="32"/>
    </w:rPr>
  </w:style>
  <w:style w:type="paragraph" w:styleId="berschrift2">
    <w:name w:val="heading 2"/>
    <w:basedOn w:val="Standard"/>
    <w:next w:val="Standard"/>
    <w:qFormat/>
    <w:pPr>
      <w:keepNext/>
      <w:numPr>
        <w:ilvl w:val="1"/>
        <w:numId w:val="2"/>
      </w:numPr>
      <w:spacing w:before="240" w:after="60"/>
      <w:outlineLvl w:val="1"/>
    </w:pPr>
    <w:rPr>
      <w:rFonts w:cs="Arial"/>
      <w:b/>
      <w:bCs/>
      <w:iCs/>
      <w:szCs w:val="28"/>
    </w:rPr>
  </w:style>
  <w:style w:type="paragraph" w:styleId="berschrift3">
    <w:name w:val="heading 3"/>
    <w:basedOn w:val="Standard"/>
    <w:next w:val="Standard"/>
    <w:qFormat/>
    <w:pPr>
      <w:keepNext/>
      <w:numPr>
        <w:ilvl w:val="2"/>
        <w:numId w:val="2"/>
      </w:numPr>
      <w:spacing w:before="240" w:after="60"/>
      <w:outlineLvl w:val="2"/>
    </w:pPr>
    <w:rPr>
      <w:rFonts w:cs="Arial"/>
      <w:bCs/>
      <w:szCs w:val="26"/>
    </w:rPr>
  </w:style>
  <w:style w:type="paragraph" w:styleId="berschrift4">
    <w:name w:val="heading 4"/>
    <w:basedOn w:val="Standard"/>
    <w:next w:val="Standard"/>
    <w:qFormat/>
    <w:pPr>
      <w:keepNext/>
      <w:numPr>
        <w:ilvl w:val="3"/>
        <w:numId w:val="2"/>
      </w:numPr>
      <w:tabs>
        <w:tab w:val="clear" w:pos="2564"/>
        <w:tab w:val="num" w:pos="1800"/>
      </w:tabs>
      <w:spacing w:before="240" w:after="60"/>
      <w:ind w:left="1728"/>
      <w:outlineLvl w:val="3"/>
    </w:pPr>
    <w:rPr>
      <w:bCs/>
      <w:szCs w:val="28"/>
    </w:rPr>
  </w:style>
  <w:style w:type="paragraph" w:styleId="berschrift5">
    <w:name w:val="heading 5"/>
    <w:basedOn w:val="Standard"/>
    <w:next w:val="Standard"/>
    <w:qFormat/>
    <w:pPr>
      <w:keepNext/>
      <w:numPr>
        <w:ilvl w:val="4"/>
        <w:numId w:val="16"/>
      </w:numPr>
      <w:jc w:val="center"/>
      <w:outlineLvl w:val="4"/>
    </w:pPr>
  </w:style>
  <w:style w:type="paragraph" w:styleId="berschrift6">
    <w:name w:val="heading 6"/>
    <w:basedOn w:val="Standard"/>
    <w:next w:val="Standard"/>
    <w:qFormat/>
    <w:pPr>
      <w:keepNext/>
      <w:jc w:val="center"/>
      <w:outlineLvl w:val="5"/>
    </w:pPr>
    <w:rPr>
      <w:color w:val="FF0000"/>
      <w:sz w:val="96"/>
    </w:rPr>
  </w:style>
  <w:style w:type="paragraph" w:styleId="berschrift7">
    <w:name w:val="heading 7"/>
    <w:basedOn w:val="Standard"/>
    <w:next w:val="Standard"/>
    <w:qFormat/>
    <w:pPr>
      <w:keepNext/>
      <w:jc w:val="center"/>
      <w:outlineLvl w:val="6"/>
    </w:pPr>
    <w:rPr>
      <w:color w:val="FF0000"/>
      <w:sz w:val="52"/>
    </w:rPr>
  </w:style>
  <w:style w:type="paragraph" w:styleId="berschrift8">
    <w:name w:val="heading 8"/>
    <w:basedOn w:val="Standard"/>
    <w:next w:val="Standard"/>
    <w:qFormat/>
    <w:pPr>
      <w:keepNext/>
      <w:outlineLvl w:val="7"/>
    </w:pPr>
    <w:rPr>
      <w:u w:val="single"/>
    </w:rPr>
  </w:style>
  <w:style w:type="paragraph" w:styleId="berschrift9">
    <w:name w:val="heading 9"/>
    <w:basedOn w:val="Standard"/>
    <w:next w:val="Standard"/>
    <w:qFormat/>
    <w:pPr>
      <w:keepNext/>
      <w:outlineLvl w:val="8"/>
    </w:pPr>
    <w:rPr>
      <w:color w:val="000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itel">
    <w:name w:val="Title"/>
    <w:basedOn w:val="Standard"/>
    <w:qFormat/>
    <w:pPr>
      <w:spacing w:before="240" w:after="60"/>
      <w:jc w:val="center"/>
      <w:outlineLvl w:val="0"/>
    </w:pPr>
    <w:rPr>
      <w:rFonts w:cs="Arial"/>
      <w:b/>
      <w:bCs/>
      <w:kern w:val="28"/>
      <w:sz w:val="40"/>
      <w:szCs w:val="32"/>
    </w:rPr>
  </w:style>
  <w:style w:type="paragraph" w:styleId="Textkrper">
    <w:name w:val="Body Text"/>
    <w:basedOn w:val="Standard"/>
    <w:semiHidden/>
    <w:pPr>
      <w:jc w:val="both"/>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Fett">
    <w:name w:val="Strong"/>
    <w:uiPriority w:val="22"/>
    <w:qFormat/>
    <w:rPr>
      <w:b/>
      <w:bCs/>
    </w:rPr>
  </w:style>
  <w:style w:type="character" w:styleId="Hervorhebung">
    <w:name w:val="Emphasis"/>
    <w:qFormat/>
    <w:rPr>
      <w:i/>
      <w:iCs/>
    </w:rPr>
  </w:style>
  <w:style w:type="character" w:customStyle="1" w:styleId="pozn1">
    <w:name w:val="pozn1"/>
    <w:rPr>
      <w:vanish w:val="0"/>
      <w:webHidden w:val="0"/>
      <w:sz w:val="22"/>
      <w:szCs w:val="22"/>
    </w:rPr>
  </w:style>
  <w:style w:type="paragraph" w:styleId="Verzeichnis1">
    <w:name w:val="toc 1"/>
    <w:basedOn w:val="Standard"/>
    <w:next w:val="Standard"/>
    <w:autoRedefine/>
    <w:uiPriority w:val="39"/>
    <w:pPr>
      <w:jc w:val="both"/>
    </w:pPr>
  </w:style>
  <w:style w:type="paragraph" w:styleId="Verzeichnis2">
    <w:name w:val="toc 2"/>
    <w:basedOn w:val="Standard"/>
    <w:next w:val="Standard"/>
    <w:autoRedefine/>
    <w:uiPriority w:val="39"/>
    <w:pPr>
      <w:ind w:left="240"/>
    </w:pPr>
  </w:style>
  <w:style w:type="paragraph" w:styleId="Verzeichnis3">
    <w:name w:val="toc 3"/>
    <w:basedOn w:val="Standard"/>
    <w:next w:val="Standard"/>
    <w:autoRedefine/>
    <w:uiPriority w:val="39"/>
    <w:pPr>
      <w:ind w:left="480"/>
    </w:pPr>
  </w:style>
  <w:style w:type="paragraph" w:styleId="Verzeichnis4">
    <w:name w:val="toc 4"/>
    <w:basedOn w:val="Standard"/>
    <w:next w:val="Standard"/>
    <w:autoRedefine/>
    <w:uiPriority w:val="39"/>
    <w:pPr>
      <w:ind w:left="720"/>
    </w:pPr>
  </w:style>
  <w:style w:type="paragraph" w:styleId="Verzeichnis5">
    <w:name w:val="toc 5"/>
    <w:basedOn w:val="Standard"/>
    <w:next w:val="Standard"/>
    <w:autoRedefine/>
    <w:uiPriority w:val="39"/>
    <w:pPr>
      <w:ind w:left="960"/>
    </w:pPr>
  </w:style>
  <w:style w:type="paragraph" w:styleId="Verzeichnis6">
    <w:name w:val="toc 6"/>
    <w:basedOn w:val="Standard"/>
    <w:next w:val="Standard"/>
    <w:autoRedefine/>
    <w:uiPriority w:val="39"/>
    <w:pPr>
      <w:ind w:left="1200"/>
    </w:pPr>
  </w:style>
  <w:style w:type="paragraph" w:styleId="Verzeichnis7">
    <w:name w:val="toc 7"/>
    <w:basedOn w:val="Standard"/>
    <w:next w:val="Standard"/>
    <w:autoRedefine/>
    <w:uiPriority w:val="39"/>
    <w:pPr>
      <w:ind w:left="1440"/>
    </w:pPr>
  </w:style>
  <w:style w:type="paragraph" w:styleId="Verzeichnis8">
    <w:name w:val="toc 8"/>
    <w:basedOn w:val="Standard"/>
    <w:next w:val="Standard"/>
    <w:autoRedefine/>
    <w:uiPriority w:val="39"/>
    <w:pPr>
      <w:ind w:left="1680"/>
    </w:pPr>
  </w:style>
  <w:style w:type="paragraph" w:styleId="Verzeichnis9">
    <w:name w:val="toc 9"/>
    <w:basedOn w:val="Standard"/>
    <w:next w:val="Standard"/>
    <w:autoRedefine/>
    <w:uiPriority w:val="39"/>
    <w:pPr>
      <w:ind w:left="1920"/>
    </w:pPr>
  </w:style>
  <w:style w:type="character" w:styleId="Hyperlink">
    <w:name w:val="Hyperlink"/>
    <w:uiPriority w:val="99"/>
    <w:rPr>
      <w:color w:val="0000FF"/>
      <w:u w:val="single"/>
    </w:rPr>
  </w:style>
  <w:style w:type="paragraph" w:styleId="Textkrper-Zeileneinzug">
    <w:name w:val="Body Text Indent"/>
    <w:basedOn w:val="Standard"/>
    <w:semiHidden/>
    <w:pPr>
      <w:ind w:left="705"/>
      <w:jc w:val="both"/>
    </w:pPr>
  </w:style>
  <w:style w:type="character" w:styleId="BesuchterHyperlink">
    <w:name w:val="FollowedHyperlink"/>
    <w:semiHidden/>
    <w:rPr>
      <w:color w:val="800080"/>
      <w:u w:val="single"/>
    </w:rPr>
  </w:style>
  <w:style w:type="paragraph" w:styleId="StandardWeb">
    <w:name w:val="Normal (Web)"/>
    <w:basedOn w:val="Standard"/>
    <w:uiPriority w:val="99"/>
    <w:semiHidden/>
    <w:pPr>
      <w:spacing w:after="300"/>
    </w:pPr>
    <w:rPr>
      <w:rFonts w:eastAsia="Times New Roman"/>
      <w:lang w:eastAsia="cs-CZ"/>
    </w:rPr>
  </w:style>
  <w:style w:type="paragraph" w:styleId="Beschriftung">
    <w:name w:val="caption"/>
    <w:basedOn w:val="Standard"/>
    <w:next w:val="Standard"/>
    <w:qFormat/>
    <w:rPr>
      <w:b/>
      <w:bCs/>
    </w:rPr>
  </w:style>
  <w:style w:type="character" w:customStyle="1" w:styleId="editsection">
    <w:name w:val="editsection"/>
    <w:basedOn w:val="Absatz-Standardschriftart"/>
  </w:style>
  <w:style w:type="character" w:customStyle="1" w:styleId="mw-headline">
    <w:name w:val="mw-headline"/>
    <w:basedOn w:val="Absatz-Standardschriftart"/>
  </w:style>
  <w:style w:type="paragraph" w:customStyle="1" w:styleId="c">
    <w:name w:val="c"/>
    <w:basedOn w:val="Standard"/>
    <w:pPr>
      <w:spacing w:before="100" w:beforeAutospacing="1" w:after="100" w:afterAutospacing="1"/>
      <w:jc w:val="center"/>
    </w:pPr>
    <w:rPr>
      <w:rFonts w:ascii="Tahoma" w:eastAsia="Times New Roman" w:hAnsi="Tahoma" w:cs="Tahoma"/>
      <w:color w:val="000000"/>
      <w:sz w:val="21"/>
      <w:szCs w:val="21"/>
      <w:lang w:eastAsia="cs-CZ"/>
    </w:rPr>
  </w:style>
  <w:style w:type="paragraph" w:customStyle="1" w:styleId="r">
    <w:name w:val="r"/>
    <w:basedOn w:val="Standard"/>
    <w:pPr>
      <w:spacing w:before="100" w:beforeAutospacing="1" w:after="100" w:afterAutospacing="1"/>
    </w:pPr>
    <w:rPr>
      <w:rFonts w:ascii="Tahoma" w:eastAsia="Times New Roman" w:hAnsi="Tahoma" w:cs="Tahoma"/>
      <w:b/>
      <w:bCs/>
      <w:color w:val="000000"/>
      <w:sz w:val="23"/>
      <w:szCs w:val="23"/>
      <w:lang w:eastAsia="cs-CZ"/>
    </w:rPr>
  </w:style>
  <w:style w:type="paragraph" w:styleId="Textkrper2">
    <w:name w:val="Body Text 2"/>
    <w:basedOn w:val="Standard"/>
    <w:semiHidden/>
    <w:pPr>
      <w:jc w:val="both"/>
    </w:pPr>
    <w:rPr>
      <w:b/>
      <w:bCs/>
    </w:rPr>
  </w:style>
  <w:style w:type="paragraph" w:styleId="Sprechblasentext">
    <w:name w:val="Balloon Text"/>
    <w:basedOn w:val="Standard"/>
    <w:link w:val="SprechblasentextZchn"/>
    <w:uiPriority w:val="99"/>
    <w:semiHidden/>
    <w:rPr>
      <w:rFonts w:ascii="Tahoma" w:hAnsi="Tahoma" w:cs="Tahoma"/>
      <w:sz w:val="16"/>
      <w:szCs w:val="16"/>
    </w:rPr>
  </w:style>
  <w:style w:type="paragraph" w:styleId="Textkrper3">
    <w:name w:val="Body Text 3"/>
    <w:basedOn w:val="Standard"/>
    <w:semiHidden/>
    <w:pPr>
      <w:jc w:val="both"/>
    </w:pPr>
    <w:rPr>
      <w:i/>
      <w:iCs/>
    </w:rPr>
  </w:style>
  <w:style w:type="character" w:customStyle="1" w:styleId="popis1">
    <w:name w:val="popis1"/>
    <w:rPr>
      <w:vanish w:val="0"/>
      <w:webHidden w:val="0"/>
      <w:specVanish w:val="0"/>
    </w:rPr>
  </w:style>
  <w:style w:type="paragraph" w:styleId="Textkrper-Einzug2">
    <w:name w:val="Body Text Indent 2"/>
    <w:basedOn w:val="Standard"/>
    <w:semiHidden/>
    <w:pPr>
      <w:ind w:left="180"/>
      <w:jc w:val="both"/>
    </w:pPr>
  </w:style>
  <w:style w:type="paragraph" w:customStyle="1" w:styleId="poznamka">
    <w:name w:val="poznamka"/>
    <w:basedOn w:val="Standard"/>
    <w:pPr>
      <w:spacing w:before="100" w:beforeAutospacing="1" w:after="100" w:afterAutospacing="1"/>
    </w:pPr>
    <w:rPr>
      <w:rFonts w:eastAsia="Times New Roman"/>
      <w:color w:val="000000"/>
      <w:lang w:eastAsia="cs-CZ"/>
    </w:rPr>
  </w:style>
  <w:style w:type="character" w:customStyle="1" w:styleId="spacer">
    <w:name w:val="spacer"/>
    <w:basedOn w:val="Absatz-Standardschriftart"/>
  </w:style>
  <w:style w:type="character" w:customStyle="1" w:styleId="suiteheaderrowtext1">
    <w:name w:val="suiteheaderrowtext1"/>
    <w:rPr>
      <w:rFonts w:ascii="Arial" w:hAnsi="Arial" w:cs="Arial" w:hint="default"/>
      <w:b/>
      <w:bCs/>
      <w:color w:val="000000"/>
      <w:sz w:val="16"/>
      <w:szCs w:val="16"/>
    </w:rPr>
  </w:style>
  <w:style w:type="character" w:customStyle="1" w:styleId="suiteheadercoltext1">
    <w:name w:val="suiteheadercoltext1"/>
    <w:rPr>
      <w:rFonts w:ascii="Arial" w:hAnsi="Arial" w:cs="Arial" w:hint="default"/>
      <w:b/>
      <w:bCs/>
      <w:i w:val="0"/>
      <w:iCs w:val="0"/>
      <w:color w:val="000000"/>
      <w:sz w:val="16"/>
      <w:szCs w:val="16"/>
    </w:rPr>
  </w:style>
  <w:style w:type="character" w:customStyle="1" w:styleId="suitecelltext1">
    <w:name w:val="suitecelltext1"/>
    <w:rPr>
      <w:rFonts w:ascii="Arial" w:hAnsi="Arial" w:cs="Arial" w:hint="default"/>
      <w:b w:val="0"/>
      <w:bCs w:val="0"/>
      <w:i w:val="0"/>
      <w:iCs w:val="0"/>
      <w:color w:val="000000"/>
      <w:sz w:val="16"/>
      <w:szCs w:val="16"/>
    </w:rPr>
  </w:style>
  <w:style w:type="table" w:styleId="Tabellenraster">
    <w:name w:val="Table Grid"/>
    <w:basedOn w:val="NormaleTabelle"/>
    <w:uiPriority w:val="59"/>
    <w:rsid w:val="00480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unhideWhenUsed/>
    <w:qFormat/>
    <w:rsid w:val="00C5248B"/>
    <w:pPr>
      <w:keepLines/>
      <w:numPr>
        <w:numId w:val="0"/>
      </w:numPr>
      <w:spacing w:before="480" w:after="0" w:line="276" w:lineRule="auto"/>
      <w:outlineLvl w:val="9"/>
    </w:pPr>
    <w:rPr>
      <w:rFonts w:ascii="Cambria" w:eastAsia="Times New Roman" w:hAnsi="Cambria" w:cs="Times New Roman"/>
      <w:color w:val="365F91"/>
      <w:kern w:val="0"/>
      <w:szCs w:val="28"/>
      <w:lang w:eastAsia="en-US"/>
    </w:rPr>
  </w:style>
  <w:style w:type="character" w:styleId="Platzhaltertext">
    <w:name w:val="Placeholder Text"/>
    <w:basedOn w:val="Absatz-Standardschriftart"/>
    <w:uiPriority w:val="99"/>
    <w:semiHidden/>
    <w:rsid w:val="00381B72"/>
    <w:rPr>
      <w:color w:val="808080"/>
    </w:rPr>
  </w:style>
  <w:style w:type="character" w:customStyle="1" w:styleId="KopfzeileZchn">
    <w:name w:val="Kopfzeile Zchn"/>
    <w:basedOn w:val="Absatz-Standardschriftart"/>
    <w:link w:val="Kopfzeile"/>
    <w:uiPriority w:val="99"/>
    <w:rsid w:val="008121E9"/>
    <w:rPr>
      <w:sz w:val="24"/>
      <w:szCs w:val="24"/>
      <w:lang w:eastAsia="zh-CN"/>
    </w:rPr>
  </w:style>
  <w:style w:type="character" w:customStyle="1" w:styleId="FuzeileZchn">
    <w:name w:val="Fußzeile Zchn"/>
    <w:basedOn w:val="Absatz-Standardschriftart"/>
    <w:link w:val="Fuzeile"/>
    <w:uiPriority w:val="99"/>
    <w:rsid w:val="008121E9"/>
    <w:rPr>
      <w:sz w:val="24"/>
      <w:szCs w:val="24"/>
      <w:lang w:eastAsia="zh-CN"/>
    </w:rPr>
  </w:style>
  <w:style w:type="character" w:customStyle="1" w:styleId="SprechblasentextZchn">
    <w:name w:val="Sprechblasentext Zchn"/>
    <w:basedOn w:val="Absatz-Standardschriftart"/>
    <w:link w:val="Sprechblasentext"/>
    <w:uiPriority w:val="99"/>
    <w:semiHidden/>
    <w:rsid w:val="008121E9"/>
    <w:rPr>
      <w:rFonts w:ascii="Tahoma" w:hAnsi="Tahoma" w:cs="Tahoma"/>
      <w:sz w:val="16"/>
      <w:szCs w:val="16"/>
      <w:lang w:eastAsia="zh-CN"/>
    </w:rPr>
  </w:style>
  <w:style w:type="paragraph" w:styleId="Listenabsatz">
    <w:name w:val="List Paragraph"/>
    <w:basedOn w:val="Standard"/>
    <w:uiPriority w:val="34"/>
    <w:qFormat/>
    <w:rsid w:val="008121E9"/>
    <w:pPr>
      <w:spacing w:after="200" w:line="276" w:lineRule="auto"/>
      <w:ind w:left="720"/>
      <w:contextualSpacing/>
    </w:pPr>
    <w:rPr>
      <w:rFonts w:ascii="Calibri" w:eastAsia="Times New Roman" w:hAnsi="Calibri"/>
      <w:sz w:val="22"/>
      <w:szCs w:val="22"/>
      <w:lang w:val="de-DE" w:eastAsia="de-DE"/>
    </w:rPr>
  </w:style>
  <w:style w:type="character" w:customStyle="1" w:styleId="texhtml">
    <w:name w:val="texhtml"/>
    <w:basedOn w:val="Absatz-Standardschriftart"/>
    <w:rsid w:val="008121E9"/>
  </w:style>
  <w:style w:type="paragraph" w:styleId="Endnotentext">
    <w:name w:val="endnote text"/>
    <w:basedOn w:val="Standard"/>
    <w:link w:val="EndnotentextZchn"/>
    <w:uiPriority w:val="99"/>
    <w:semiHidden/>
    <w:unhideWhenUsed/>
    <w:rsid w:val="00E67187"/>
    <w:rPr>
      <w:sz w:val="20"/>
      <w:szCs w:val="20"/>
    </w:rPr>
  </w:style>
  <w:style w:type="character" w:customStyle="1" w:styleId="EndnotentextZchn">
    <w:name w:val="Endnotentext Zchn"/>
    <w:basedOn w:val="Absatz-Standardschriftart"/>
    <w:link w:val="Endnotentext"/>
    <w:uiPriority w:val="99"/>
    <w:semiHidden/>
    <w:rsid w:val="00E67187"/>
    <w:rPr>
      <w:lang w:eastAsia="zh-CN"/>
    </w:rPr>
  </w:style>
  <w:style w:type="character" w:styleId="Endnotenzeichen">
    <w:name w:val="endnote reference"/>
    <w:basedOn w:val="Absatz-Standardschriftart"/>
    <w:uiPriority w:val="99"/>
    <w:semiHidden/>
    <w:unhideWhenUsed/>
    <w:rsid w:val="00E67187"/>
    <w:rPr>
      <w:vertAlign w:val="superscript"/>
    </w:rPr>
  </w:style>
  <w:style w:type="character" w:customStyle="1" w:styleId="texhtml1">
    <w:name w:val="texhtml1"/>
    <w:basedOn w:val="Absatz-Standardschriftart"/>
    <w:rsid w:val="009D77BA"/>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zh-CN"/>
    </w:rPr>
  </w:style>
  <w:style w:type="paragraph" w:styleId="berschrift1">
    <w:name w:val="heading 1"/>
    <w:basedOn w:val="Standard"/>
    <w:next w:val="Standard"/>
    <w:qFormat/>
    <w:pPr>
      <w:keepNext/>
      <w:numPr>
        <w:numId w:val="2"/>
      </w:numPr>
      <w:spacing w:before="240" w:after="60"/>
      <w:outlineLvl w:val="0"/>
    </w:pPr>
    <w:rPr>
      <w:rFonts w:cs="Arial"/>
      <w:b/>
      <w:bCs/>
      <w:kern w:val="32"/>
      <w:sz w:val="28"/>
      <w:szCs w:val="32"/>
    </w:rPr>
  </w:style>
  <w:style w:type="paragraph" w:styleId="berschrift2">
    <w:name w:val="heading 2"/>
    <w:basedOn w:val="Standard"/>
    <w:next w:val="Standard"/>
    <w:qFormat/>
    <w:pPr>
      <w:keepNext/>
      <w:numPr>
        <w:ilvl w:val="1"/>
        <w:numId w:val="2"/>
      </w:numPr>
      <w:spacing w:before="240" w:after="60"/>
      <w:outlineLvl w:val="1"/>
    </w:pPr>
    <w:rPr>
      <w:rFonts w:cs="Arial"/>
      <w:b/>
      <w:bCs/>
      <w:iCs/>
      <w:szCs w:val="28"/>
    </w:rPr>
  </w:style>
  <w:style w:type="paragraph" w:styleId="berschrift3">
    <w:name w:val="heading 3"/>
    <w:basedOn w:val="Standard"/>
    <w:next w:val="Standard"/>
    <w:qFormat/>
    <w:pPr>
      <w:keepNext/>
      <w:numPr>
        <w:ilvl w:val="2"/>
        <w:numId w:val="2"/>
      </w:numPr>
      <w:spacing w:before="240" w:after="60"/>
      <w:outlineLvl w:val="2"/>
    </w:pPr>
    <w:rPr>
      <w:rFonts w:cs="Arial"/>
      <w:bCs/>
      <w:szCs w:val="26"/>
    </w:rPr>
  </w:style>
  <w:style w:type="paragraph" w:styleId="berschrift4">
    <w:name w:val="heading 4"/>
    <w:basedOn w:val="Standard"/>
    <w:next w:val="Standard"/>
    <w:qFormat/>
    <w:pPr>
      <w:keepNext/>
      <w:numPr>
        <w:ilvl w:val="3"/>
        <w:numId w:val="2"/>
      </w:numPr>
      <w:tabs>
        <w:tab w:val="clear" w:pos="2564"/>
        <w:tab w:val="num" w:pos="1800"/>
      </w:tabs>
      <w:spacing w:before="240" w:after="60"/>
      <w:ind w:left="1728"/>
      <w:outlineLvl w:val="3"/>
    </w:pPr>
    <w:rPr>
      <w:bCs/>
      <w:szCs w:val="28"/>
    </w:rPr>
  </w:style>
  <w:style w:type="paragraph" w:styleId="berschrift5">
    <w:name w:val="heading 5"/>
    <w:basedOn w:val="Standard"/>
    <w:next w:val="Standard"/>
    <w:qFormat/>
    <w:pPr>
      <w:keepNext/>
      <w:numPr>
        <w:ilvl w:val="4"/>
        <w:numId w:val="16"/>
      </w:numPr>
      <w:jc w:val="center"/>
      <w:outlineLvl w:val="4"/>
    </w:pPr>
  </w:style>
  <w:style w:type="paragraph" w:styleId="berschrift6">
    <w:name w:val="heading 6"/>
    <w:basedOn w:val="Standard"/>
    <w:next w:val="Standard"/>
    <w:qFormat/>
    <w:pPr>
      <w:keepNext/>
      <w:jc w:val="center"/>
      <w:outlineLvl w:val="5"/>
    </w:pPr>
    <w:rPr>
      <w:color w:val="FF0000"/>
      <w:sz w:val="96"/>
    </w:rPr>
  </w:style>
  <w:style w:type="paragraph" w:styleId="berschrift7">
    <w:name w:val="heading 7"/>
    <w:basedOn w:val="Standard"/>
    <w:next w:val="Standard"/>
    <w:qFormat/>
    <w:pPr>
      <w:keepNext/>
      <w:jc w:val="center"/>
      <w:outlineLvl w:val="6"/>
    </w:pPr>
    <w:rPr>
      <w:color w:val="FF0000"/>
      <w:sz w:val="52"/>
    </w:rPr>
  </w:style>
  <w:style w:type="paragraph" w:styleId="berschrift8">
    <w:name w:val="heading 8"/>
    <w:basedOn w:val="Standard"/>
    <w:next w:val="Standard"/>
    <w:qFormat/>
    <w:pPr>
      <w:keepNext/>
      <w:outlineLvl w:val="7"/>
    </w:pPr>
    <w:rPr>
      <w:u w:val="single"/>
    </w:rPr>
  </w:style>
  <w:style w:type="paragraph" w:styleId="berschrift9">
    <w:name w:val="heading 9"/>
    <w:basedOn w:val="Standard"/>
    <w:next w:val="Standard"/>
    <w:qFormat/>
    <w:pPr>
      <w:keepNext/>
      <w:outlineLvl w:val="8"/>
    </w:pPr>
    <w:rPr>
      <w:color w:val="000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itel">
    <w:name w:val="Title"/>
    <w:basedOn w:val="Standard"/>
    <w:qFormat/>
    <w:pPr>
      <w:spacing w:before="240" w:after="60"/>
      <w:jc w:val="center"/>
      <w:outlineLvl w:val="0"/>
    </w:pPr>
    <w:rPr>
      <w:rFonts w:cs="Arial"/>
      <w:b/>
      <w:bCs/>
      <w:kern w:val="28"/>
      <w:sz w:val="40"/>
      <w:szCs w:val="32"/>
    </w:rPr>
  </w:style>
  <w:style w:type="paragraph" w:styleId="Textkrper">
    <w:name w:val="Body Text"/>
    <w:basedOn w:val="Standard"/>
    <w:semiHidden/>
    <w:pPr>
      <w:jc w:val="both"/>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Fett">
    <w:name w:val="Strong"/>
    <w:uiPriority w:val="22"/>
    <w:qFormat/>
    <w:rPr>
      <w:b/>
      <w:bCs/>
    </w:rPr>
  </w:style>
  <w:style w:type="character" w:styleId="Hervorhebung">
    <w:name w:val="Emphasis"/>
    <w:qFormat/>
    <w:rPr>
      <w:i/>
      <w:iCs/>
    </w:rPr>
  </w:style>
  <w:style w:type="character" w:customStyle="1" w:styleId="pozn1">
    <w:name w:val="pozn1"/>
    <w:rPr>
      <w:vanish w:val="0"/>
      <w:webHidden w:val="0"/>
      <w:sz w:val="22"/>
      <w:szCs w:val="22"/>
    </w:rPr>
  </w:style>
  <w:style w:type="paragraph" w:styleId="Verzeichnis1">
    <w:name w:val="toc 1"/>
    <w:basedOn w:val="Standard"/>
    <w:next w:val="Standard"/>
    <w:autoRedefine/>
    <w:uiPriority w:val="39"/>
    <w:pPr>
      <w:jc w:val="both"/>
    </w:pPr>
  </w:style>
  <w:style w:type="paragraph" w:styleId="Verzeichnis2">
    <w:name w:val="toc 2"/>
    <w:basedOn w:val="Standard"/>
    <w:next w:val="Standard"/>
    <w:autoRedefine/>
    <w:uiPriority w:val="39"/>
    <w:pPr>
      <w:ind w:left="240"/>
    </w:pPr>
  </w:style>
  <w:style w:type="paragraph" w:styleId="Verzeichnis3">
    <w:name w:val="toc 3"/>
    <w:basedOn w:val="Standard"/>
    <w:next w:val="Standard"/>
    <w:autoRedefine/>
    <w:uiPriority w:val="39"/>
    <w:pPr>
      <w:ind w:left="480"/>
    </w:pPr>
  </w:style>
  <w:style w:type="paragraph" w:styleId="Verzeichnis4">
    <w:name w:val="toc 4"/>
    <w:basedOn w:val="Standard"/>
    <w:next w:val="Standard"/>
    <w:autoRedefine/>
    <w:uiPriority w:val="39"/>
    <w:pPr>
      <w:ind w:left="720"/>
    </w:pPr>
  </w:style>
  <w:style w:type="paragraph" w:styleId="Verzeichnis5">
    <w:name w:val="toc 5"/>
    <w:basedOn w:val="Standard"/>
    <w:next w:val="Standard"/>
    <w:autoRedefine/>
    <w:uiPriority w:val="39"/>
    <w:pPr>
      <w:ind w:left="960"/>
    </w:pPr>
  </w:style>
  <w:style w:type="paragraph" w:styleId="Verzeichnis6">
    <w:name w:val="toc 6"/>
    <w:basedOn w:val="Standard"/>
    <w:next w:val="Standard"/>
    <w:autoRedefine/>
    <w:uiPriority w:val="39"/>
    <w:pPr>
      <w:ind w:left="1200"/>
    </w:pPr>
  </w:style>
  <w:style w:type="paragraph" w:styleId="Verzeichnis7">
    <w:name w:val="toc 7"/>
    <w:basedOn w:val="Standard"/>
    <w:next w:val="Standard"/>
    <w:autoRedefine/>
    <w:uiPriority w:val="39"/>
    <w:pPr>
      <w:ind w:left="1440"/>
    </w:pPr>
  </w:style>
  <w:style w:type="paragraph" w:styleId="Verzeichnis8">
    <w:name w:val="toc 8"/>
    <w:basedOn w:val="Standard"/>
    <w:next w:val="Standard"/>
    <w:autoRedefine/>
    <w:uiPriority w:val="39"/>
    <w:pPr>
      <w:ind w:left="1680"/>
    </w:pPr>
  </w:style>
  <w:style w:type="paragraph" w:styleId="Verzeichnis9">
    <w:name w:val="toc 9"/>
    <w:basedOn w:val="Standard"/>
    <w:next w:val="Standard"/>
    <w:autoRedefine/>
    <w:uiPriority w:val="39"/>
    <w:pPr>
      <w:ind w:left="1920"/>
    </w:pPr>
  </w:style>
  <w:style w:type="character" w:styleId="Hyperlink">
    <w:name w:val="Hyperlink"/>
    <w:uiPriority w:val="99"/>
    <w:rPr>
      <w:color w:val="0000FF"/>
      <w:u w:val="single"/>
    </w:rPr>
  </w:style>
  <w:style w:type="paragraph" w:styleId="Textkrper-Zeileneinzug">
    <w:name w:val="Body Text Indent"/>
    <w:basedOn w:val="Standard"/>
    <w:semiHidden/>
    <w:pPr>
      <w:ind w:left="705"/>
      <w:jc w:val="both"/>
    </w:pPr>
  </w:style>
  <w:style w:type="character" w:styleId="BesuchterHyperlink">
    <w:name w:val="FollowedHyperlink"/>
    <w:semiHidden/>
    <w:rPr>
      <w:color w:val="800080"/>
      <w:u w:val="single"/>
    </w:rPr>
  </w:style>
  <w:style w:type="paragraph" w:styleId="StandardWeb">
    <w:name w:val="Normal (Web)"/>
    <w:basedOn w:val="Standard"/>
    <w:uiPriority w:val="99"/>
    <w:semiHidden/>
    <w:pPr>
      <w:spacing w:after="300"/>
    </w:pPr>
    <w:rPr>
      <w:rFonts w:eastAsia="Times New Roman"/>
      <w:lang w:eastAsia="cs-CZ"/>
    </w:rPr>
  </w:style>
  <w:style w:type="paragraph" w:styleId="Beschriftung">
    <w:name w:val="caption"/>
    <w:basedOn w:val="Standard"/>
    <w:next w:val="Standard"/>
    <w:qFormat/>
    <w:rPr>
      <w:b/>
      <w:bCs/>
    </w:rPr>
  </w:style>
  <w:style w:type="character" w:customStyle="1" w:styleId="editsection">
    <w:name w:val="editsection"/>
    <w:basedOn w:val="Absatz-Standardschriftart"/>
  </w:style>
  <w:style w:type="character" w:customStyle="1" w:styleId="mw-headline">
    <w:name w:val="mw-headline"/>
    <w:basedOn w:val="Absatz-Standardschriftart"/>
  </w:style>
  <w:style w:type="paragraph" w:customStyle="1" w:styleId="c">
    <w:name w:val="c"/>
    <w:basedOn w:val="Standard"/>
    <w:pPr>
      <w:spacing w:before="100" w:beforeAutospacing="1" w:after="100" w:afterAutospacing="1"/>
      <w:jc w:val="center"/>
    </w:pPr>
    <w:rPr>
      <w:rFonts w:ascii="Tahoma" w:eastAsia="Times New Roman" w:hAnsi="Tahoma" w:cs="Tahoma"/>
      <w:color w:val="000000"/>
      <w:sz w:val="21"/>
      <w:szCs w:val="21"/>
      <w:lang w:eastAsia="cs-CZ"/>
    </w:rPr>
  </w:style>
  <w:style w:type="paragraph" w:customStyle="1" w:styleId="r">
    <w:name w:val="r"/>
    <w:basedOn w:val="Standard"/>
    <w:pPr>
      <w:spacing w:before="100" w:beforeAutospacing="1" w:after="100" w:afterAutospacing="1"/>
    </w:pPr>
    <w:rPr>
      <w:rFonts w:ascii="Tahoma" w:eastAsia="Times New Roman" w:hAnsi="Tahoma" w:cs="Tahoma"/>
      <w:b/>
      <w:bCs/>
      <w:color w:val="000000"/>
      <w:sz w:val="23"/>
      <w:szCs w:val="23"/>
      <w:lang w:eastAsia="cs-CZ"/>
    </w:rPr>
  </w:style>
  <w:style w:type="paragraph" w:styleId="Textkrper2">
    <w:name w:val="Body Text 2"/>
    <w:basedOn w:val="Standard"/>
    <w:semiHidden/>
    <w:pPr>
      <w:jc w:val="both"/>
    </w:pPr>
    <w:rPr>
      <w:b/>
      <w:bCs/>
    </w:rPr>
  </w:style>
  <w:style w:type="paragraph" w:styleId="Sprechblasentext">
    <w:name w:val="Balloon Text"/>
    <w:basedOn w:val="Standard"/>
    <w:link w:val="SprechblasentextZchn"/>
    <w:uiPriority w:val="99"/>
    <w:semiHidden/>
    <w:rPr>
      <w:rFonts w:ascii="Tahoma" w:hAnsi="Tahoma" w:cs="Tahoma"/>
      <w:sz w:val="16"/>
      <w:szCs w:val="16"/>
    </w:rPr>
  </w:style>
  <w:style w:type="paragraph" w:styleId="Textkrper3">
    <w:name w:val="Body Text 3"/>
    <w:basedOn w:val="Standard"/>
    <w:semiHidden/>
    <w:pPr>
      <w:jc w:val="both"/>
    </w:pPr>
    <w:rPr>
      <w:i/>
      <w:iCs/>
    </w:rPr>
  </w:style>
  <w:style w:type="character" w:customStyle="1" w:styleId="popis1">
    <w:name w:val="popis1"/>
    <w:rPr>
      <w:vanish w:val="0"/>
      <w:webHidden w:val="0"/>
      <w:specVanish w:val="0"/>
    </w:rPr>
  </w:style>
  <w:style w:type="paragraph" w:styleId="Textkrper-Einzug2">
    <w:name w:val="Body Text Indent 2"/>
    <w:basedOn w:val="Standard"/>
    <w:semiHidden/>
    <w:pPr>
      <w:ind w:left="180"/>
      <w:jc w:val="both"/>
    </w:pPr>
  </w:style>
  <w:style w:type="paragraph" w:customStyle="1" w:styleId="poznamka">
    <w:name w:val="poznamka"/>
    <w:basedOn w:val="Standard"/>
    <w:pPr>
      <w:spacing w:before="100" w:beforeAutospacing="1" w:after="100" w:afterAutospacing="1"/>
    </w:pPr>
    <w:rPr>
      <w:rFonts w:eastAsia="Times New Roman"/>
      <w:color w:val="000000"/>
      <w:lang w:eastAsia="cs-CZ"/>
    </w:rPr>
  </w:style>
  <w:style w:type="character" w:customStyle="1" w:styleId="spacer">
    <w:name w:val="spacer"/>
    <w:basedOn w:val="Absatz-Standardschriftart"/>
  </w:style>
  <w:style w:type="character" w:customStyle="1" w:styleId="suiteheaderrowtext1">
    <w:name w:val="suiteheaderrowtext1"/>
    <w:rPr>
      <w:rFonts w:ascii="Arial" w:hAnsi="Arial" w:cs="Arial" w:hint="default"/>
      <w:b/>
      <w:bCs/>
      <w:color w:val="000000"/>
      <w:sz w:val="16"/>
      <w:szCs w:val="16"/>
    </w:rPr>
  </w:style>
  <w:style w:type="character" w:customStyle="1" w:styleId="suiteheadercoltext1">
    <w:name w:val="suiteheadercoltext1"/>
    <w:rPr>
      <w:rFonts w:ascii="Arial" w:hAnsi="Arial" w:cs="Arial" w:hint="default"/>
      <w:b/>
      <w:bCs/>
      <w:i w:val="0"/>
      <w:iCs w:val="0"/>
      <w:color w:val="000000"/>
      <w:sz w:val="16"/>
      <w:szCs w:val="16"/>
    </w:rPr>
  </w:style>
  <w:style w:type="character" w:customStyle="1" w:styleId="suitecelltext1">
    <w:name w:val="suitecelltext1"/>
    <w:rPr>
      <w:rFonts w:ascii="Arial" w:hAnsi="Arial" w:cs="Arial" w:hint="default"/>
      <w:b w:val="0"/>
      <w:bCs w:val="0"/>
      <w:i w:val="0"/>
      <w:iCs w:val="0"/>
      <w:color w:val="000000"/>
      <w:sz w:val="16"/>
      <w:szCs w:val="16"/>
    </w:rPr>
  </w:style>
  <w:style w:type="table" w:styleId="Tabellenraster">
    <w:name w:val="Table Grid"/>
    <w:basedOn w:val="NormaleTabelle"/>
    <w:uiPriority w:val="59"/>
    <w:rsid w:val="00480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unhideWhenUsed/>
    <w:qFormat/>
    <w:rsid w:val="00C5248B"/>
    <w:pPr>
      <w:keepLines/>
      <w:numPr>
        <w:numId w:val="0"/>
      </w:numPr>
      <w:spacing w:before="480" w:after="0" w:line="276" w:lineRule="auto"/>
      <w:outlineLvl w:val="9"/>
    </w:pPr>
    <w:rPr>
      <w:rFonts w:ascii="Cambria" w:eastAsia="Times New Roman" w:hAnsi="Cambria" w:cs="Times New Roman"/>
      <w:color w:val="365F91"/>
      <w:kern w:val="0"/>
      <w:szCs w:val="28"/>
      <w:lang w:eastAsia="en-US"/>
    </w:rPr>
  </w:style>
  <w:style w:type="character" w:styleId="Platzhaltertext">
    <w:name w:val="Placeholder Text"/>
    <w:basedOn w:val="Absatz-Standardschriftart"/>
    <w:uiPriority w:val="99"/>
    <w:semiHidden/>
    <w:rsid w:val="00381B72"/>
    <w:rPr>
      <w:color w:val="808080"/>
    </w:rPr>
  </w:style>
  <w:style w:type="character" w:customStyle="1" w:styleId="KopfzeileZchn">
    <w:name w:val="Kopfzeile Zchn"/>
    <w:basedOn w:val="Absatz-Standardschriftart"/>
    <w:link w:val="Kopfzeile"/>
    <w:uiPriority w:val="99"/>
    <w:rsid w:val="008121E9"/>
    <w:rPr>
      <w:sz w:val="24"/>
      <w:szCs w:val="24"/>
      <w:lang w:eastAsia="zh-CN"/>
    </w:rPr>
  </w:style>
  <w:style w:type="character" w:customStyle="1" w:styleId="FuzeileZchn">
    <w:name w:val="Fußzeile Zchn"/>
    <w:basedOn w:val="Absatz-Standardschriftart"/>
    <w:link w:val="Fuzeile"/>
    <w:uiPriority w:val="99"/>
    <w:rsid w:val="008121E9"/>
    <w:rPr>
      <w:sz w:val="24"/>
      <w:szCs w:val="24"/>
      <w:lang w:eastAsia="zh-CN"/>
    </w:rPr>
  </w:style>
  <w:style w:type="character" w:customStyle="1" w:styleId="SprechblasentextZchn">
    <w:name w:val="Sprechblasentext Zchn"/>
    <w:basedOn w:val="Absatz-Standardschriftart"/>
    <w:link w:val="Sprechblasentext"/>
    <w:uiPriority w:val="99"/>
    <w:semiHidden/>
    <w:rsid w:val="008121E9"/>
    <w:rPr>
      <w:rFonts w:ascii="Tahoma" w:hAnsi="Tahoma" w:cs="Tahoma"/>
      <w:sz w:val="16"/>
      <w:szCs w:val="16"/>
      <w:lang w:eastAsia="zh-CN"/>
    </w:rPr>
  </w:style>
  <w:style w:type="paragraph" w:styleId="Listenabsatz">
    <w:name w:val="List Paragraph"/>
    <w:basedOn w:val="Standard"/>
    <w:uiPriority w:val="34"/>
    <w:qFormat/>
    <w:rsid w:val="008121E9"/>
    <w:pPr>
      <w:spacing w:after="200" w:line="276" w:lineRule="auto"/>
      <w:ind w:left="720"/>
      <w:contextualSpacing/>
    </w:pPr>
    <w:rPr>
      <w:rFonts w:ascii="Calibri" w:eastAsia="Times New Roman" w:hAnsi="Calibri"/>
      <w:sz w:val="22"/>
      <w:szCs w:val="22"/>
      <w:lang w:val="de-DE" w:eastAsia="de-DE"/>
    </w:rPr>
  </w:style>
  <w:style w:type="character" w:customStyle="1" w:styleId="texhtml">
    <w:name w:val="texhtml"/>
    <w:basedOn w:val="Absatz-Standardschriftart"/>
    <w:rsid w:val="008121E9"/>
  </w:style>
  <w:style w:type="paragraph" w:styleId="Endnotentext">
    <w:name w:val="endnote text"/>
    <w:basedOn w:val="Standard"/>
    <w:link w:val="EndnotentextZchn"/>
    <w:uiPriority w:val="99"/>
    <w:semiHidden/>
    <w:unhideWhenUsed/>
    <w:rsid w:val="00E67187"/>
    <w:rPr>
      <w:sz w:val="20"/>
      <w:szCs w:val="20"/>
    </w:rPr>
  </w:style>
  <w:style w:type="character" w:customStyle="1" w:styleId="EndnotentextZchn">
    <w:name w:val="Endnotentext Zchn"/>
    <w:basedOn w:val="Absatz-Standardschriftart"/>
    <w:link w:val="Endnotentext"/>
    <w:uiPriority w:val="99"/>
    <w:semiHidden/>
    <w:rsid w:val="00E67187"/>
    <w:rPr>
      <w:lang w:eastAsia="zh-CN"/>
    </w:rPr>
  </w:style>
  <w:style w:type="character" w:styleId="Endnotenzeichen">
    <w:name w:val="endnote reference"/>
    <w:basedOn w:val="Absatz-Standardschriftart"/>
    <w:uiPriority w:val="99"/>
    <w:semiHidden/>
    <w:unhideWhenUsed/>
    <w:rsid w:val="00E67187"/>
    <w:rPr>
      <w:vertAlign w:val="superscript"/>
    </w:rPr>
  </w:style>
  <w:style w:type="character" w:customStyle="1" w:styleId="texhtml1">
    <w:name w:val="texhtml1"/>
    <w:basedOn w:val="Absatz-Standardschriftart"/>
    <w:rsid w:val="009D77BA"/>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2604">
      <w:bodyDiv w:val="1"/>
      <w:marLeft w:val="0"/>
      <w:marRight w:val="0"/>
      <w:marTop w:val="0"/>
      <w:marBottom w:val="0"/>
      <w:divBdr>
        <w:top w:val="none" w:sz="0" w:space="0" w:color="auto"/>
        <w:left w:val="none" w:sz="0" w:space="0" w:color="auto"/>
        <w:bottom w:val="none" w:sz="0" w:space="0" w:color="auto"/>
        <w:right w:val="none" w:sz="0" w:space="0" w:color="auto"/>
      </w:divBdr>
    </w:div>
    <w:div w:id="549415505">
      <w:bodyDiv w:val="1"/>
      <w:marLeft w:val="0"/>
      <w:marRight w:val="0"/>
      <w:marTop w:val="0"/>
      <w:marBottom w:val="0"/>
      <w:divBdr>
        <w:top w:val="none" w:sz="0" w:space="0" w:color="auto"/>
        <w:left w:val="none" w:sz="0" w:space="0" w:color="auto"/>
        <w:bottom w:val="none" w:sz="0" w:space="0" w:color="auto"/>
        <w:right w:val="none" w:sz="0" w:space="0" w:color="auto"/>
      </w:divBdr>
    </w:div>
    <w:div w:id="608515909">
      <w:bodyDiv w:val="1"/>
      <w:marLeft w:val="0"/>
      <w:marRight w:val="0"/>
      <w:marTop w:val="0"/>
      <w:marBottom w:val="0"/>
      <w:divBdr>
        <w:top w:val="none" w:sz="0" w:space="0" w:color="auto"/>
        <w:left w:val="none" w:sz="0" w:space="0" w:color="auto"/>
        <w:bottom w:val="none" w:sz="0" w:space="0" w:color="auto"/>
        <w:right w:val="none" w:sz="0" w:space="0" w:color="auto"/>
      </w:divBdr>
      <w:divsChild>
        <w:div w:id="429592745">
          <w:marLeft w:val="0"/>
          <w:marRight w:val="0"/>
          <w:marTop w:val="0"/>
          <w:marBottom w:val="0"/>
          <w:divBdr>
            <w:top w:val="none" w:sz="0" w:space="0" w:color="auto"/>
            <w:left w:val="none" w:sz="0" w:space="0" w:color="auto"/>
            <w:bottom w:val="none" w:sz="0" w:space="0" w:color="auto"/>
            <w:right w:val="none" w:sz="0" w:space="0" w:color="auto"/>
          </w:divBdr>
          <w:divsChild>
            <w:div w:id="1181353324">
              <w:marLeft w:val="0"/>
              <w:marRight w:val="0"/>
              <w:marTop w:val="0"/>
              <w:marBottom w:val="0"/>
              <w:divBdr>
                <w:top w:val="none" w:sz="0" w:space="0" w:color="auto"/>
                <w:left w:val="none" w:sz="0" w:space="0" w:color="auto"/>
                <w:bottom w:val="none" w:sz="0" w:space="0" w:color="auto"/>
                <w:right w:val="none" w:sz="0" w:space="0" w:color="auto"/>
              </w:divBdr>
              <w:divsChild>
                <w:div w:id="2018772030">
                  <w:marLeft w:val="0"/>
                  <w:marRight w:val="0"/>
                  <w:marTop w:val="0"/>
                  <w:marBottom w:val="0"/>
                  <w:divBdr>
                    <w:top w:val="none" w:sz="0" w:space="0" w:color="auto"/>
                    <w:left w:val="none" w:sz="0" w:space="0" w:color="auto"/>
                    <w:bottom w:val="none" w:sz="0" w:space="0" w:color="auto"/>
                    <w:right w:val="none" w:sz="0" w:space="0" w:color="auto"/>
                  </w:divBdr>
                  <w:divsChild>
                    <w:div w:id="737752721">
                      <w:marLeft w:val="0"/>
                      <w:marRight w:val="0"/>
                      <w:marTop w:val="0"/>
                      <w:marBottom w:val="0"/>
                      <w:divBdr>
                        <w:top w:val="none" w:sz="0" w:space="0" w:color="auto"/>
                        <w:left w:val="none" w:sz="0" w:space="0" w:color="auto"/>
                        <w:bottom w:val="none" w:sz="0" w:space="0" w:color="auto"/>
                        <w:right w:val="none" w:sz="0" w:space="0" w:color="auto"/>
                      </w:divBdr>
                      <w:divsChild>
                        <w:div w:id="1134182078">
                          <w:marLeft w:val="0"/>
                          <w:marRight w:val="0"/>
                          <w:marTop w:val="0"/>
                          <w:marBottom w:val="0"/>
                          <w:divBdr>
                            <w:top w:val="none" w:sz="0" w:space="0" w:color="auto"/>
                            <w:left w:val="none" w:sz="0" w:space="0" w:color="auto"/>
                            <w:bottom w:val="none" w:sz="0" w:space="0" w:color="auto"/>
                            <w:right w:val="none" w:sz="0" w:space="0" w:color="auto"/>
                          </w:divBdr>
                          <w:divsChild>
                            <w:div w:id="272984713">
                              <w:marLeft w:val="0"/>
                              <w:marRight w:val="0"/>
                              <w:marTop w:val="0"/>
                              <w:marBottom w:val="0"/>
                              <w:divBdr>
                                <w:top w:val="none" w:sz="0" w:space="0" w:color="auto"/>
                                <w:left w:val="none" w:sz="0" w:space="0" w:color="auto"/>
                                <w:bottom w:val="none" w:sz="0" w:space="0" w:color="auto"/>
                                <w:right w:val="none" w:sz="0" w:space="0" w:color="auto"/>
                              </w:divBdr>
                              <w:divsChild>
                                <w:div w:id="1398088183">
                                  <w:marLeft w:val="0"/>
                                  <w:marRight w:val="0"/>
                                  <w:marTop w:val="0"/>
                                  <w:marBottom w:val="0"/>
                                  <w:divBdr>
                                    <w:top w:val="none" w:sz="0" w:space="0" w:color="auto"/>
                                    <w:left w:val="none" w:sz="0" w:space="0" w:color="auto"/>
                                    <w:bottom w:val="none" w:sz="0" w:space="0" w:color="auto"/>
                                    <w:right w:val="none" w:sz="0" w:space="0" w:color="auto"/>
                                  </w:divBdr>
                                  <w:divsChild>
                                    <w:div w:id="227543279">
                                      <w:marLeft w:val="0"/>
                                      <w:marRight w:val="0"/>
                                      <w:marTop w:val="0"/>
                                      <w:marBottom w:val="0"/>
                                      <w:divBdr>
                                        <w:top w:val="none" w:sz="0" w:space="0" w:color="auto"/>
                                        <w:left w:val="none" w:sz="0" w:space="0" w:color="auto"/>
                                        <w:bottom w:val="none" w:sz="0" w:space="0" w:color="auto"/>
                                        <w:right w:val="none" w:sz="0" w:space="0" w:color="auto"/>
                                      </w:divBdr>
                                      <w:divsChild>
                                        <w:div w:id="1619995097">
                                          <w:marLeft w:val="0"/>
                                          <w:marRight w:val="0"/>
                                          <w:marTop w:val="0"/>
                                          <w:marBottom w:val="0"/>
                                          <w:divBdr>
                                            <w:top w:val="none" w:sz="0" w:space="0" w:color="auto"/>
                                            <w:left w:val="none" w:sz="0" w:space="0" w:color="auto"/>
                                            <w:bottom w:val="none" w:sz="0" w:space="0" w:color="auto"/>
                                            <w:right w:val="none" w:sz="0" w:space="0" w:color="auto"/>
                                          </w:divBdr>
                                          <w:divsChild>
                                            <w:div w:id="380053642">
                                              <w:marLeft w:val="0"/>
                                              <w:marRight w:val="0"/>
                                              <w:marTop w:val="0"/>
                                              <w:marBottom w:val="0"/>
                                              <w:divBdr>
                                                <w:top w:val="none" w:sz="0" w:space="0" w:color="auto"/>
                                                <w:left w:val="none" w:sz="0" w:space="0" w:color="auto"/>
                                                <w:bottom w:val="none" w:sz="0" w:space="0" w:color="auto"/>
                                                <w:right w:val="none" w:sz="0" w:space="0" w:color="auto"/>
                                              </w:divBdr>
                                              <w:divsChild>
                                                <w:div w:id="273825840">
                                                  <w:marLeft w:val="0"/>
                                                  <w:marRight w:val="0"/>
                                                  <w:marTop w:val="0"/>
                                                  <w:marBottom w:val="0"/>
                                                  <w:divBdr>
                                                    <w:top w:val="none" w:sz="0" w:space="0" w:color="auto"/>
                                                    <w:left w:val="none" w:sz="0" w:space="0" w:color="auto"/>
                                                    <w:bottom w:val="none" w:sz="0" w:space="0" w:color="auto"/>
                                                    <w:right w:val="none" w:sz="0" w:space="0" w:color="auto"/>
                                                  </w:divBdr>
                                                  <w:divsChild>
                                                    <w:div w:id="1298562451">
                                                      <w:marLeft w:val="0"/>
                                                      <w:marRight w:val="0"/>
                                                      <w:marTop w:val="0"/>
                                                      <w:marBottom w:val="0"/>
                                                      <w:divBdr>
                                                        <w:top w:val="none" w:sz="0" w:space="0" w:color="auto"/>
                                                        <w:left w:val="none" w:sz="0" w:space="0" w:color="auto"/>
                                                        <w:bottom w:val="none" w:sz="0" w:space="0" w:color="auto"/>
                                                        <w:right w:val="none" w:sz="0" w:space="0" w:color="auto"/>
                                                      </w:divBdr>
                                                      <w:divsChild>
                                                        <w:div w:id="1078675320">
                                                          <w:marLeft w:val="0"/>
                                                          <w:marRight w:val="0"/>
                                                          <w:marTop w:val="0"/>
                                                          <w:marBottom w:val="0"/>
                                                          <w:divBdr>
                                                            <w:top w:val="none" w:sz="0" w:space="0" w:color="auto"/>
                                                            <w:left w:val="none" w:sz="0" w:space="0" w:color="auto"/>
                                                            <w:bottom w:val="none" w:sz="0" w:space="0" w:color="auto"/>
                                                            <w:right w:val="none" w:sz="0" w:space="0" w:color="auto"/>
                                                          </w:divBdr>
                                                        </w:div>
                                                        <w:div w:id="1380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388685">
      <w:bodyDiv w:val="1"/>
      <w:marLeft w:val="0"/>
      <w:marRight w:val="0"/>
      <w:marTop w:val="0"/>
      <w:marBottom w:val="0"/>
      <w:divBdr>
        <w:top w:val="none" w:sz="0" w:space="0" w:color="auto"/>
        <w:left w:val="none" w:sz="0" w:space="0" w:color="auto"/>
        <w:bottom w:val="none" w:sz="0" w:space="0" w:color="auto"/>
        <w:right w:val="none" w:sz="0" w:space="0" w:color="auto"/>
      </w:divBdr>
      <w:divsChild>
        <w:div w:id="1174414139">
          <w:marLeft w:val="0"/>
          <w:marRight w:val="0"/>
          <w:marTop w:val="0"/>
          <w:marBottom w:val="0"/>
          <w:divBdr>
            <w:top w:val="none" w:sz="0" w:space="0" w:color="auto"/>
            <w:left w:val="none" w:sz="0" w:space="0" w:color="auto"/>
            <w:bottom w:val="none" w:sz="0" w:space="0" w:color="auto"/>
            <w:right w:val="none" w:sz="0" w:space="0" w:color="auto"/>
          </w:divBdr>
          <w:divsChild>
            <w:div w:id="2119716154">
              <w:marLeft w:val="0"/>
              <w:marRight w:val="0"/>
              <w:marTop w:val="0"/>
              <w:marBottom w:val="0"/>
              <w:divBdr>
                <w:top w:val="none" w:sz="0" w:space="0" w:color="auto"/>
                <w:left w:val="none" w:sz="0" w:space="0" w:color="auto"/>
                <w:bottom w:val="none" w:sz="0" w:space="0" w:color="auto"/>
                <w:right w:val="none" w:sz="0" w:space="0" w:color="auto"/>
              </w:divBdr>
              <w:divsChild>
                <w:div w:id="1142233853">
                  <w:marLeft w:val="0"/>
                  <w:marRight w:val="0"/>
                  <w:marTop w:val="0"/>
                  <w:marBottom w:val="0"/>
                  <w:divBdr>
                    <w:top w:val="none" w:sz="0" w:space="0" w:color="auto"/>
                    <w:left w:val="none" w:sz="0" w:space="0" w:color="auto"/>
                    <w:bottom w:val="none" w:sz="0" w:space="0" w:color="auto"/>
                    <w:right w:val="none" w:sz="0" w:space="0" w:color="auto"/>
                  </w:divBdr>
                  <w:divsChild>
                    <w:div w:id="228729176">
                      <w:marLeft w:val="0"/>
                      <w:marRight w:val="0"/>
                      <w:marTop w:val="0"/>
                      <w:marBottom w:val="0"/>
                      <w:divBdr>
                        <w:top w:val="none" w:sz="0" w:space="0" w:color="auto"/>
                        <w:left w:val="none" w:sz="0" w:space="0" w:color="auto"/>
                        <w:bottom w:val="none" w:sz="0" w:space="0" w:color="auto"/>
                        <w:right w:val="none" w:sz="0" w:space="0" w:color="auto"/>
                      </w:divBdr>
                      <w:divsChild>
                        <w:div w:id="505218626">
                          <w:marLeft w:val="0"/>
                          <w:marRight w:val="0"/>
                          <w:marTop w:val="0"/>
                          <w:marBottom w:val="0"/>
                          <w:divBdr>
                            <w:top w:val="none" w:sz="0" w:space="0" w:color="auto"/>
                            <w:left w:val="none" w:sz="0" w:space="0" w:color="auto"/>
                            <w:bottom w:val="none" w:sz="0" w:space="0" w:color="auto"/>
                            <w:right w:val="none" w:sz="0" w:space="0" w:color="auto"/>
                          </w:divBdr>
                          <w:divsChild>
                            <w:div w:id="1543322302">
                              <w:marLeft w:val="0"/>
                              <w:marRight w:val="0"/>
                              <w:marTop w:val="0"/>
                              <w:marBottom w:val="0"/>
                              <w:divBdr>
                                <w:top w:val="none" w:sz="0" w:space="0" w:color="auto"/>
                                <w:left w:val="none" w:sz="0" w:space="0" w:color="auto"/>
                                <w:bottom w:val="none" w:sz="0" w:space="0" w:color="auto"/>
                                <w:right w:val="none" w:sz="0" w:space="0" w:color="auto"/>
                              </w:divBdr>
                              <w:divsChild>
                                <w:div w:id="9524793">
                                  <w:marLeft w:val="0"/>
                                  <w:marRight w:val="0"/>
                                  <w:marTop w:val="0"/>
                                  <w:marBottom w:val="0"/>
                                  <w:divBdr>
                                    <w:top w:val="none" w:sz="0" w:space="0" w:color="auto"/>
                                    <w:left w:val="none" w:sz="0" w:space="0" w:color="auto"/>
                                    <w:bottom w:val="none" w:sz="0" w:space="0" w:color="auto"/>
                                    <w:right w:val="none" w:sz="0" w:space="0" w:color="auto"/>
                                  </w:divBdr>
                                  <w:divsChild>
                                    <w:div w:id="1349940122">
                                      <w:marLeft w:val="0"/>
                                      <w:marRight w:val="0"/>
                                      <w:marTop w:val="0"/>
                                      <w:marBottom w:val="0"/>
                                      <w:divBdr>
                                        <w:top w:val="none" w:sz="0" w:space="0" w:color="auto"/>
                                        <w:left w:val="none" w:sz="0" w:space="0" w:color="auto"/>
                                        <w:bottom w:val="none" w:sz="0" w:space="0" w:color="auto"/>
                                        <w:right w:val="none" w:sz="0" w:space="0" w:color="auto"/>
                                      </w:divBdr>
                                      <w:divsChild>
                                        <w:div w:id="1522663649">
                                          <w:marLeft w:val="0"/>
                                          <w:marRight w:val="0"/>
                                          <w:marTop w:val="0"/>
                                          <w:marBottom w:val="0"/>
                                          <w:divBdr>
                                            <w:top w:val="none" w:sz="0" w:space="0" w:color="auto"/>
                                            <w:left w:val="none" w:sz="0" w:space="0" w:color="auto"/>
                                            <w:bottom w:val="none" w:sz="0" w:space="0" w:color="auto"/>
                                            <w:right w:val="none" w:sz="0" w:space="0" w:color="auto"/>
                                          </w:divBdr>
                                          <w:divsChild>
                                            <w:div w:id="1495797503">
                                              <w:marLeft w:val="0"/>
                                              <w:marRight w:val="0"/>
                                              <w:marTop w:val="0"/>
                                              <w:marBottom w:val="0"/>
                                              <w:divBdr>
                                                <w:top w:val="none" w:sz="0" w:space="0" w:color="auto"/>
                                                <w:left w:val="none" w:sz="0" w:space="0" w:color="auto"/>
                                                <w:bottom w:val="none" w:sz="0" w:space="0" w:color="auto"/>
                                                <w:right w:val="none" w:sz="0" w:space="0" w:color="auto"/>
                                              </w:divBdr>
                                              <w:divsChild>
                                                <w:div w:id="1056465733">
                                                  <w:marLeft w:val="0"/>
                                                  <w:marRight w:val="0"/>
                                                  <w:marTop w:val="0"/>
                                                  <w:marBottom w:val="0"/>
                                                  <w:divBdr>
                                                    <w:top w:val="none" w:sz="0" w:space="0" w:color="auto"/>
                                                    <w:left w:val="none" w:sz="0" w:space="0" w:color="auto"/>
                                                    <w:bottom w:val="none" w:sz="0" w:space="0" w:color="auto"/>
                                                    <w:right w:val="none" w:sz="0" w:space="0" w:color="auto"/>
                                                  </w:divBdr>
                                                  <w:divsChild>
                                                    <w:div w:id="1488673006">
                                                      <w:marLeft w:val="0"/>
                                                      <w:marRight w:val="0"/>
                                                      <w:marTop w:val="0"/>
                                                      <w:marBottom w:val="0"/>
                                                      <w:divBdr>
                                                        <w:top w:val="none" w:sz="0" w:space="0" w:color="auto"/>
                                                        <w:left w:val="none" w:sz="0" w:space="0" w:color="auto"/>
                                                        <w:bottom w:val="none" w:sz="0" w:space="0" w:color="auto"/>
                                                        <w:right w:val="none" w:sz="0" w:space="0" w:color="auto"/>
                                                      </w:divBdr>
                                                      <w:divsChild>
                                                        <w:div w:id="83457215">
                                                          <w:marLeft w:val="0"/>
                                                          <w:marRight w:val="0"/>
                                                          <w:marTop w:val="0"/>
                                                          <w:marBottom w:val="0"/>
                                                          <w:divBdr>
                                                            <w:top w:val="none" w:sz="0" w:space="0" w:color="auto"/>
                                                            <w:left w:val="none" w:sz="0" w:space="0" w:color="auto"/>
                                                            <w:bottom w:val="none" w:sz="0" w:space="0" w:color="auto"/>
                                                            <w:right w:val="none" w:sz="0" w:space="0" w:color="auto"/>
                                                          </w:divBdr>
                                                        </w:div>
                                                        <w:div w:id="14066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5132926">
      <w:bodyDiv w:val="1"/>
      <w:marLeft w:val="0"/>
      <w:marRight w:val="0"/>
      <w:marTop w:val="0"/>
      <w:marBottom w:val="0"/>
      <w:divBdr>
        <w:top w:val="none" w:sz="0" w:space="0" w:color="auto"/>
        <w:left w:val="none" w:sz="0" w:space="0" w:color="auto"/>
        <w:bottom w:val="none" w:sz="0" w:space="0" w:color="auto"/>
        <w:right w:val="none" w:sz="0" w:space="0" w:color="auto"/>
      </w:divBdr>
      <w:divsChild>
        <w:div w:id="1894853483">
          <w:marLeft w:val="0"/>
          <w:marRight w:val="0"/>
          <w:marTop w:val="0"/>
          <w:marBottom w:val="0"/>
          <w:divBdr>
            <w:top w:val="none" w:sz="0" w:space="0" w:color="auto"/>
            <w:left w:val="none" w:sz="0" w:space="0" w:color="auto"/>
            <w:bottom w:val="none" w:sz="0" w:space="0" w:color="auto"/>
            <w:right w:val="none" w:sz="0" w:space="0" w:color="auto"/>
          </w:divBdr>
          <w:divsChild>
            <w:div w:id="1292134340">
              <w:marLeft w:val="0"/>
              <w:marRight w:val="0"/>
              <w:marTop w:val="0"/>
              <w:marBottom w:val="0"/>
              <w:divBdr>
                <w:top w:val="none" w:sz="0" w:space="0" w:color="auto"/>
                <w:left w:val="none" w:sz="0" w:space="0" w:color="auto"/>
                <w:bottom w:val="none" w:sz="0" w:space="0" w:color="auto"/>
                <w:right w:val="none" w:sz="0" w:space="0" w:color="auto"/>
              </w:divBdr>
              <w:divsChild>
                <w:div w:id="2027246490">
                  <w:marLeft w:val="0"/>
                  <w:marRight w:val="0"/>
                  <w:marTop w:val="0"/>
                  <w:marBottom w:val="0"/>
                  <w:divBdr>
                    <w:top w:val="none" w:sz="0" w:space="0" w:color="auto"/>
                    <w:left w:val="none" w:sz="0" w:space="0" w:color="auto"/>
                    <w:bottom w:val="none" w:sz="0" w:space="0" w:color="auto"/>
                    <w:right w:val="none" w:sz="0" w:space="0" w:color="auto"/>
                  </w:divBdr>
                  <w:divsChild>
                    <w:div w:id="16424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6081">
      <w:bodyDiv w:val="1"/>
      <w:marLeft w:val="0"/>
      <w:marRight w:val="0"/>
      <w:marTop w:val="0"/>
      <w:marBottom w:val="0"/>
      <w:divBdr>
        <w:top w:val="none" w:sz="0" w:space="0" w:color="auto"/>
        <w:left w:val="none" w:sz="0" w:space="0" w:color="auto"/>
        <w:bottom w:val="none" w:sz="0" w:space="0" w:color="auto"/>
        <w:right w:val="none" w:sz="0" w:space="0" w:color="auto"/>
      </w:divBdr>
    </w:div>
    <w:div w:id="966471186">
      <w:bodyDiv w:val="1"/>
      <w:marLeft w:val="0"/>
      <w:marRight w:val="0"/>
      <w:marTop w:val="0"/>
      <w:marBottom w:val="0"/>
      <w:divBdr>
        <w:top w:val="none" w:sz="0" w:space="0" w:color="auto"/>
        <w:left w:val="none" w:sz="0" w:space="0" w:color="auto"/>
        <w:bottom w:val="none" w:sz="0" w:space="0" w:color="auto"/>
        <w:right w:val="none" w:sz="0" w:space="0" w:color="auto"/>
      </w:divBdr>
      <w:divsChild>
        <w:div w:id="2073304638">
          <w:marLeft w:val="0"/>
          <w:marRight w:val="0"/>
          <w:marTop w:val="0"/>
          <w:marBottom w:val="0"/>
          <w:divBdr>
            <w:top w:val="none" w:sz="0" w:space="0" w:color="auto"/>
            <w:left w:val="none" w:sz="0" w:space="0" w:color="auto"/>
            <w:bottom w:val="none" w:sz="0" w:space="0" w:color="auto"/>
            <w:right w:val="none" w:sz="0" w:space="0" w:color="auto"/>
          </w:divBdr>
          <w:divsChild>
            <w:div w:id="2123183991">
              <w:marLeft w:val="2700"/>
              <w:marRight w:val="2250"/>
              <w:marTop w:val="600"/>
              <w:marBottom w:val="0"/>
              <w:divBdr>
                <w:top w:val="none" w:sz="0" w:space="0" w:color="auto"/>
                <w:left w:val="none" w:sz="0" w:space="0" w:color="auto"/>
                <w:bottom w:val="none" w:sz="0" w:space="0" w:color="auto"/>
                <w:right w:val="none" w:sz="0" w:space="0" w:color="auto"/>
              </w:divBdr>
              <w:divsChild>
                <w:div w:id="1020208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8460741">
      <w:bodyDiv w:val="1"/>
      <w:marLeft w:val="0"/>
      <w:marRight w:val="0"/>
      <w:marTop w:val="0"/>
      <w:marBottom w:val="0"/>
      <w:divBdr>
        <w:top w:val="none" w:sz="0" w:space="0" w:color="auto"/>
        <w:left w:val="none" w:sz="0" w:space="0" w:color="auto"/>
        <w:bottom w:val="none" w:sz="0" w:space="0" w:color="auto"/>
        <w:right w:val="none" w:sz="0" w:space="0" w:color="auto"/>
      </w:divBdr>
      <w:divsChild>
        <w:div w:id="1992753424">
          <w:marLeft w:val="0"/>
          <w:marRight w:val="0"/>
          <w:marTop w:val="0"/>
          <w:marBottom w:val="0"/>
          <w:divBdr>
            <w:top w:val="none" w:sz="0" w:space="0" w:color="auto"/>
            <w:left w:val="none" w:sz="0" w:space="0" w:color="auto"/>
            <w:bottom w:val="none" w:sz="0" w:space="0" w:color="auto"/>
            <w:right w:val="none" w:sz="0" w:space="0" w:color="auto"/>
          </w:divBdr>
          <w:divsChild>
            <w:div w:id="885995637">
              <w:marLeft w:val="0"/>
              <w:marRight w:val="0"/>
              <w:marTop w:val="150"/>
              <w:marBottom w:val="0"/>
              <w:divBdr>
                <w:top w:val="none" w:sz="0" w:space="0" w:color="auto"/>
                <w:left w:val="none" w:sz="0" w:space="0" w:color="auto"/>
                <w:bottom w:val="none" w:sz="0" w:space="0" w:color="auto"/>
                <w:right w:val="none" w:sz="0" w:space="0" w:color="auto"/>
              </w:divBdr>
              <w:divsChild>
                <w:div w:id="781413625">
                  <w:marLeft w:val="0"/>
                  <w:marRight w:val="0"/>
                  <w:marTop w:val="0"/>
                  <w:marBottom w:val="0"/>
                  <w:divBdr>
                    <w:top w:val="none" w:sz="0" w:space="0" w:color="auto"/>
                    <w:left w:val="none" w:sz="0" w:space="0" w:color="auto"/>
                    <w:bottom w:val="none" w:sz="0" w:space="0" w:color="auto"/>
                    <w:right w:val="none" w:sz="0" w:space="0" w:color="auto"/>
                  </w:divBdr>
                  <w:divsChild>
                    <w:div w:id="896281434">
                      <w:marLeft w:val="0"/>
                      <w:marRight w:val="0"/>
                      <w:marTop w:val="0"/>
                      <w:marBottom w:val="0"/>
                      <w:divBdr>
                        <w:top w:val="none" w:sz="0" w:space="0" w:color="auto"/>
                        <w:left w:val="none" w:sz="0" w:space="0" w:color="auto"/>
                        <w:bottom w:val="none" w:sz="0" w:space="0" w:color="auto"/>
                        <w:right w:val="none" w:sz="0" w:space="0" w:color="auto"/>
                      </w:divBdr>
                      <w:divsChild>
                        <w:div w:id="11299545">
                          <w:marLeft w:val="3150"/>
                          <w:marRight w:val="3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561490">
      <w:bodyDiv w:val="1"/>
      <w:marLeft w:val="0"/>
      <w:marRight w:val="0"/>
      <w:marTop w:val="0"/>
      <w:marBottom w:val="0"/>
      <w:divBdr>
        <w:top w:val="none" w:sz="0" w:space="0" w:color="auto"/>
        <w:left w:val="none" w:sz="0" w:space="0" w:color="auto"/>
        <w:bottom w:val="none" w:sz="0" w:space="0" w:color="auto"/>
        <w:right w:val="none" w:sz="0" w:space="0" w:color="auto"/>
      </w:divBdr>
    </w:div>
    <w:div w:id="1356660751">
      <w:bodyDiv w:val="1"/>
      <w:marLeft w:val="0"/>
      <w:marRight w:val="0"/>
      <w:marTop w:val="0"/>
      <w:marBottom w:val="0"/>
      <w:divBdr>
        <w:top w:val="none" w:sz="0" w:space="0" w:color="auto"/>
        <w:left w:val="none" w:sz="0" w:space="0" w:color="auto"/>
        <w:bottom w:val="none" w:sz="0" w:space="0" w:color="auto"/>
        <w:right w:val="none" w:sz="0" w:space="0" w:color="auto"/>
      </w:divBdr>
      <w:divsChild>
        <w:div w:id="1729449061">
          <w:marLeft w:val="0"/>
          <w:marRight w:val="0"/>
          <w:marTop w:val="0"/>
          <w:marBottom w:val="0"/>
          <w:divBdr>
            <w:top w:val="none" w:sz="0" w:space="0" w:color="auto"/>
            <w:left w:val="none" w:sz="0" w:space="0" w:color="auto"/>
            <w:bottom w:val="none" w:sz="0" w:space="0" w:color="auto"/>
            <w:right w:val="none" w:sz="0" w:space="0" w:color="auto"/>
          </w:divBdr>
          <w:divsChild>
            <w:div w:id="1936280654">
              <w:marLeft w:val="0"/>
              <w:marRight w:val="0"/>
              <w:marTop w:val="0"/>
              <w:marBottom w:val="0"/>
              <w:divBdr>
                <w:top w:val="none" w:sz="0" w:space="0" w:color="auto"/>
                <w:left w:val="none" w:sz="0" w:space="0" w:color="auto"/>
                <w:bottom w:val="none" w:sz="0" w:space="0" w:color="auto"/>
                <w:right w:val="none" w:sz="0" w:space="0" w:color="auto"/>
              </w:divBdr>
              <w:divsChild>
                <w:div w:id="748694614">
                  <w:marLeft w:val="0"/>
                  <w:marRight w:val="0"/>
                  <w:marTop w:val="0"/>
                  <w:marBottom w:val="0"/>
                  <w:divBdr>
                    <w:top w:val="none" w:sz="0" w:space="0" w:color="auto"/>
                    <w:left w:val="none" w:sz="0" w:space="0" w:color="auto"/>
                    <w:bottom w:val="none" w:sz="0" w:space="0" w:color="auto"/>
                    <w:right w:val="none" w:sz="0" w:space="0" w:color="auto"/>
                  </w:divBdr>
                  <w:divsChild>
                    <w:div w:id="678432029">
                      <w:marLeft w:val="0"/>
                      <w:marRight w:val="0"/>
                      <w:marTop w:val="0"/>
                      <w:marBottom w:val="0"/>
                      <w:divBdr>
                        <w:top w:val="none" w:sz="0" w:space="0" w:color="auto"/>
                        <w:left w:val="none" w:sz="0" w:space="0" w:color="auto"/>
                        <w:bottom w:val="none" w:sz="0" w:space="0" w:color="auto"/>
                        <w:right w:val="none" w:sz="0" w:space="0" w:color="auto"/>
                      </w:divBdr>
                      <w:divsChild>
                        <w:div w:id="1214737787">
                          <w:marLeft w:val="0"/>
                          <w:marRight w:val="0"/>
                          <w:marTop w:val="0"/>
                          <w:marBottom w:val="0"/>
                          <w:divBdr>
                            <w:top w:val="none" w:sz="0" w:space="0" w:color="auto"/>
                            <w:left w:val="none" w:sz="0" w:space="0" w:color="auto"/>
                            <w:bottom w:val="none" w:sz="0" w:space="0" w:color="auto"/>
                            <w:right w:val="none" w:sz="0" w:space="0" w:color="auto"/>
                          </w:divBdr>
                          <w:divsChild>
                            <w:div w:id="7543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01341">
      <w:bodyDiv w:val="1"/>
      <w:marLeft w:val="0"/>
      <w:marRight w:val="0"/>
      <w:marTop w:val="0"/>
      <w:marBottom w:val="0"/>
      <w:divBdr>
        <w:top w:val="none" w:sz="0" w:space="0" w:color="auto"/>
        <w:left w:val="none" w:sz="0" w:space="0" w:color="auto"/>
        <w:bottom w:val="none" w:sz="0" w:space="0" w:color="auto"/>
        <w:right w:val="none" w:sz="0" w:space="0" w:color="auto"/>
      </w:divBdr>
      <w:divsChild>
        <w:div w:id="1744988133">
          <w:marLeft w:val="0"/>
          <w:marRight w:val="0"/>
          <w:marTop w:val="0"/>
          <w:marBottom w:val="0"/>
          <w:divBdr>
            <w:top w:val="none" w:sz="0" w:space="0" w:color="auto"/>
            <w:left w:val="none" w:sz="0" w:space="0" w:color="auto"/>
            <w:bottom w:val="none" w:sz="0" w:space="0" w:color="auto"/>
            <w:right w:val="none" w:sz="0" w:space="0" w:color="auto"/>
          </w:divBdr>
          <w:divsChild>
            <w:div w:id="127742522">
              <w:marLeft w:val="0"/>
              <w:marRight w:val="0"/>
              <w:marTop w:val="0"/>
              <w:marBottom w:val="0"/>
              <w:divBdr>
                <w:top w:val="none" w:sz="0" w:space="0" w:color="auto"/>
                <w:left w:val="none" w:sz="0" w:space="0" w:color="auto"/>
                <w:bottom w:val="none" w:sz="0" w:space="0" w:color="auto"/>
                <w:right w:val="none" w:sz="0" w:space="0" w:color="auto"/>
              </w:divBdr>
              <w:divsChild>
                <w:div w:id="1907303193">
                  <w:marLeft w:val="0"/>
                  <w:marRight w:val="0"/>
                  <w:marTop w:val="120"/>
                  <w:marBottom w:val="360"/>
                  <w:divBdr>
                    <w:top w:val="none" w:sz="0" w:space="0" w:color="auto"/>
                    <w:left w:val="none" w:sz="0" w:space="0" w:color="auto"/>
                    <w:bottom w:val="dotted" w:sz="6" w:space="18" w:color="CCCCCC"/>
                    <w:right w:val="none" w:sz="0" w:space="0" w:color="auto"/>
                  </w:divBdr>
                  <w:divsChild>
                    <w:div w:id="946082103">
                      <w:marLeft w:val="0"/>
                      <w:marRight w:val="0"/>
                      <w:marTop w:val="0"/>
                      <w:marBottom w:val="180"/>
                      <w:divBdr>
                        <w:top w:val="none" w:sz="0" w:space="0" w:color="auto"/>
                        <w:left w:val="none" w:sz="0" w:space="0" w:color="auto"/>
                        <w:bottom w:val="none" w:sz="0" w:space="0" w:color="auto"/>
                        <w:right w:val="none" w:sz="0" w:space="0" w:color="auto"/>
                      </w:divBdr>
                      <w:divsChild>
                        <w:div w:id="14725995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7508056">
      <w:bodyDiv w:val="1"/>
      <w:marLeft w:val="0"/>
      <w:marRight w:val="0"/>
      <w:marTop w:val="0"/>
      <w:marBottom w:val="0"/>
      <w:divBdr>
        <w:top w:val="none" w:sz="0" w:space="0" w:color="auto"/>
        <w:left w:val="none" w:sz="0" w:space="0" w:color="auto"/>
        <w:bottom w:val="none" w:sz="0" w:space="0" w:color="auto"/>
        <w:right w:val="none" w:sz="0" w:space="0" w:color="auto"/>
      </w:divBdr>
      <w:divsChild>
        <w:div w:id="1939411689">
          <w:marLeft w:val="0"/>
          <w:marRight w:val="0"/>
          <w:marTop w:val="0"/>
          <w:marBottom w:val="0"/>
          <w:divBdr>
            <w:top w:val="none" w:sz="0" w:space="0" w:color="auto"/>
            <w:left w:val="none" w:sz="0" w:space="0" w:color="auto"/>
            <w:bottom w:val="none" w:sz="0" w:space="0" w:color="auto"/>
            <w:right w:val="none" w:sz="0" w:space="0" w:color="auto"/>
          </w:divBdr>
          <w:divsChild>
            <w:div w:id="2138722534">
              <w:marLeft w:val="0"/>
              <w:marRight w:val="0"/>
              <w:marTop w:val="0"/>
              <w:marBottom w:val="0"/>
              <w:divBdr>
                <w:top w:val="none" w:sz="0" w:space="0" w:color="auto"/>
                <w:left w:val="none" w:sz="0" w:space="0" w:color="auto"/>
                <w:bottom w:val="single" w:sz="6" w:space="0" w:color="666666"/>
                <w:right w:val="none" w:sz="0" w:space="0" w:color="auto"/>
              </w:divBdr>
              <w:divsChild>
                <w:div w:id="1489440052">
                  <w:marLeft w:val="0"/>
                  <w:marRight w:val="0"/>
                  <w:marTop w:val="0"/>
                  <w:marBottom w:val="0"/>
                  <w:divBdr>
                    <w:top w:val="none" w:sz="0" w:space="0" w:color="auto"/>
                    <w:left w:val="none" w:sz="0" w:space="0" w:color="auto"/>
                    <w:bottom w:val="none" w:sz="0" w:space="0" w:color="auto"/>
                    <w:right w:val="none" w:sz="0" w:space="0" w:color="auto"/>
                  </w:divBdr>
                  <w:divsChild>
                    <w:div w:id="939683573">
                      <w:marLeft w:val="0"/>
                      <w:marRight w:val="0"/>
                      <w:marTop w:val="0"/>
                      <w:marBottom w:val="0"/>
                      <w:divBdr>
                        <w:top w:val="none" w:sz="0" w:space="0" w:color="auto"/>
                        <w:left w:val="none" w:sz="0" w:space="0" w:color="auto"/>
                        <w:bottom w:val="none" w:sz="0" w:space="0" w:color="auto"/>
                        <w:right w:val="none" w:sz="0" w:space="0" w:color="auto"/>
                      </w:divBdr>
                      <w:divsChild>
                        <w:div w:id="4288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824">
                  <w:marLeft w:val="0"/>
                  <w:marRight w:val="0"/>
                  <w:marTop w:val="0"/>
                  <w:marBottom w:val="0"/>
                  <w:divBdr>
                    <w:top w:val="none" w:sz="0" w:space="0" w:color="auto"/>
                    <w:left w:val="none" w:sz="0" w:space="0" w:color="auto"/>
                    <w:bottom w:val="none" w:sz="0" w:space="0" w:color="auto"/>
                    <w:right w:val="none" w:sz="0" w:space="0" w:color="auto"/>
                  </w:divBdr>
                  <w:divsChild>
                    <w:div w:id="547572624">
                      <w:marLeft w:val="0"/>
                      <w:marRight w:val="0"/>
                      <w:marTop w:val="0"/>
                      <w:marBottom w:val="0"/>
                      <w:divBdr>
                        <w:top w:val="none" w:sz="0" w:space="0" w:color="auto"/>
                        <w:left w:val="none" w:sz="0" w:space="0" w:color="auto"/>
                        <w:bottom w:val="none" w:sz="0" w:space="0" w:color="auto"/>
                        <w:right w:val="none" w:sz="0" w:space="0" w:color="auto"/>
                      </w:divBdr>
                      <w:divsChild>
                        <w:div w:id="98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6553">
              <w:marLeft w:val="0"/>
              <w:marRight w:val="0"/>
              <w:marTop w:val="0"/>
              <w:marBottom w:val="0"/>
              <w:divBdr>
                <w:top w:val="none" w:sz="0" w:space="0" w:color="auto"/>
                <w:left w:val="none" w:sz="0" w:space="0" w:color="auto"/>
                <w:bottom w:val="none" w:sz="0" w:space="0" w:color="auto"/>
                <w:right w:val="none" w:sz="0" w:space="0" w:color="auto"/>
              </w:divBdr>
              <w:divsChild>
                <w:div w:id="677779466">
                  <w:marLeft w:val="0"/>
                  <w:marRight w:val="0"/>
                  <w:marTop w:val="0"/>
                  <w:marBottom w:val="0"/>
                  <w:divBdr>
                    <w:top w:val="none" w:sz="0" w:space="0" w:color="auto"/>
                    <w:left w:val="none" w:sz="0" w:space="0" w:color="auto"/>
                    <w:bottom w:val="single" w:sz="6" w:space="0" w:color="666666"/>
                    <w:right w:val="none" w:sz="0" w:space="0" w:color="auto"/>
                  </w:divBdr>
                  <w:divsChild>
                    <w:div w:id="955718632">
                      <w:marLeft w:val="0"/>
                      <w:marRight w:val="0"/>
                      <w:marTop w:val="0"/>
                      <w:marBottom w:val="0"/>
                      <w:divBdr>
                        <w:top w:val="none" w:sz="0" w:space="0" w:color="auto"/>
                        <w:left w:val="none" w:sz="0" w:space="0" w:color="auto"/>
                        <w:bottom w:val="none" w:sz="0" w:space="0" w:color="auto"/>
                        <w:right w:val="none" w:sz="0" w:space="0" w:color="auto"/>
                      </w:divBdr>
                    </w:div>
                  </w:divsChild>
                </w:div>
                <w:div w:id="29651909">
                  <w:marLeft w:val="0"/>
                  <w:marRight w:val="0"/>
                  <w:marTop w:val="0"/>
                  <w:marBottom w:val="0"/>
                  <w:divBdr>
                    <w:top w:val="none" w:sz="0" w:space="0" w:color="auto"/>
                    <w:left w:val="none" w:sz="0" w:space="0" w:color="auto"/>
                    <w:bottom w:val="single" w:sz="6" w:space="0" w:color="666666"/>
                    <w:right w:val="none" w:sz="0" w:space="0" w:color="auto"/>
                  </w:divBdr>
                  <w:divsChild>
                    <w:div w:id="1176842884">
                      <w:marLeft w:val="0"/>
                      <w:marRight w:val="0"/>
                      <w:marTop w:val="0"/>
                      <w:marBottom w:val="0"/>
                      <w:divBdr>
                        <w:top w:val="none" w:sz="0" w:space="0" w:color="auto"/>
                        <w:left w:val="none" w:sz="0" w:space="0" w:color="auto"/>
                        <w:bottom w:val="none" w:sz="0" w:space="0" w:color="auto"/>
                        <w:right w:val="none" w:sz="0" w:space="0" w:color="auto"/>
                      </w:divBdr>
                    </w:div>
                  </w:divsChild>
                </w:div>
                <w:div w:id="1848400544">
                  <w:marLeft w:val="0"/>
                  <w:marRight w:val="0"/>
                  <w:marTop w:val="0"/>
                  <w:marBottom w:val="0"/>
                  <w:divBdr>
                    <w:top w:val="none" w:sz="0" w:space="0" w:color="auto"/>
                    <w:left w:val="none" w:sz="0" w:space="0" w:color="auto"/>
                    <w:bottom w:val="single" w:sz="6" w:space="0" w:color="666666"/>
                    <w:right w:val="none" w:sz="0" w:space="0" w:color="auto"/>
                  </w:divBdr>
                  <w:divsChild>
                    <w:div w:id="85393608">
                      <w:marLeft w:val="0"/>
                      <w:marRight w:val="0"/>
                      <w:marTop w:val="0"/>
                      <w:marBottom w:val="0"/>
                      <w:divBdr>
                        <w:top w:val="none" w:sz="0" w:space="0" w:color="auto"/>
                        <w:left w:val="none" w:sz="0" w:space="0" w:color="auto"/>
                        <w:bottom w:val="none" w:sz="0" w:space="0" w:color="auto"/>
                        <w:right w:val="none" w:sz="0" w:space="0" w:color="auto"/>
                      </w:divBdr>
                    </w:div>
                  </w:divsChild>
                </w:div>
                <w:div w:id="1028870414">
                  <w:marLeft w:val="0"/>
                  <w:marRight w:val="0"/>
                  <w:marTop w:val="0"/>
                  <w:marBottom w:val="0"/>
                  <w:divBdr>
                    <w:top w:val="none" w:sz="0" w:space="0" w:color="auto"/>
                    <w:left w:val="none" w:sz="0" w:space="0" w:color="auto"/>
                    <w:bottom w:val="single" w:sz="6" w:space="0" w:color="666666"/>
                    <w:right w:val="none" w:sz="0" w:space="0" w:color="auto"/>
                  </w:divBdr>
                  <w:divsChild>
                    <w:div w:id="1094860566">
                      <w:marLeft w:val="0"/>
                      <w:marRight w:val="0"/>
                      <w:marTop w:val="0"/>
                      <w:marBottom w:val="0"/>
                      <w:divBdr>
                        <w:top w:val="none" w:sz="0" w:space="0" w:color="auto"/>
                        <w:left w:val="none" w:sz="0" w:space="0" w:color="auto"/>
                        <w:bottom w:val="none" w:sz="0" w:space="0" w:color="auto"/>
                        <w:right w:val="none" w:sz="0" w:space="0" w:color="auto"/>
                      </w:divBdr>
                    </w:div>
                  </w:divsChild>
                </w:div>
                <w:div w:id="165677805">
                  <w:marLeft w:val="0"/>
                  <w:marRight w:val="0"/>
                  <w:marTop w:val="0"/>
                  <w:marBottom w:val="0"/>
                  <w:divBdr>
                    <w:top w:val="none" w:sz="0" w:space="0" w:color="auto"/>
                    <w:left w:val="none" w:sz="0" w:space="0" w:color="auto"/>
                    <w:bottom w:val="single" w:sz="6" w:space="0" w:color="666666"/>
                    <w:right w:val="none" w:sz="0" w:space="0" w:color="auto"/>
                  </w:divBdr>
                  <w:divsChild>
                    <w:div w:id="334236459">
                      <w:marLeft w:val="0"/>
                      <w:marRight w:val="0"/>
                      <w:marTop w:val="0"/>
                      <w:marBottom w:val="0"/>
                      <w:divBdr>
                        <w:top w:val="none" w:sz="0" w:space="0" w:color="auto"/>
                        <w:left w:val="none" w:sz="0" w:space="0" w:color="auto"/>
                        <w:bottom w:val="none" w:sz="0" w:space="0" w:color="auto"/>
                        <w:right w:val="none" w:sz="0" w:space="0" w:color="auto"/>
                      </w:divBdr>
                    </w:div>
                  </w:divsChild>
                </w:div>
                <w:div w:id="804733399">
                  <w:marLeft w:val="0"/>
                  <w:marRight w:val="0"/>
                  <w:marTop w:val="0"/>
                  <w:marBottom w:val="0"/>
                  <w:divBdr>
                    <w:top w:val="none" w:sz="0" w:space="0" w:color="auto"/>
                    <w:left w:val="none" w:sz="0" w:space="0" w:color="auto"/>
                    <w:bottom w:val="single" w:sz="6" w:space="0" w:color="666666"/>
                    <w:right w:val="none" w:sz="0" w:space="0" w:color="auto"/>
                  </w:divBdr>
                  <w:divsChild>
                    <w:div w:id="721948888">
                      <w:marLeft w:val="0"/>
                      <w:marRight w:val="0"/>
                      <w:marTop w:val="0"/>
                      <w:marBottom w:val="0"/>
                      <w:divBdr>
                        <w:top w:val="none" w:sz="0" w:space="0" w:color="auto"/>
                        <w:left w:val="none" w:sz="0" w:space="0" w:color="auto"/>
                        <w:bottom w:val="none" w:sz="0" w:space="0" w:color="auto"/>
                        <w:right w:val="none" w:sz="0" w:space="0" w:color="auto"/>
                      </w:divBdr>
                    </w:div>
                  </w:divsChild>
                </w:div>
                <w:div w:id="1827816621">
                  <w:marLeft w:val="0"/>
                  <w:marRight w:val="0"/>
                  <w:marTop w:val="0"/>
                  <w:marBottom w:val="0"/>
                  <w:divBdr>
                    <w:top w:val="none" w:sz="0" w:space="0" w:color="auto"/>
                    <w:left w:val="none" w:sz="0" w:space="0" w:color="auto"/>
                    <w:bottom w:val="single" w:sz="6" w:space="0" w:color="666666"/>
                    <w:right w:val="none" w:sz="0" w:space="0" w:color="auto"/>
                  </w:divBdr>
                  <w:divsChild>
                    <w:div w:id="1786194182">
                      <w:marLeft w:val="0"/>
                      <w:marRight w:val="0"/>
                      <w:marTop w:val="0"/>
                      <w:marBottom w:val="0"/>
                      <w:divBdr>
                        <w:top w:val="none" w:sz="0" w:space="0" w:color="auto"/>
                        <w:left w:val="none" w:sz="0" w:space="0" w:color="auto"/>
                        <w:bottom w:val="none" w:sz="0" w:space="0" w:color="auto"/>
                        <w:right w:val="none" w:sz="0" w:space="0" w:color="auto"/>
                      </w:divBdr>
                    </w:div>
                  </w:divsChild>
                </w:div>
                <w:div w:id="126507119">
                  <w:marLeft w:val="0"/>
                  <w:marRight w:val="0"/>
                  <w:marTop w:val="0"/>
                  <w:marBottom w:val="0"/>
                  <w:divBdr>
                    <w:top w:val="none" w:sz="0" w:space="0" w:color="auto"/>
                    <w:left w:val="none" w:sz="0" w:space="0" w:color="auto"/>
                    <w:bottom w:val="single" w:sz="6" w:space="0" w:color="666666"/>
                    <w:right w:val="none" w:sz="0" w:space="0" w:color="auto"/>
                  </w:divBdr>
                  <w:divsChild>
                    <w:div w:id="844243377">
                      <w:marLeft w:val="0"/>
                      <w:marRight w:val="0"/>
                      <w:marTop w:val="0"/>
                      <w:marBottom w:val="0"/>
                      <w:divBdr>
                        <w:top w:val="none" w:sz="0" w:space="0" w:color="auto"/>
                        <w:left w:val="none" w:sz="0" w:space="0" w:color="auto"/>
                        <w:bottom w:val="none" w:sz="0" w:space="0" w:color="auto"/>
                        <w:right w:val="none" w:sz="0" w:space="0" w:color="auto"/>
                      </w:divBdr>
                    </w:div>
                  </w:divsChild>
                </w:div>
                <w:div w:id="1285187650">
                  <w:marLeft w:val="0"/>
                  <w:marRight w:val="0"/>
                  <w:marTop w:val="0"/>
                  <w:marBottom w:val="0"/>
                  <w:divBdr>
                    <w:top w:val="none" w:sz="0" w:space="0" w:color="auto"/>
                    <w:left w:val="none" w:sz="0" w:space="0" w:color="auto"/>
                    <w:bottom w:val="single" w:sz="6" w:space="0" w:color="666666"/>
                    <w:right w:val="none" w:sz="0" w:space="0" w:color="auto"/>
                  </w:divBdr>
                  <w:divsChild>
                    <w:div w:id="1207135702">
                      <w:marLeft w:val="0"/>
                      <w:marRight w:val="0"/>
                      <w:marTop w:val="0"/>
                      <w:marBottom w:val="0"/>
                      <w:divBdr>
                        <w:top w:val="none" w:sz="0" w:space="0" w:color="auto"/>
                        <w:left w:val="none" w:sz="0" w:space="0" w:color="auto"/>
                        <w:bottom w:val="none" w:sz="0" w:space="0" w:color="auto"/>
                        <w:right w:val="none" w:sz="0" w:space="0" w:color="auto"/>
                      </w:divBdr>
                    </w:div>
                  </w:divsChild>
                </w:div>
                <w:div w:id="82647289">
                  <w:marLeft w:val="0"/>
                  <w:marRight w:val="0"/>
                  <w:marTop w:val="0"/>
                  <w:marBottom w:val="0"/>
                  <w:divBdr>
                    <w:top w:val="none" w:sz="0" w:space="0" w:color="auto"/>
                    <w:left w:val="none" w:sz="0" w:space="0" w:color="auto"/>
                    <w:bottom w:val="single" w:sz="6" w:space="0" w:color="666666"/>
                    <w:right w:val="none" w:sz="0" w:space="0" w:color="auto"/>
                  </w:divBdr>
                  <w:divsChild>
                    <w:div w:id="1601375480">
                      <w:marLeft w:val="0"/>
                      <w:marRight w:val="0"/>
                      <w:marTop w:val="0"/>
                      <w:marBottom w:val="0"/>
                      <w:divBdr>
                        <w:top w:val="none" w:sz="0" w:space="0" w:color="auto"/>
                        <w:left w:val="none" w:sz="0" w:space="0" w:color="auto"/>
                        <w:bottom w:val="none" w:sz="0" w:space="0" w:color="auto"/>
                        <w:right w:val="none" w:sz="0" w:space="0" w:color="auto"/>
                      </w:divBdr>
                    </w:div>
                  </w:divsChild>
                </w:div>
                <w:div w:id="1418398992">
                  <w:marLeft w:val="0"/>
                  <w:marRight w:val="0"/>
                  <w:marTop w:val="0"/>
                  <w:marBottom w:val="0"/>
                  <w:divBdr>
                    <w:top w:val="none" w:sz="0" w:space="0" w:color="auto"/>
                    <w:left w:val="none" w:sz="0" w:space="0" w:color="auto"/>
                    <w:bottom w:val="single" w:sz="6" w:space="0" w:color="666666"/>
                    <w:right w:val="none" w:sz="0" w:space="0" w:color="auto"/>
                  </w:divBdr>
                  <w:divsChild>
                    <w:div w:id="316421636">
                      <w:marLeft w:val="0"/>
                      <w:marRight w:val="0"/>
                      <w:marTop w:val="0"/>
                      <w:marBottom w:val="0"/>
                      <w:divBdr>
                        <w:top w:val="none" w:sz="0" w:space="0" w:color="auto"/>
                        <w:left w:val="none" w:sz="0" w:space="0" w:color="auto"/>
                        <w:bottom w:val="none" w:sz="0" w:space="0" w:color="auto"/>
                        <w:right w:val="none" w:sz="0" w:space="0" w:color="auto"/>
                      </w:divBdr>
                    </w:div>
                  </w:divsChild>
                </w:div>
                <w:div w:id="771897637">
                  <w:marLeft w:val="0"/>
                  <w:marRight w:val="0"/>
                  <w:marTop w:val="0"/>
                  <w:marBottom w:val="0"/>
                  <w:divBdr>
                    <w:top w:val="none" w:sz="0" w:space="0" w:color="auto"/>
                    <w:left w:val="none" w:sz="0" w:space="0" w:color="auto"/>
                    <w:bottom w:val="single" w:sz="6" w:space="0" w:color="666666"/>
                    <w:right w:val="none" w:sz="0" w:space="0" w:color="auto"/>
                  </w:divBdr>
                  <w:divsChild>
                    <w:div w:id="726421547">
                      <w:marLeft w:val="0"/>
                      <w:marRight w:val="0"/>
                      <w:marTop w:val="0"/>
                      <w:marBottom w:val="0"/>
                      <w:divBdr>
                        <w:top w:val="none" w:sz="0" w:space="0" w:color="auto"/>
                        <w:left w:val="none" w:sz="0" w:space="0" w:color="auto"/>
                        <w:bottom w:val="none" w:sz="0" w:space="0" w:color="auto"/>
                        <w:right w:val="none" w:sz="0" w:space="0" w:color="auto"/>
                      </w:divBdr>
                    </w:div>
                  </w:divsChild>
                </w:div>
                <w:div w:id="2038390151">
                  <w:marLeft w:val="0"/>
                  <w:marRight w:val="0"/>
                  <w:marTop w:val="0"/>
                  <w:marBottom w:val="0"/>
                  <w:divBdr>
                    <w:top w:val="none" w:sz="0" w:space="0" w:color="auto"/>
                    <w:left w:val="none" w:sz="0" w:space="0" w:color="auto"/>
                    <w:bottom w:val="single" w:sz="6" w:space="0" w:color="666666"/>
                    <w:right w:val="none" w:sz="0" w:space="0" w:color="auto"/>
                  </w:divBdr>
                  <w:divsChild>
                    <w:div w:id="1560283477">
                      <w:marLeft w:val="0"/>
                      <w:marRight w:val="0"/>
                      <w:marTop w:val="0"/>
                      <w:marBottom w:val="0"/>
                      <w:divBdr>
                        <w:top w:val="none" w:sz="0" w:space="0" w:color="auto"/>
                        <w:left w:val="none" w:sz="0" w:space="0" w:color="auto"/>
                        <w:bottom w:val="none" w:sz="0" w:space="0" w:color="auto"/>
                        <w:right w:val="none" w:sz="0" w:space="0" w:color="auto"/>
                      </w:divBdr>
                    </w:div>
                  </w:divsChild>
                </w:div>
                <w:div w:id="1394621044">
                  <w:marLeft w:val="0"/>
                  <w:marRight w:val="0"/>
                  <w:marTop w:val="0"/>
                  <w:marBottom w:val="0"/>
                  <w:divBdr>
                    <w:top w:val="none" w:sz="0" w:space="0" w:color="auto"/>
                    <w:left w:val="none" w:sz="0" w:space="0" w:color="auto"/>
                    <w:bottom w:val="single" w:sz="6" w:space="0" w:color="666666"/>
                    <w:right w:val="none" w:sz="0" w:space="0" w:color="auto"/>
                  </w:divBdr>
                  <w:divsChild>
                    <w:div w:id="599989879">
                      <w:marLeft w:val="0"/>
                      <w:marRight w:val="0"/>
                      <w:marTop w:val="0"/>
                      <w:marBottom w:val="0"/>
                      <w:divBdr>
                        <w:top w:val="none" w:sz="0" w:space="0" w:color="auto"/>
                        <w:left w:val="none" w:sz="0" w:space="0" w:color="auto"/>
                        <w:bottom w:val="none" w:sz="0" w:space="0" w:color="auto"/>
                        <w:right w:val="none" w:sz="0" w:space="0" w:color="auto"/>
                      </w:divBdr>
                    </w:div>
                  </w:divsChild>
                </w:div>
                <w:div w:id="573206340">
                  <w:marLeft w:val="0"/>
                  <w:marRight w:val="0"/>
                  <w:marTop w:val="0"/>
                  <w:marBottom w:val="0"/>
                  <w:divBdr>
                    <w:top w:val="none" w:sz="0" w:space="0" w:color="auto"/>
                    <w:left w:val="none" w:sz="0" w:space="0" w:color="auto"/>
                    <w:bottom w:val="single" w:sz="6" w:space="0" w:color="666666"/>
                    <w:right w:val="none" w:sz="0" w:space="0" w:color="auto"/>
                  </w:divBdr>
                  <w:divsChild>
                    <w:div w:id="63451420">
                      <w:marLeft w:val="0"/>
                      <w:marRight w:val="0"/>
                      <w:marTop w:val="0"/>
                      <w:marBottom w:val="0"/>
                      <w:divBdr>
                        <w:top w:val="none" w:sz="0" w:space="0" w:color="auto"/>
                        <w:left w:val="none" w:sz="0" w:space="0" w:color="auto"/>
                        <w:bottom w:val="none" w:sz="0" w:space="0" w:color="auto"/>
                        <w:right w:val="none" w:sz="0" w:space="0" w:color="auto"/>
                      </w:divBdr>
                    </w:div>
                  </w:divsChild>
                </w:div>
                <w:div w:id="1718822141">
                  <w:marLeft w:val="0"/>
                  <w:marRight w:val="0"/>
                  <w:marTop w:val="0"/>
                  <w:marBottom w:val="0"/>
                  <w:divBdr>
                    <w:top w:val="none" w:sz="0" w:space="0" w:color="auto"/>
                    <w:left w:val="none" w:sz="0" w:space="0" w:color="auto"/>
                    <w:bottom w:val="single" w:sz="6" w:space="0" w:color="666666"/>
                    <w:right w:val="none" w:sz="0" w:space="0" w:color="auto"/>
                  </w:divBdr>
                  <w:divsChild>
                    <w:div w:id="870997275">
                      <w:marLeft w:val="0"/>
                      <w:marRight w:val="0"/>
                      <w:marTop w:val="0"/>
                      <w:marBottom w:val="0"/>
                      <w:divBdr>
                        <w:top w:val="none" w:sz="0" w:space="0" w:color="auto"/>
                        <w:left w:val="none" w:sz="0" w:space="0" w:color="auto"/>
                        <w:bottom w:val="none" w:sz="0" w:space="0" w:color="auto"/>
                        <w:right w:val="none" w:sz="0" w:space="0" w:color="auto"/>
                      </w:divBdr>
                    </w:div>
                  </w:divsChild>
                </w:div>
                <w:div w:id="49816173">
                  <w:marLeft w:val="0"/>
                  <w:marRight w:val="0"/>
                  <w:marTop w:val="0"/>
                  <w:marBottom w:val="0"/>
                  <w:divBdr>
                    <w:top w:val="none" w:sz="0" w:space="0" w:color="auto"/>
                    <w:left w:val="none" w:sz="0" w:space="0" w:color="auto"/>
                    <w:bottom w:val="single" w:sz="6" w:space="0" w:color="666666"/>
                    <w:right w:val="none" w:sz="0" w:space="0" w:color="auto"/>
                  </w:divBdr>
                  <w:divsChild>
                    <w:div w:id="112410869">
                      <w:marLeft w:val="0"/>
                      <w:marRight w:val="0"/>
                      <w:marTop w:val="0"/>
                      <w:marBottom w:val="0"/>
                      <w:divBdr>
                        <w:top w:val="none" w:sz="0" w:space="0" w:color="auto"/>
                        <w:left w:val="none" w:sz="0" w:space="0" w:color="auto"/>
                        <w:bottom w:val="none" w:sz="0" w:space="0" w:color="auto"/>
                        <w:right w:val="none" w:sz="0" w:space="0" w:color="auto"/>
                      </w:divBdr>
                    </w:div>
                  </w:divsChild>
                </w:div>
                <w:div w:id="288366175">
                  <w:marLeft w:val="0"/>
                  <w:marRight w:val="0"/>
                  <w:marTop w:val="0"/>
                  <w:marBottom w:val="0"/>
                  <w:divBdr>
                    <w:top w:val="none" w:sz="0" w:space="0" w:color="auto"/>
                    <w:left w:val="none" w:sz="0" w:space="0" w:color="auto"/>
                    <w:bottom w:val="single" w:sz="6" w:space="0" w:color="666666"/>
                    <w:right w:val="none" w:sz="0" w:space="0" w:color="auto"/>
                  </w:divBdr>
                  <w:divsChild>
                    <w:div w:id="1377437543">
                      <w:marLeft w:val="0"/>
                      <w:marRight w:val="0"/>
                      <w:marTop w:val="0"/>
                      <w:marBottom w:val="0"/>
                      <w:divBdr>
                        <w:top w:val="none" w:sz="0" w:space="0" w:color="auto"/>
                        <w:left w:val="none" w:sz="0" w:space="0" w:color="auto"/>
                        <w:bottom w:val="none" w:sz="0" w:space="0" w:color="auto"/>
                        <w:right w:val="none" w:sz="0" w:space="0" w:color="auto"/>
                      </w:divBdr>
                    </w:div>
                  </w:divsChild>
                </w:div>
                <w:div w:id="1491751526">
                  <w:marLeft w:val="0"/>
                  <w:marRight w:val="0"/>
                  <w:marTop w:val="0"/>
                  <w:marBottom w:val="0"/>
                  <w:divBdr>
                    <w:top w:val="none" w:sz="0" w:space="0" w:color="auto"/>
                    <w:left w:val="none" w:sz="0" w:space="0" w:color="auto"/>
                    <w:bottom w:val="single" w:sz="6" w:space="0" w:color="666666"/>
                    <w:right w:val="none" w:sz="0" w:space="0" w:color="auto"/>
                  </w:divBdr>
                  <w:divsChild>
                    <w:div w:id="803933167">
                      <w:marLeft w:val="0"/>
                      <w:marRight w:val="0"/>
                      <w:marTop w:val="0"/>
                      <w:marBottom w:val="0"/>
                      <w:divBdr>
                        <w:top w:val="none" w:sz="0" w:space="0" w:color="auto"/>
                        <w:left w:val="none" w:sz="0" w:space="0" w:color="auto"/>
                        <w:bottom w:val="none" w:sz="0" w:space="0" w:color="auto"/>
                        <w:right w:val="none" w:sz="0" w:space="0" w:color="auto"/>
                      </w:divBdr>
                    </w:div>
                  </w:divsChild>
                </w:div>
                <w:div w:id="940920447">
                  <w:marLeft w:val="0"/>
                  <w:marRight w:val="0"/>
                  <w:marTop w:val="0"/>
                  <w:marBottom w:val="0"/>
                  <w:divBdr>
                    <w:top w:val="none" w:sz="0" w:space="0" w:color="auto"/>
                    <w:left w:val="none" w:sz="0" w:space="0" w:color="auto"/>
                    <w:bottom w:val="single" w:sz="6" w:space="0" w:color="666666"/>
                    <w:right w:val="none" w:sz="0" w:space="0" w:color="auto"/>
                  </w:divBdr>
                  <w:divsChild>
                    <w:div w:id="872886664">
                      <w:marLeft w:val="0"/>
                      <w:marRight w:val="0"/>
                      <w:marTop w:val="0"/>
                      <w:marBottom w:val="0"/>
                      <w:divBdr>
                        <w:top w:val="none" w:sz="0" w:space="0" w:color="auto"/>
                        <w:left w:val="none" w:sz="0" w:space="0" w:color="auto"/>
                        <w:bottom w:val="none" w:sz="0" w:space="0" w:color="auto"/>
                        <w:right w:val="none" w:sz="0" w:space="0" w:color="auto"/>
                      </w:divBdr>
                    </w:div>
                  </w:divsChild>
                </w:div>
                <w:div w:id="1670980332">
                  <w:marLeft w:val="0"/>
                  <w:marRight w:val="0"/>
                  <w:marTop w:val="0"/>
                  <w:marBottom w:val="0"/>
                  <w:divBdr>
                    <w:top w:val="none" w:sz="0" w:space="0" w:color="auto"/>
                    <w:left w:val="none" w:sz="0" w:space="0" w:color="auto"/>
                    <w:bottom w:val="single" w:sz="6" w:space="0" w:color="666666"/>
                    <w:right w:val="none" w:sz="0" w:space="0" w:color="auto"/>
                  </w:divBdr>
                  <w:divsChild>
                    <w:div w:id="155191713">
                      <w:marLeft w:val="0"/>
                      <w:marRight w:val="0"/>
                      <w:marTop w:val="0"/>
                      <w:marBottom w:val="0"/>
                      <w:divBdr>
                        <w:top w:val="none" w:sz="0" w:space="0" w:color="auto"/>
                        <w:left w:val="none" w:sz="0" w:space="0" w:color="auto"/>
                        <w:bottom w:val="none" w:sz="0" w:space="0" w:color="auto"/>
                        <w:right w:val="none" w:sz="0" w:space="0" w:color="auto"/>
                      </w:divBdr>
                    </w:div>
                  </w:divsChild>
                </w:div>
                <w:div w:id="1578591146">
                  <w:marLeft w:val="0"/>
                  <w:marRight w:val="0"/>
                  <w:marTop w:val="0"/>
                  <w:marBottom w:val="0"/>
                  <w:divBdr>
                    <w:top w:val="none" w:sz="0" w:space="0" w:color="auto"/>
                    <w:left w:val="none" w:sz="0" w:space="0" w:color="auto"/>
                    <w:bottom w:val="single" w:sz="6" w:space="0" w:color="666666"/>
                    <w:right w:val="none" w:sz="0" w:space="0" w:color="auto"/>
                  </w:divBdr>
                  <w:divsChild>
                    <w:div w:id="1018507416">
                      <w:marLeft w:val="0"/>
                      <w:marRight w:val="0"/>
                      <w:marTop w:val="0"/>
                      <w:marBottom w:val="0"/>
                      <w:divBdr>
                        <w:top w:val="none" w:sz="0" w:space="0" w:color="auto"/>
                        <w:left w:val="none" w:sz="0" w:space="0" w:color="auto"/>
                        <w:bottom w:val="none" w:sz="0" w:space="0" w:color="auto"/>
                        <w:right w:val="none" w:sz="0" w:space="0" w:color="auto"/>
                      </w:divBdr>
                    </w:div>
                  </w:divsChild>
                </w:div>
                <w:div w:id="2112191569">
                  <w:marLeft w:val="0"/>
                  <w:marRight w:val="0"/>
                  <w:marTop w:val="0"/>
                  <w:marBottom w:val="0"/>
                  <w:divBdr>
                    <w:top w:val="none" w:sz="0" w:space="0" w:color="auto"/>
                    <w:left w:val="none" w:sz="0" w:space="0" w:color="auto"/>
                    <w:bottom w:val="single" w:sz="6" w:space="0" w:color="666666"/>
                    <w:right w:val="none" w:sz="0" w:space="0" w:color="auto"/>
                  </w:divBdr>
                  <w:divsChild>
                    <w:div w:id="571306736">
                      <w:marLeft w:val="0"/>
                      <w:marRight w:val="0"/>
                      <w:marTop w:val="0"/>
                      <w:marBottom w:val="0"/>
                      <w:divBdr>
                        <w:top w:val="none" w:sz="0" w:space="0" w:color="auto"/>
                        <w:left w:val="none" w:sz="0" w:space="0" w:color="auto"/>
                        <w:bottom w:val="none" w:sz="0" w:space="0" w:color="auto"/>
                        <w:right w:val="none" w:sz="0" w:space="0" w:color="auto"/>
                      </w:divBdr>
                    </w:div>
                  </w:divsChild>
                </w:div>
                <w:div w:id="1540782458">
                  <w:marLeft w:val="0"/>
                  <w:marRight w:val="0"/>
                  <w:marTop w:val="0"/>
                  <w:marBottom w:val="0"/>
                  <w:divBdr>
                    <w:top w:val="none" w:sz="0" w:space="0" w:color="auto"/>
                    <w:left w:val="none" w:sz="0" w:space="0" w:color="auto"/>
                    <w:bottom w:val="single" w:sz="6" w:space="0" w:color="666666"/>
                    <w:right w:val="none" w:sz="0" w:space="0" w:color="auto"/>
                  </w:divBdr>
                  <w:divsChild>
                    <w:div w:id="1592548020">
                      <w:marLeft w:val="0"/>
                      <w:marRight w:val="0"/>
                      <w:marTop w:val="0"/>
                      <w:marBottom w:val="0"/>
                      <w:divBdr>
                        <w:top w:val="none" w:sz="0" w:space="0" w:color="auto"/>
                        <w:left w:val="none" w:sz="0" w:space="0" w:color="auto"/>
                        <w:bottom w:val="none" w:sz="0" w:space="0" w:color="auto"/>
                        <w:right w:val="none" w:sz="0" w:space="0" w:color="auto"/>
                      </w:divBdr>
                    </w:div>
                  </w:divsChild>
                </w:div>
                <w:div w:id="924998219">
                  <w:marLeft w:val="0"/>
                  <w:marRight w:val="0"/>
                  <w:marTop w:val="0"/>
                  <w:marBottom w:val="0"/>
                  <w:divBdr>
                    <w:top w:val="none" w:sz="0" w:space="0" w:color="auto"/>
                    <w:left w:val="none" w:sz="0" w:space="0" w:color="auto"/>
                    <w:bottom w:val="single" w:sz="6" w:space="0" w:color="666666"/>
                    <w:right w:val="none" w:sz="0" w:space="0" w:color="auto"/>
                  </w:divBdr>
                  <w:divsChild>
                    <w:div w:id="1602487958">
                      <w:marLeft w:val="0"/>
                      <w:marRight w:val="0"/>
                      <w:marTop w:val="0"/>
                      <w:marBottom w:val="0"/>
                      <w:divBdr>
                        <w:top w:val="none" w:sz="0" w:space="0" w:color="auto"/>
                        <w:left w:val="none" w:sz="0" w:space="0" w:color="auto"/>
                        <w:bottom w:val="none" w:sz="0" w:space="0" w:color="auto"/>
                        <w:right w:val="none" w:sz="0" w:space="0" w:color="auto"/>
                      </w:divBdr>
                    </w:div>
                  </w:divsChild>
                </w:div>
                <w:div w:id="1688674283">
                  <w:marLeft w:val="0"/>
                  <w:marRight w:val="0"/>
                  <w:marTop w:val="0"/>
                  <w:marBottom w:val="0"/>
                  <w:divBdr>
                    <w:top w:val="none" w:sz="0" w:space="0" w:color="auto"/>
                    <w:left w:val="none" w:sz="0" w:space="0" w:color="auto"/>
                    <w:bottom w:val="single" w:sz="6" w:space="0" w:color="666666"/>
                    <w:right w:val="none" w:sz="0" w:space="0" w:color="auto"/>
                  </w:divBdr>
                  <w:divsChild>
                    <w:div w:id="333807427">
                      <w:marLeft w:val="0"/>
                      <w:marRight w:val="0"/>
                      <w:marTop w:val="0"/>
                      <w:marBottom w:val="0"/>
                      <w:divBdr>
                        <w:top w:val="none" w:sz="0" w:space="0" w:color="auto"/>
                        <w:left w:val="none" w:sz="0" w:space="0" w:color="auto"/>
                        <w:bottom w:val="none" w:sz="0" w:space="0" w:color="auto"/>
                        <w:right w:val="none" w:sz="0" w:space="0" w:color="auto"/>
                      </w:divBdr>
                    </w:div>
                  </w:divsChild>
                </w:div>
                <w:div w:id="1745057962">
                  <w:marLeft w:val="0"/>
                  <w:marRight w:val="0"/>
                  <w:marTop w:val="0"/>
                  <w:marBottom w:val="0"/>
                  <w:divBdr>
                    <w:top w:val="none" w:sz="0" w:space="0" w:color="auto"/>
                    <w:left w:val="none" w:sz="0" w:space="0" w:color="auto"/>
                    <w:bottom w:val="single" w:sz="6" w:space="0" w:color="666666"/>
                    <w:right w:val="none" w:sz="0" w:space="0" w:color="auto"/>
                  </w:divBdr>
                  <w:divsChild>
                    <w:div w:id="207378234">
                      <w:marLeft w:val="0"/>
                      <w:marRight w:val="0"/>
                      <w:marTop w:val="0"/>
                      <w:marBottom w:val="0"/>
                      <w:divBdr>
                        <w:top w:val="none" w:sz="0" w:space="0" w:color="auto"/>
                        <w:left w:val="none" w:sz="0" w:space="0" w:color="auto"/>
                        <w:bottom w:val="none" w:sz="0" w:space="0" w:color="auto"/>
                        <w:right w:val="none" w:sz="0" w:space="0" w:color="auto"/>
                      </w:divBdr>
                    </w:div>
                  </w:divsChild>
                </w:div>
                <w:div w:id="468329562">
                  <w:marLeft w:val="0"/>
                  <w:marRight w:val="0"/>
                  <w:marTop w:val="0"/>
                  <w:marBottom w:val="0"/>
                  <w:divBdr>
                    <w:top w:val="none" w:sz="0" w:space="0" w:color="auto"/>
                    <w:left w:val="none" w:sz="0" w:space="0" w:color="auto"/>
                    <w:bottom w:val="single" w:sz="6" w:space="0" w:color="666666"/>
                    <w:right w:val="none" w:sz="0" w:space="0" w:color="auto"/>
                  </w:divBdr>
                  <w:divsChild>
                    <w:div w:id="1014108685">
                      <w:marLeft w:val="0"/>
                      <w:marRight w:val="0"/>
                      <w:marTop w:val="0"/>
                      <w:marBottom w:val="0"/>
                      <w:divBdr>
                        <w:top w:val="none" w:sz="0" w:space="0" w:color="auto"/>
                        <w:left w:val="none" w:sz="0" w:space="0" w:color="auto"/>
                        <w:bottom w:val="none" w:sz="0" w:space="0" w:color="auto"/>
                        <w:right w:val="none" w:sz="0" w:space="0" w:color="auto"/>
                      </w:divBdr>
                    </w:div>
                  </w:divsChild>
                </w:div>
                <w:div w:id="1234004007">
                  <w:marLeft w:val="0"/>
                  <w:marRight w:val="0"/>
                  <w:marTop w:val="0"/>
                  <w:marBottom w:val="0"/>
                  <w:divBdr>
                    <w:top w:val="none" w:sz="0" w:space="0" w:color="auto"/>
                    <w:left w:val="none" w:sz="0" w:space="0" w:color="auto"/>
                    <w:bottom w:val="single" w:sz="6" w:space="0" w:color="666666"/>
                    <w:right w:val="none" w:sz="0" w:space="0" w:color="auto"/>
                  </w:divBdr>
                  <w:divsChild>
                    <w:div w:id="299576829">
                      <w:marLeft w:val="0"/>
                      <w:marRight w:val="0"/>
                      <w:marTop w:val="0"/>
                      <w:marBottom w:val="0"/>
                      <w:divBdr>
                        <w:top w:val="none" w:sz="0" w:space="0" w:color="auto"/>
                        <w:left w:val="none" w:sz="0" w:space="0" w:color="auto"/>
                        <w:bottom w:val="none" w:sz="0" w:space="0" w:color="auto"/>
                        <w:right w:val="none" w:sz="0" w:space="0" w:color="auto"/>
                      </w:divBdr>
                    </w:div>
                  </w:divsChild>
                </w:div>
                <w:div w:id="1331447096">
                  <w:marLeft w:val="0"/>
                  <w:marRight w:val="0"/>
                  <w:marTop w:val="0"/>
                  <w:marBottom w:val="0"/>
                  <w:divBdr>
                    <w:top w:val="none" w:sz="0" w:space="0" w:color="auto"/>
                    <w:left w:val="none" w:sz="0" w:space="0" w:color="auto"/>
                    <w:bottom w:val="single" w:sz="6" w:space="0" w:color="666666"/>
                    <w:right w:val="none" w:sz="0" w:space="0" w:color="auto"/>
                  </w:divBdr>
                  <w:divsChild>
                    <w:div w:id="8739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041">
          <w:marLeft w:val="0"/>
          <w:marRight w:val="0"/>
          <w:marTop w:val="0"/>
          <w:marBottom w:val="0"/>
          <w:divBdr>
            <w:top w:val="none" w:sz="0" w:space="0" w:color="auto"/>
            <w:left w:val="none" w:sz="0" w:space="0" w:color="auto"/>
            <w:bottom w:val="none" w:sz="0" w:space="0" w:color="auto"/>
            <w:right w:val="none" w:sz="0" w:space="0" w:color="auto"/>
          </w:divBdr>
          <w:divsChild>
            <w:div w:id="865337551">
              <w:marLeft w:val="0"/>
              <w:marRight w:val="0"/>
              <w:marTop w:val="0"/>
              <w:marBottom w:val="0"/>
              <w:divBdr>
                <w:top w:val="none" w:sz="0" w:space="0" w:color="auto"/>
                <w:left w:val="none" w:sz="0" w:space="0" w:color="auto"/>
                <w:bottom w:val="single" w:sz="6" w:space="0" w:color="666666"/>
                <w:right w:val="none" w:sz="0" w:space="0" w:color="auto"/>
              </w:divBdr>
              <w:divsChild>
                <w:div w:id="976959414">
                  <w:marLeft w:val="0"/>
                  <w:marRight w:val="0"/>
                  <w:marTop w:val="0"/>
                  <w:marBottom w:val="0"/>
                  <w:divBdr>
                    <w:top w:val="none" w:sz="0" w:space="0" w:color="auto"/>
                    <w:left w:val="none" w:sz="0" w:space="0" w:color="auto"/>
                    <w:bottom w:val="none" w:sz="0" w:space="0" w:color="auto"/>
                    <w:right w:val="none" w:sz="0" w:space="0" w:color="auto"/>
                  </w:divBdr>
                  <w:divsChild>
                    <w:div w:id="284580652">
                      <w:marLeft w:val="0"/>
                      <w:marRight w:val="0"/>
                      <w:marTop w:val="0"/>
                      <w:marBottom w:val="0"/>
                      <w:divBdr>
                        <w:top w:val="none" w:sz="0" w:space="0" w:color="auto"/>
                        <w:left w:val="none" w:sz="0" w:space="0" w:color="auto"/>
                        <w:bottom w:val="single" w:sz="6" w:space="0" w:color="666666"/>
                        <w:right w:val="none" w:sz="0" w:space="0" w:color="auto"/>
                      </w:divBdr>
                    </w:div>
                  </w:divsChild>
                </w:div>
                <w:div w:id="687099545">
                  <w:marLeft w:val="0"/>
                  <w:marRight w:val="0"/>
                  <w:marTop w:val="0"/>
                  <w:marBottom w:val="0"/>
                  <w:divBdr>
                    <w:top w:val="none" w:sz="0" w:space="0" w:color="auto"/>
                    <w:left w:val="none" w:sz="0" w:space="0" w:color="auto"/>
                    <w:bottom w:val="none" w:sz="0" w:space="0" w:color="auto"/>
                    <w:right w:val="none" w:sz="0" w:space="0" w:color="auto"/>
                  </w:divBdr>
                  <w:divsChild>
                    <w:div w:id="1447693981">
                      <w:marLeft w:val="0"/>
                      <w:marRight w:val="0"/>
                      <w:marTop w:val="0"/>
                      <w:marBottom w:val="0"/>
                      <w:divBdr>
                        <w:top w:val="none" w:sz="0" w:space="0" w:color="auto"/>
                        <w:left w:val="none" w:sz="0" w:space="0" w:color="auto"/>
                        <w:bottom w:val="single" w:sz="6" w:space="0" w:color="666666"/>
                        <w:right w:val="none" w:sz="0" w:space="0" w:color="auto"/>
                      </w:divBdr>
                    </w:div>
                  </w:divsChild>
                </w:div>
                <w:div w:id="2021001714">
                  <w:marLeft w:val="0"/>
                  <w:marRight w:val="0"/>
                  <w:marTop w:val="0"/>
                  <w:marBottom w:val="0"/>
                  <w:divBdr>
                    <w:top w:val="none" w:sz="0" w:space="0" w:color="auto"/>
                    <w:left w:val="none" w:sz="0" w:space="0" w:color="auto"/>
                    <w:bottom w:val="none" w:sz="0" w:space="0" w:color="auto"/>
                    <w:right w:val="none" w:sz="0" w:space="0" w:color="auto"/>
                  </w:divBdr>
                  <w:divsChild>
                    <w:div w:id="1850291820">
                      <w:marLeft w:val="0"/>
                      <w:marRight w:val="0"/>
                      <w:marTop w:val="0"/>
                      <w:marBottom w:val="0"/>
                      <w:divBdr>
                        <w:top w:val="none" w:sz="0" w:space="0" w:color="auto"/>
                        <w:left w:val="none" w:sz="0" w:space="0" w:color="auto"/>
                        <w:bottom w:val="single" w:sz="6" w:space="0" w:color="666666"/>
                        <w:right w:val="none" w:sz="0" w:space="0" w:color="auto"/>
                      </w:divBdr>
                    </w:div>
                  </w:divsChild>
                </w:div>
                <w:div w:id="1231043642">
                  <w:marLeft w:val="0"/>
                  <w:marRight w:val="0"/>
                  <w:marTop w:val="0"/>
                  <w:marBottom w:val="0"/>
                  <w:divBdr>
                    <w:top w:val="none" w:sz="0" w:space="0" w:color="auto"/>
                    <w:left w:val="none" w:sz="0" w:space="0" w:color="auto"/>
                    <w:bottom w:val="none" w:sz="0" w:space="0" w:color="auto"/>
                    <w:right w:val="none" w:sz="0" w:space="0" w:color="auto"/>
                  </w:divBdr>
                  <w:divsChild>
                    <w:div w:id="259340437">
                      <w:marLeft w:val="0"/>
                      <w:marRight w:val="0"/>
                      <w:marTop w:val="0"/>
                      <w:marBottom w:val="0"/>
                      <w:divBdr>
                        <w:top w:val="none" w:sz="0" w:space="0" w:color="auto"/>
                        <w:left w:val="none" w:sz="0" w:space="0" w:color="auto"/>
                        <w:bottom w:val="single" w:sz="6" w:space="0" w:color="666666"/>
                        <w:right w:val="none" w:sz="0" w:space="0" w:color="auto"/>
                      </w:divBdr>
                    </w:div>
                  </w:divsChild>
                </w:div>
                <w:div w:id="1326083009">
                  <w:marLeft w:val="0"/>
                  <w:marRight w:val="0"/>
                  <w:marTop w:val="0"/>
                  <w:marBottom w:val="0"/>
                  <w:divBdr>
                    <w:top w:val="none" w:sz="0" w:space="0" w:color="auto"/>
                    <w:left w:val="none" w:sz="0" w:space="0" w:color="auto"/>
                    <w:bottom w:val="none" w:sz="0" w:space="0" w:color="auto"/>
                    <w:right w:val="none" w:sz="0" w:space="0" w:color="auto"/>
                  </w:divBdr>
                  <w:divsChild>
                    <w:div w:id="581985239">
                      <w:marLeft w:val="0"/>
                      <w:marRight w:val="0"/>
                      <w:marTop w:val="0"/>
                      <w:marBottom w:val="0"/>
                      <w:divBdr>
                        <w:top w:val="none" w:sz="0" w:space="0" w:color="auto"/>
                        <w:left w:val="none" w:sz="0" w:space="0" w:color="auto"/>
                        <w:bottom w:val="single" w:sz="6" w:space="0" w:color="666666"/>
                        <w:right w:val="none" w:sz="0" w:space="0" w:color="auto"/>
                      </w:divBdr>
                    </w:div>
                  </w:divsChild>
                </w:div>
                <w:div w:id="913664545">
                  <w:marLeft w:val="0"/>
                  <w:marRight w:val="0"/>
                  <w:marTop w:val="0"/>
                  <w:marBottom w:val="0"/>
                  <w:divBdr>
                    <w:top w:val="none" w:sz="0" w:space="0" w:color="auto"/>
                    <w:left w:val="none" w:sz="0" w:space="0" w:color="auto"/>
                    <w:bottom w:val="none" w:sz="0" w:space="0" w:color="auto"/>
                    <w:right w:val="none" w:sz="0" w:space="0" w:color="auto"/>
                  </w:divBdr>
                  <w:divsChild>
                    <w:div w:id="2045905185">
                      <w:marLeft w:val="0"/>
                      <w:marRight w:val="0"/>
                      <w:marTop w:val="0"/>
                      <w:marBottom w:val="0"/>
                      <w:divBdr>
                        <w:top w:val="none" w:sz="0" w:space="0" w:color="auto"/>
                        <w:left w:val="none" w:sz="0" w:space="0" w:color="auto"/>
                        <w:bottom w:val="single" w:sz="6" w:space="0" w:color="666666"/>
                        <w:right w:val="none" w:sz="0" w:space="0" w:color="auto"/>
                      </w:divBdr>
                    </w:div>
                  </w:divsChild>
                </w:div>
                <w:div w:id="1232082477">
                  <w:marLeft w:val="0"/>
                  <w:marRight w:val="0"/>
                  <w:marTop w:val="0"/>
                  <w:marBottom w:val="0"/>
                  <w:divBdr>
                    <w:top w:val="none" w:sz="0" w:space="0" w:color="auto"/>
                    <w:left w:val="none" w:sz="0" w:space="0" w:color="auto"/>
                    <w:bottom w:val="none" w:sz="0" w:space="0" w:color="auto"/>
                    <w:right w:val="none" w:sz="0" w:space="0" w:color="auto"/>
                  </w:divBdr>
                  <w:divsChild>
                    <w:div w:id="599993629">
                      <w:marLeft w:val="0"/>
                      <w:marRight w:val="0"/>
                      <w:marTop w:val="0"/>
                      <w:marBottom w:val="0"/>
                      <w:divBdr>
                        <w:top w:val="none" w:sz="0" w:space="0" w:color="auto"/>
                        <w:left w:val="none" w:sz="0" w:space="0" w:color="auto"/>
                        <w:bottom w:val="single" w:sz="6" w:space="0" w:color="666666"/>
                        <w:right w:val="none" w:sz="0" w:space="0" w:color="auto"/>
                      </w:divBdr>
                    </w:div>
                  </w:divsChild>
                </w:div>
                <w:div w:id="201285260">
                  <w:marLeft w:val="0"/>
                  <w:marRight w:val="0"/>
                  <w:marTop w:val="0"/>
                  <w:marBottom w:val="0"/>
                  <w:divBdr>
                    <w:top w:val="none" w:sz="0" w:space="0" w:color="auto"/>
                    <w:left w:val="none" w:sz="0" w:space="0" w:color="auto"/>
                    <w:bottom w:val="none" w:sz="0" w:space="0" w:color="auto"/>
                    <w:right w:val="none" w:sz="0" w:space="0" w:color="auto"/>
                  </w:divBdr>
                  <w:divsChild>
                    <w:div w:id="1286617889">
                      <w:marLeft w:val="0"/>
                      <w:marRight w:val="0"/>
                      <w:marTop w:val="0"/>
                      <w:marBottom w:val="0"/>
                      <w:divBdr>
                        <w:top w:val="none" w:sz="0" w:space="0" w:color="auto"/>
                        <w:left w:val="none" w:sz="0" w:space="0" w:color="auto"/>
                        <w:bottom w:val="single" w:sz="6" w:space="0" w:color="666666"/>
                        <w:right w:val="none" w:sz="0" w:space="0" w:color="auto"/>
                      </w:divBdr>
                    </w:div>
                  </w:divsChild>
                </w:div>
                <w:div w:id="41561137">
                  <w:marLeft w:val="0"/>
                  <w:marRight w:val="0"/>
                  <w:marTop w:val="0"/>
                  <w:marBottom w:val="0"/>
                  <w:divBdr>
                    <w:top w:val="none" w:sz="0" w:space="0" w:color="auto"/>
                    <w:left w:val="none" w:sz="0" w:space="0" w:color="auto"/>
                    <w:bottom w:val="none" w:sz="0" w:space="0" w:color="auto"/>
                    <w:right w:val="none" w:sz="0" w:space="0" w:color="auto"/>
                  </w:divBdr>
                  <w:divsChild>
                    <w:div w:id="875392388">
                      <w:marLeft w:val="0"/>
                      <w:marRight w:val="0"/>
                      <w:marTop w:val="0"/>
                      <w:marBottom w:val="0"/>
                      <w:divBdr>
                        <w:top w:val="none" w:sz="0" w:space="0" w:color="auto"/>
                        <w:left w:val="none" w:sz="0" w:space="0" w:color="auto"/>
                        <w:bottom w:val="single" w:sz="6" w:space="0" w:color="666666"/>
                        <w:right w:val="none" w:sz="0" w:space="0" w:color="auto"/>
                      </w:divBdr>
                    </w:div>
                  </w:divsChild>
                </w:div>
                <w:div w:id="6447522">
                  <w:marLeft w:val="0"/>
                  <w:marRight w:val="0"/>
                  <w:marTop w:val="0"/>
                  <w:marBottom w:val="0"/>
                  <w:divBdr>
                    <w:top w:val="none" w:sz="0" w:space="0" w:color="auto"/>
                    <w:left w:val="none" w:sz="0" w:space="0" w:color="auto"/>
                    <w:bottom w:val="none" w:sz="0" w:space="0" w:color="auto"/>
                    <w:right w:val="none" w:sz="0" w:space="0" w:color="auto"/>
                  </w:divBdr>
                  <w:divsChild>
                    <w:div w:id="1841776868">
                      <w:marLeft w:val="0"/>
                      <w:marRight w:val="0"/>
                      <w:marTop w:val="0"/>
                      <w:marBottom w:val="0"/>
                      <w:divBdr>
                        <w:top w:val="none" w:sz="0" w:space="0" w:color="auto"/>
                        <w:left w:val="none" w:sz="0" w:space="0" w:color="auto"/>
                        <w:bottom w:val="single" w:sz="6" w:space="0" w:color="666666"/>
                        <w:right w:val="none" w:sz="0" w:space="0" w:color="auto"/>
                      </w:divBdr>
                    </w:div>
                  </w:divsChild>
                </w:div>
              </w:divsChild>
            </w:div>
            <w:div w:id="1510025655">
              <w:marLeft w:val="0"/>
              <w:marRight w:val="0"/>
              <w:marTop w:val="0"/>
              <w:marBottom w:val="0"/>
              <w:divBdr>
                <w:top w:val="none" w:sz="0" w:space="0" w:color="auto"/>
                <w:left w:val="none" w:sz="0" w:space="0" w:color="auto"/>
                <w:bottom w:val="none" w:sz="0" w:space="0" w:color="auto"/>
                <w:right w:val="none" w:sz="0" w:space="0" w:color="auto"/>
              </w:divBdr>
              <w:divsChild>
                <w:div w:id="233242765">
                  <w:marLeft w:val="0"/>
                  <w:marRight w:val="0"/>
                  <w:marTop w:val="30"/>
                  <w:marBottom w:val="0"/>
                  <w:divBdr>
                    <w:top w:val="none" w:sz="0" w:space="0" w:color="auto"/>
                    <w:left w:val="none" w:sz="0" w:space="0" w:color="auto"/>
                    <w:bottom w:val="none" w:sz="0" w:space="0" w:color="auto"/>
                    <w:right w:val="none" w:sz="0" w:space="0" w:color="auto"/>
                  </w:divBdr>
                </w:div>
                <w:div w:id="661660922">
                  <w:marLeft w:val="0"/>
                  <w:marRight w:val="0"/>
                  <w:marTop w:val="30"/>
                  <w:marBottom w:val="0"/>
                  <w:divBdr>
                    <w:top w:val="none" w:sz="0" w:space="0" w:color="auto"/>
                    <w:left w:val="none" w:sz="0" w:space="0" w:color="auto"/>
                    <w:bottom w:val="none" w:sz="0" w:space="0" w:color="auto"/>
                    <w:right w:val="none" w:sz="0" w:space="0" w:color="auto"/>
                  </w:divBdr>
                </w:div>
                <w:div w:id="399720518">
                  <w:marLeft w:val="0"/>
                  <w:marRight w:val="0"/>
                  <w:marTop w:val="30"/>
                  <w:marBottom w:val="0"/>
                  <w:divBdr>
                    <w:top w:val="none" w:sz="0" w:space="0" w:color="auto"/>
                    <w:left w:val="none" w:sz="0" w:space="0" w:color="auto"/>
                    <w:bottom w:val="none" w:sz="0" w:space="0" w:color="auto"/>
                    <w:right w:val="none" w:sz="0" w:space="0" w:color="auto"/>
                  </w:divBdr>
                </w:div>
                <w:div w:id="1778329968">
                  <w:marLeft w:val="0"/>
                  <w:marRight w:val="0"/>
                  <w:marTop w:val="30"/>
                  <w:marBottom w:val="0"/>
                  <w:divBdr>
                    <w:top w:val="none" w:sz="0" w:space="0" w:color="auto"/>
                    <w:left w:val="none" w:sz="0" w:space="0" w:color="auto"/>
                    <w:bottom w:val="none" w:sz="0" w:space="0" w:color="auto"/>
                    <w:right w:val="none" w:sz="0" w:space="0" w:color="auto"/>
                  </w:divBdr>
                </w:div>
                <w:div w:id="1118373226">
                  <w:marLeft w:val="0"/>
                  <w:marRight w:val="0"/>
                  <w:marTop w:val="30"/>
                  <w:marBottom w:val="0"/>
                  <w:divBdr>
                    <w:top w:val="none" w:sz="0" w:space="0" w:color="auto"/>
                    <w:left w:val="none" w:sz="0" w:space="0" w:color="auto"/>
                    <w:bottom w:val="none" w:sz="0" w:space="0" w:color="auto"/>
                    <w:right w:val="none" w:sz="0" w:space="0" w:color="auto"/>
                  </w:divBdr>
                </w:div>
                <w:div w:id="1049766994">
                  <w:marLeft w:val="0"/>
                  <w:marRight w:val="0"/>
                  <w:marTop w:val="30"/>
                  <w:marBottom w:val="0"/>
                  <w:divBdr>
                    <w:top w:val="none" w:sz="0" w:space="0" w:color="auto"/>
                    <w:left w:val="none" w:sz="0" w:space="0" w:color="auto"/>
                    <w:bottom w:val="none" w:sz="0" w:space="0" w:color="auto"/>
                    <w:right w:val="none" w:sz="0" w:space="0" w:color="auto"/>
                  </w:divBdr>
                </w:div>
                <w:div w:id="1358698609">
                  <w:marLeft w:val="0"/>
                  <w:marRight w:val="0"/>
                  <w:marTop w:val="30"/>
                  <w:marBottom w:val="0"/>
                  <w:divBdr>
                    <w:top w:val="none" w:sz="0" w:space="0" w:color="auto"/>
                    <w:left w:val="none" w:sz="0" w:space="0" w:color="auto"/>
                    <w:bottom w:val="none" w:sz="0" w:space="0" w:color="auto"/>
                    <w:right w:val="none" w:sz="0" w:space="0" w:color="auto"/>
                  </w:divBdr>
                </w:div>
                <w:div w:id="896816143">
                  <w:marLeft w:val="0"/>
                  <w:marRight w:val="0"/>
                  <w:marTop w:val="30"/>
                  <w:marBottom w:val="0"/>
                  <w:divBdr>
                    <w:top w:val="none" w:sz="0" w:space="0" w:color="auto"/>
                    <w:left w:val="none" w:sz="0" w:space="0" w:color="auto"/>
                    <w:bottom w:val="none" w:sz="0" w:space="0" w:color="auto"/>
                    <w:right w:val="none" w:sz="0" w:space="0" w:color="auto"/>
                  </w:divBdr>
                </w:div>
                <w:div w:id="1763599826">
                  <w:marLeft w:val="0"/>
                  <w:marRight w:val="0"/>
                  <w:marTop w:val="30"/>
                  <w:marBottom w:val="0"/>
                  <w:divBdr>
                    <w:top w:val="none" w:sz="0" w:space="0" w:color="auto"/>
                    <w:left w:val="none" w:sz="0" w:space="0" w:color="auto"/>
                    <w:bottom w:val="none" w:sz="0" w:space="0" w:color="auto"/>
                    <w:right w:val="none" w:sz="0" w:space="0" w:color="auto"/>
                  </w:divBdr>
                </w:div>
                <w:div w:id="1296915108">
                  <w:marLeft w:val="0"/>
                  <w:marRight w:val="0"/>
                  <w:marTop w:val="30"/>
                  <w:marBottom w:val="0"/>
                  <w:divBdr>
                    <w:top w:val="none" w:sz="0" w:space="0" w:color="auto"/>
                    <w:left w:val="none" w:sz="0" w:space="0" w:color="auto"/>
                    <w:bottom w:val="none" w:sz="0" w:space="0" w:color="auto"/>
                    <w:right w:val="none" w:sz="0" w:space="0" w:color="auto"/>
                  </w:divBdr>
                </w:div>
              </w:divsChild>
            </w:div>
            <w:div w:id="304941256">
              <w:marLeft w:val="0"/>
              <w:marRight w:val="0"/>
              <w:marTop w:val="0"/>
              <w:marBottom w:val="0"/>
              <w:divBdr>
                <w:top w:val="none" w:sz="0" w:space="0" w:color="auto"/>
                <w:left w:val="none" w:sz="0" w:space="0" w:color="auto"/>
                <w:bottom w:val="none" w:sz="0" w:space="0" w:color="auto"/>
                <w:right w:val="none" w:sz="0" w:space="0" w:color="auto"/>
              </w:divBdr>
              <w:divsChild>
                <w:div w:id="1552383097">
                  <w:marLeft w:val="0"/>
                  <w:marRight w:val="0"/>
                  <w:marTop w:val="30"/>
                  <w:marBottom w:val="0"/>
                  <w:divBdr>
                    <w:top w:val="none" w:sz="0" w:space="0" w:color="auto"/>
                    <w:left w:val="none" w:sz="0" w:space="0" w:color="auto"/>
                    <w:bottom w:val="none" w:sz="0" w:space="0" w:color="auto"/>
                    <w:right w:val="none" w:sz="0" w:space="0" w:color="auto"/>
                  </w:divBdr>
                </w:div>
                <w:div w:id="1394814247">
                  <w:marLeft w:val="0"/>
                  <w:marRight w:val="0"/>
                  <w:marTop w:val="30"/>
                  <w:marBottom w:val="0"/>
                  <w:divBdr>
                    <w:top w:val="none" w:sz="0" w:space="0" w:color="auto"/>
                    <w:left w:val="none" w:sz="0" w:space="0" w:color="auto"/>
                    <w:bottom w:val="none" w:sz="0" w:space="0" w:color="auto"/>
                    <w:right w:val="none" w:sz="0" w:space="0" w:color="auto"/>
                  </w:divBdr>
                </w:div>
                <w:div w:id="1108547470">
                  <w:marLeft w:val="0"/>
                  <w:marRight w:val="0"/>
                  <w:marTop w:val="30"/>
                  <w:marBottom w:val="0"/>
                  <w:divBdr>
                    <w:top w:val="none" w:sz="0" w:space="0" w:color="auto"/>
                    <w:left w:val="none" w:sz="0" w:space="0" w:color="auto"/>
                    <w:bottom w:val="none" w:sz="0" w:space="0" w:color="auto"/>
                    <w:right w:val="none" w:sz="0" w:space="0" w:color="auto"/>
                  </w:divBdr>
                </w:div>
                <w:div w:id="568157889">
                  <w:marLeft w:val="0"/>
                  <w:marRight w:val="0"/>
                  <w:marTop w:val="30"/>
                  <w:marBottom w:val="0"/>
                  <w:divBdr>
                    <w:top w:val="none" w:sz="0" w:space="0" w:color="auto"/>
                    <w:left w:val="none" w:sz="0" w:space="0" w:color="auto"/>
                    <w:bottom w:val="none" w:sz="0" w:space="0" w:color="auto"/>
                    <w:right w:val="none" w:sz="0" w:space="0" w:color="auto"/>
                  </w:divBdr>
                </w:div>
                <w:div w:id="442727567">
                  <w:marLeft w:val="0"/>
                  <w:marRight w:val="0"/>
                  <w:marTop w:val="30"/>
                  <w:marBottom w:val="0"/>
                  <w:divBdr>
                    <w:top w:val="none" w:sz="0" w:space="0" w:color="auto"/>
                    <w:left w:val="none" w:sz="0" w:space="0" w:color="auto"/>
                    <w:bottom w:val="none" w:sz="0" w:space="0" w:color="auto"/>
                    <w:right w:val="none" w:sz="0" w:space="0" w:color="auto"/>
                  </w:divBdr>
                </w:div>
                <w:div w:id="630936348">
                  <w:marLeft w:val="0"/>
                  <w:marRight w:val="0"/>
                  <w:marTop w:val="30"/>
                  <w:marBottom w:val="0"/>
                  <w:divBdr>
                    <w:top w:val="none" w:sz="0" w:space="0" w:color="auto"/>
                    <w:left w:val="none" w:sz="0" w:space="0" w:color="auto"/>
                    <w:bottom w:val="none" w:sz="0" w:space="0" w:color="auto"/>
                    <w:right w:val="none" w:sz="0" w:space="0" w:color="auto"/>
                  </w:divBdr>
                </w:div>
                <w:div w:id="2083789909">
                  <w:marLeft w:val="0"/>
                  <w:marRight w:val="0"/>
                  <w:marTop w:val="30"/>
                  <w:marBottom w:val="0"/>
                  <w:divBdr>
                    <w:top w:val="none" w:sz="0" w:space="0" w:color="auto"/>
                    <w:left w:val="none" w:sz="0" w:space="0" w:color="auto"/>
                    <w:bottom w:val="none" w:sz="0" w:space="0" w:color="auto"/>
                    <w:right w:val="none" w:sz="0" w:space="0" w:color="auto"/>
                  </w:divBdr>
                </w:div>
                <w:div w:id="1970277282">
                  <w:marLeft w:val="0"/>
                  <w:marRight w:val="0"/>
                  <w:marTop w:val="30"/>
                  <w:marBottom w:val="0"/>
                  <w:divBdr>
                    <w:top w:val="none" w:sz="0" w:space="0" w:color="auto"/>
                    <w:left w:val="none" w:sz="0" w:space="0" w:color="auto"/>
                    <w:bottom w:val="none" w:sz="0" w:space="0" w:color="auto"/>
                    <w:right w:val="none" w:sz="0" w:space="0" w:color="auto"/>
                  </w:divBdr>
                </w:div>
                <w:div w:id="1661497683">
                  <w:marLeft w:val="0"/>
                  <w:marRight w:val="0"/>
                  <w:marTop w:val="30"/>
                  <w:marBottom w:val="0"/>
                  <w:divBdr>
                    <w:top w:val="none" w:sz="0" w:space="0" w:color="auto"/>
                    <w:left w:val="none" w:sz="0" w:space="0" w:color="auto"/>
                    <w:bottom w:val="none" w:sz="0" w:space="0" w:color="auto"/>
                    <w:right w:val="none" w:sz="0" w:space="0" w:color="auto"/>
                  </w:divBdr>
                </w:div>
                <w:div w:id="695160030">
                  <w:marLeft w:val="0"/>
                  <w:marRight w:val="0"/>
                  <w:marTop w:val="30"/>
                  <w:marBottom w:val="0"/>
                  <w:divBdr>
                    <w:top w:val="none" w:sz="0" w:space="0" w:color="auto"/>
                    <w:left w:val="none" w:sz="0" w:space="0" w:color="auto"/>
                    <w:bottom w:val="none" w:sz="0" w:space="0" w:color="auto"/>
                    <w:right w:val="none" w:sz="0" w:space="0" w:color="auto"/>
                  </w:divBdr>
                </w:div>
              </w:divsChild>
            </w:div>
            <w:div w:id="2025783792">
              <w:marLeft w:val="0"/>
              <w:marRight w:val="0"/>
              <w:marTop w:val="0"/>
              <w:marBottom w:val="0"/>
              <w:divBdr>
                <w:top w:val="none" w:sz="0" w:space="0" w:color="auto"/>
                <w:left w:val="none" w:sz="0" w:space="0" w:color="auto"/>
                <w:bottom w:val="none" w:sz="0" w:space="0" w:color="auto"/>
                <w:right w:val="none" w:sz="0" w:space="0" w:color="auto"/>
              </w:divBdr>
              <w:divsChild>
                <w:div w:id="2029674980">
                  <w:marLeft w:val="0"/>
                  <w:marRight w:val="0"/>
                  <w:marTop w:val="30"/>
                  <w:marBottom w:val="0"/>
                  <w:divBdr>
                    <w:top w:val="none" w:sz="0" w:space="0" w:color="auto"/>
                    <w:left w:val="none" w:sz="0" w:space="0" w:color="auto"/>
                    <w:bottom w:val="none" w:sz="0" w:space="0" w:color="auto"/>
                    <w:right w:val="none" w:sz="0" w:space="0" w:color="auto"/>
                  </w:divBdr>
                </w:div>
                <w:div w:id="491146911">
                  <w:marLeft w:val="0"/>
                  <w:marRight w:val="0"/>
                  <w:marTop w:val="30"/>
                  <w:marBottom w:val="0"/>
                  <w:divBdr>
                    <w:top w:val="none" w:sz="0" w:space="0" w:color="auto"/>
                    <w:left w:val="none" w:sz="0" w:space="0" w:color="auto"/>
                    <w:bottom w:val="none" w:sz="0" w:space="0" w:color="auto"/>
                    <w:right w:val="none" w:sz="0" w:space="0" w:color="auto"/>
                  </w:divBdr>
                </w:div>
                <w:div w:id="1013917348">
                  <w:marLeft w:val="0"/>
                  <w:marRight w:val="0"/>
                  <w:marTop w:val="30"/>
                  <w:marBottom w:val="0"/>
                  <w:divBdr>
                    <w:top w:val="none" w:sz="0" w:space="0" w:color="auto"/>
                    <w:left w:val="none" w:sz="0" w:space="0" w:color="auto"/>
                    <w:bottom w:val="none" w:sz="0" w:space="0" w:color="auto"/>
                    <w:right w:val="none" w:sz="0" w:space="0" w:color="auto"/>
                  </w:divBdr>
                </w:div>
                <w:div w:id="2126998599">
                  <w:marLeft w:val="0"/>
                  <w:marRight w:val="0"/>
                  <w:marTop w:val="30"/>
                  <w:marBottom w:val="0"/>
                  <w:divBdr>
                    <w:top w:val="none" w:sz="0" w:space="0" w:color="auto"/>
                    <w:left w:val="none" w:sz="0" w:space="0" w:color="auto"/>
                    <w:bottom w:val="none" w:sz="0" w:space="0" w:color="auto"/>
                    <w:right w:val="none" w:sz="0" w:space="0" w:color="auto"/>
                  </w:divBdr>
                </w:div>
                <w:div w:id="2063476607">
                  <w:marLeft w:val="0"/>
                  <w:marRight w:val="0"/>
                  <w:marTop w:val="30"/>
                  <w:marBottom w:val="0"/>
                  <w:divBdr>
                    <w:top w:val="none" w:sz="0" w:space="0" w:color="auto"/>
                    <w:left w:val="none" w:sz="0" w:space="0" w:color="auto"/>
                    <w:bottom w:val="none" w:sz="0" w:space="0" w:color="auto"/>
                    <w:right w:val="none" w:sz="0" w:space="0" w:color="auto"/>
                  </w:divBdr>
                </w:div>
                <w:div w:id="1394082542">
                  <w:marLeft w:val="0"/>
                  <w:marRight w:val="0"/>
                  <w:marTop w:val="30"/>
                  <w:marBottom w:val="0"/>
                  <w:divBdr>
                    <w:top w:val="none" w:sz="0" w:space="0" w:color="auto"/>
                    <w:left w:val="none" w:sz="0" w:space="0" w:color="auto"/>
                    <w:bottom w:val="none" w:sz="0" w:space="0" w:color="auto"/>
                    <w:right w:val="none" w:sz="0" w:space="0" w:color="auto"/>
                  </w:divBdr>
                </w:div>
                <w:div w:id="2110851585">
                  <w:marLeft w:val="0"/>
                  <w:marRight w:val="0"/>
                  <w:marTop w:val="30"/>
                  <w:marBottom w:val="0"/>
                  <w:divBdr>
                    <w:top w:val="none" w:sz="0" w:space="0" w:color="auto"/>
                    <w:left w:val="none" w:sz="0" w:space="0" w:color="auto"/>
                    <w:bottom w:val="none" w:sz="0" w:space="0" w:color="auto"/>
                    <w:right w:val="none" w:sz="0" w:space="0" w:color="auto"/>
                  </w:divBdr>
                </w:div>
                <w:div w:id="1091317330">
                  <w:marLeft w:val="0"/>
                  <w:marRight w:val="0"/>
                  <w:marTop w:val="30"/>
                  <w:marBottom w:val="0"/>
                  <w:divBdr>
                    <w:top w:val="none" w:sz="0" w:space="0" w:color="auto"/>
                    <w:left w:val="none" w:sz="0" w:space="0" w:color="auto"/>
                    <w:bottom w:val="none" w:sz="0" w:space="0" w:color="auto"/>
                    <w:right w:val="none" w:sz="0" w:space="0" w:color="auto"/>
                  </w:divBdr>
                </w:div>
                <w:div w:id="472217576">
                  <w:marLeft w:val="0"/>
                  <w:marRight w:val="0"/>
                  <w:marTop w:val="30"/>
                  <w:marBottom w:val="0"/>
                  <w:divBdr>
                    <w:top w:val="none" w:sz="0" w:space="0" w:color="auto"/>
                    <w:left w:val="none" w:sz="0" w:space="0" w:color="auto"/>
                    <w:bottom w:val="none" w:sz="0" w:space="0" w:color="auto"/>
                    <w:right w:val="none" w:sz="0" w:space="0" w:color="auto"/>
                  </w:divBdr>
                </w:div>
                <w:div w:id="568617911">
                  <w:marLeft w:val="0"/>
                  <w:marRight w:val="0"/>
                  <w:marTop w:val="30"/>
                  <w:marBottom w:val="0"/>
                  <w:divBdr>
                    <w:top w:val="none" w:sz="0" w:space="0" w:color="auto"/>
                    <w:left w:val="none" w:sz="0" w:space="0" w:color="auto"/>
                    <w:bottom w:val="none" w:sz="0" w:space="0" w:color="auto"/>
                    <w:right w:val="none" w:sz="0" w:space="0" w:color="auto"/>
                  </w:divBdr>
                </w:div>
              </w:divsChild>
            </w:div>
            <w:div w:id="1592275585">
              <w:marLeft w:val="0"/>
              <w:marRight w:val="0"/>
              <w:marTop w:val="0"/>
              <w:marBottom w:val="0"/>
              <w:divBdr>
                <w:top w:val="none" w:sz="0" w:space="0" w:color="auto"/>
                <w:left w:val="none" w:sz="0" w:space="0" w:color="auto"/>
                <w:bottom w:val="none" w:sz="0" w:space="0" w:color="auto"/>
                <w:right w:val="none" w:sz="0" w:space="0" w:color="auto"/>
              </w:divBdr>
              <w:divsChild>
                <w:div w:id="1727993000">
                  <w:marLeft w:val="0"/>
                  <w:marRight w:val="0"/>
                  <w:marTop w:val="30"/>
                  <w:marBottom w:val="0"/>
                  <w:divBdr>
                    <w:top w:val="none" w:sz="0" w:space="0" w:color="auto"/>
                    <w:left w:val="none" w:sz="0" w:space="0" w:color="auto"/>
                    <w:bottom w:val="none" w:sz="0" w:space="0" w:color="auto"/>
                    <w:right w:val="none" w:sz="0" w:space="0" w:color="auto"/>
                  </w:divBdr>
                </w:div>
                <w:div w:id="254096408">
                  <w:marLeft w:val="0"/>
                  <w:marRight w:val="0"/>
                  <w:marTop w:val="30"/>
                  <w:marBottom w:val="0"/>
                  <w:divBdr>
                    <w:top w:val="none" w:sz="0" w:space="0" w:color="auto"/>
                    <w:left w:val="none" w:sz="0" w:space="0" w:color="auto"/>
                    <w:bottom w:val="none" w:sz="0" w:space="0" w:color="auto"/>
                    <w:right w:val="none" w:sz="0" w:space="0" w:color="auto"/>
                  </w:divBdr>
                </w:div>
                <w:div w:id="148255185">
                  <w:marLeft w:val="0"/>
                  <w:marRight w:val="0"/>
                  <w:marTop w:val="30"/>
                  <w:marBottom w:val="0"/>
                  <w:divBdr>
                    <w:top w:val="none" w:sz="0" w:space="0" w:color="auto"/>
                    <w:left w:val="none" w:sz="0" w:space="0" w:color="auto"/>
                    <w:bottom w:val="none" w:sz="0" w:space="0" w:color="auto"/>
                    <w:right w:val="none" w:sz="0" w:space="0" w:color="auto"/>
                  </w:divBdr>
                </w:div>
                <w:div w:id="916133045">
                  <w:marLeft w:val="0"/>
                  <w:marRight w:val="0"/>
                  <w:marTop w:val="30"/>
                  <w:marBottom w:val="0"/>
                  <w:divBdr>
                    <w:top w:val="none" w:sz="0" w:space="0" w:color="auto"/>
                    <w:left w:val="none" w:sz="0" w:space="0" w:color="auto"/>
                    <w:bottom w:val="none" w:sz="0" w:space="0" w:color="auto"/>
                    <w:right w:val="none" w:sz="0" w:space="0" w:color="auto"/>
                  </w:divBdr>
                </w:div>
                <w:div w:id="1819421308">
                  <w:marLeft w:val="0"/>
                  <w:marRight w:val="0"/>
                  <w:marTop w:val="30"/>
                  <w:marBottom w:val="0"/>
                  <w:divBdr>
                    <w:top w:val="none" w:sz="0" w:space="0" w:color="auto"/>
                    <w:left w:val="none" w:sz="0" w:space="0" w:color="auto"/>
                    <w:bottom w:val="none" w:sz="0" w:space="0" w:color="auto"/>
                    <w:right w:val="none" w:sz="0" w:space="0" w:color="auto"/>
                  </w:divBdr>
                </w:div>
                <w:div w:id="1673219326">
                  <w:marLeft w:val="0"/>
                  <w:marRight w:val="0"/>
                  <w:marTop w:val="30"/>
                  <w:marBottom w:val="0"/>
                  <w:divBdr>
                    <w:top w:val="none" w:sz="0" w:space="0" w:color="auto"/>
                    <w:left w:val="none" w:sz="0" w:space="0" w:color="auto"/>
                    <w:bottom w:val="none" w:sz="0" w:space="0" w:color="auto"/>
                    <w:right w:val="none" w:sz="0" w:space="0" w:color="auto"/>
                  </w:divBdr>
                </w:div>
                <w:div w:id="996305488">
                  <w:marLeft w:val="0"/>
                  <w:marRight w:val="0"/>
                  <w:marTop w:val="30"/>
                  <w:marBottom w:val="0"/>
                  <w:divBdr>
                    <w:top w:val="none" w:sz="0" w:space="0" w:color="auto"/>
                    <w:left w:val="none" w:sz="0" w:space="0" w:color="auto"/>
                    <w:bottom w:val="none" w:sz="0" w:space="0" w:color="auto"/>
                    <w:right w:val="none" w:sz="0" w:space="0" w:color="auto"/>
                  </w:divBdr>
                </w:div>
                <w:div w:id="947277308">
                  <w:marLeft w:val="0"/>
                  <w:marRight w:val="0"/>
                  <w:marTop w:val="30"/>
                  <w:marBottom w:val="0"/>
                  <w:divBdr>
                    <w:top w:val="none" w:sz="0" w:space="0" w:color="auto"/>
                    <w:left w:val="none" w:sz="0" w:space="0" w:color="auto"/>
                    <w:bottom w:val="none" w:sz="0" w:space="0" w:color="auto"/>
                    <w:right w:val="none" w:sz="0" w:space="0" w:color="auto"/>
                  </w:divBdr>
                </w:div>
                <w:div w:id="1548562585">
                  <w:marLeft w:val="0"/>
                  <w:marRight w:val="0"/>
                  <w:marTop w:val="30"/>
                  <w:marBottom w:val="0"/>
                  <w:divBdr>
                    <w:top w:val="none" w:sz="0" w:space="0" w:color="auto"/>
                    <w:left w:val="none" w:sz="0" w:space="0" w:color="auto"/>
                    <w:bottom w:val="none" w:sz="0" w:space="0" w:color="auto"/>
                    <w:right w:val="none" w:sz="0" w:space="0" w:color="auto"/>
                  </w:divBdr>
                </w:div>
                <w:div w:id="1762527201">
                  <w:marLeft w:val="0"/>
                  <w:marRight w:val="0"/>
                  <w:marTop w:val="30"/>
                  <w:marBottom w:val="0"/>
                  <w:divBdr>
                    <w:top w:val="none" w:sz="0" w:space="0" w:color="auto"/>
                    <w:left w:val="none" w:sz="0" w:space="0" w:color="auto"/>
                    <w:bottom w:val="none" w:sz="0" w:space="0" w:color="auto"/>
                    <w:right w:val="none" w:sz="0" w:space="0" w:color="auto"/>
                  </w:divBdr>
                </w:div>
              </w:divsChild>
            </w:div>
            <w:div w:id="841240293">
              <w:marLeft w:val="0"/>
              <w:marRight w:val="0"/>
              <w:marTop w:val="0"/>
              <w:marBottom w:val="0"/>
              <w:divBdr>
                <w:top w:val="none" w:sz="0" w:space="0" w:color="auto"/>
                <w:left w:val="none" w:sz="0" w:space="0" w:color="auto"/>
                <w:bottom w:val="none" w:sz="0" w:space="0" w:color="auto"/>
                <w:right w:val="none" w:sz="0" w:space="0" w:color="auto"/>
              </w:divBdr>
              <w:divsChild>
                <w:div w:id="399911716">
                  <w:marLeft w:val="0"/>
                  <w:marRight w:val="0"/>
                  <w:marTop w:val="30"/>
                  <w:marBottom w:val="0"/>
                  <w:divBdr>
                    <w:top w:val="none" w:sz="0" w:space="0" w:color="auto"/>
                    <w:left w:val="none" w:sz="0" w:space="0" w:color="auto"/>
                    <w:bottom w:val="none" w:sz="0" w:space="0" w:color="auto"/>
                    <w:right w:val="none" w:sz="0" w:space="0" w:color="auto"/>
                  </w:divBdr>
                </w:div>
                <w:div w:id="523591852">
                  <w:marLeft w:val="0"/>
                  <w:marRight w:val="0"/>
                  <w:marTop w:val="30"/>
                  <w:marBottom w:val="0"/>
                  <w:divBdr>
                    <w:top w:val="none" w:sz="0" w:space="0" w:color="auto"/>
                    <w:left w:val="none" w:sz="0" w:space="0" w:color="auto"/>
                    <w:bottom w:val="none" w:sz="0" w:space="0" w:color="auto"/>
                    <w:right w:val="none" w:sz="0" w:space="0" w:color="auto"/>
                  </w:divBdr>
                </w:div>
                <w:div w:id="978194123">
                  <w:marLeft w:val="0"/>
                  <w:marRight w:val="0"/>
                  <w:marTop w:val="30"/>
                  <w:marBottom w:val="0"/>
                  <w:divBdr>
                    <w:top w:val="none" w:sz="0" w:space="0" w:color="auto"/>
                    <w:left w:val="none" w:sz="0" w:space="0" w:color="auto"/>
                    <w:bottom w:val="none" w:sz="0" w:space="0" w:color="auto"/>
                    <w:right w:val="none" w:sz="0" w:space="0" w:color="auto"/>
                  </w:divBdr>
                </w:div>
                <w:div w:id="133917429">
                  <w:marLeft w:val="0"/>
                  <w:marRight w:val="0"/>
                  <w:marTop w:val="30"/>
                  <w:marBottom w:val="0"/>
                  <w:divBdr>
                    <w:top w:val="none" w:sz="0" w:space="0" w:color="auto"/>
                    <w:left w:val="none" w:sz="0" w:space="0" w:color="auto"/>
                    <w:bottom w:val="none" w:sz="0" w:space="0" w:color="auto"/>
                    <w:right w:val="none" w:sz="0" w:space="0" w:color="auto"/>
                  </w:divBdr>
                </w:div>
                <w:div w:id="1831483233">
                  <w:marLeft w:val="0"/>
                  <w:marRight w:val="0"/>
                  <w:marTop w:val="30"/>
                  <w:marBottom w:val="0"/>
                  <w:divBdr>
                    <w:top w:val="none" w:sz="0" w:space="0" w:color="auto"/>
                    <w:left w:val="none" w:sz="0" w:space="0" w:color="auto"/>
                    <w:bottom w:val="none" w:sz="0" w:space="0" w:color="auto"/>
                    <w:right w:val="none" w:sz="0" w:space="0" w:color="auto"/>
                  </w:divBdr>
                </w:div>
                <w:div w:id="616717216">
                  <w:marLeft w:val="0"/>
                  <w:marRight w:val="0"/>
                  <w:marTop w:val="30"/>
                  <w:marBottom w:val="0"/>
                  <w:divBdr>
                    <w:top w:val="none" w:sz="0" w:space="0" w:color="auto"/>
                    <w:left w:val="none" w:sz="0" w:space="0" w:color="auto"/>
                    <w:bottom w:val="none" w:sz="0" w:space="0" w:color="auto"/>
                    <w:right w:val="none" w:sz="0" w:space="0" w:color="auto"/>
                  </w:divBdr>
                </w:div>
                <w:div w:id="475149803">
                  <w:marLeft w:val="0"/>
                  <w:marRight w:val="0"/>
                  <w:marTop w:val="30"/>
                  <w:marBottom w:val="0"/>
                  <w:divBdr>
                    <w:top w:val="none" w:sz="0" w:space="0" w:color="auto"/>
                    <w:left w:val="none" w:sz="0" w:space="0" w:color="auto"/>
                    <w:bottom w:val="none" w:sz="0" w:space="0" w:color="auto"/>
                    <w:right w:val="none" w:sz="0" w:space="0" w:color="auto"/>
                  </w:divBdr>
                </w:div>
                <w:div w:id="2100831579">
                  <w:marLeft w:val="0"/>
                  <w:marRight w:val="0"/>
                  <w:marTop w:val="30"/>
                  <w:marBottom w:val="0"/>
                  <w:divBdr>
                    <w:top w:val="none" w:sz="0" w:space="0" w:color="auto"/>
                    <w:left w:val="none" w:sz="0" w:space="0" w:color="auto"/>
                    <w:bottom w:val="none" w:sz="0" w:space="0" w:color="auto"/>
                    <w:right w:val="none" w:sz="0" w:space="0" w:color="auto"/>
                  </w:divBdr>
                </w:div>
                <w:div w:id="582841411">
                  <w:marLeft w:val="0"/>
                  <w:marRight w:val="0"/>
                  <w:marTop w:val="30"/>
                  <w:marBottom w:val="0"/>
                  <w:divBdr>
                    <w:top w:val="none" w:sz="0" w:space="0" w:color="auto"/>
                    <w:left w:val="none" w:sz="0" w:space="0" w:color="auto"/>
                    <w:bottom w:val="none" w:sz="0" w:space="0" w:color="auto"/>
                    <w:right w:val="none" w:sz="0" w:space="0" w:color="auto"/>
                  </w:divBdr>
                </w:div>
                <w:div w:id="1768967815">
                  <w:marLeft w:val="0"/>
                  <w:marRight w:val="0"/>
                  <w:marTop w:val="30"/>
                  <w:marBottom w:val="0"/>
                  <w:divBdr>
                    <w:top w:val="none" w:sz="0" w:space="0" w:color="auto"/>
                    <w:left w:val="none" w:sz="0" w:space="0" w:color="auto"/>
                    <w:bottom w:val="none" w:sz="0" w:space="0" w:color="auto"/>
                    <w:right w:val="none" w:sz="0" w:space="0" w:color="auto"/>
                  </w:divBdr>
                </w:div>
              </w:divsChild>
            </w:div>
            <w:div w:id="1656689635">
              <w:marLeft w:val="0"/>
              <w:marRight w:val="0"/>
              <w:marTop w:val="0"/>
              <w:marBottom w:val="0"/>
              <w:divBdr>
                <w:top w:val="none" w:sz="0" w:space="0" w:color="auto"/>
                <w:left w:val="none" w:sz="0" w:space="0" w:color="auto"/>
                <w:bottom w:val="none" w:sz="0" w:space="0" w:color="auto"/>
                <w:right w:val="none" w:sz="0" w:space="0" w:color="auto"/>
              </w:divBdr>
              <w:divsChild>
                <w:div w:id="1106845153">
                  <w:marLeft w:val="0"/>
                  <w:marRight w:val="0"/>
                  <w:marTop w:val="30"/>
                  <w:marBottom w:val="0"/>
                  <w:divBdr>
                    <w:top w:val="none" w:sz="0" w:space="0" w:color="auto"/>
                    <w:left w:val="none" w:sz="0" w:space="0" w:color="auto"/>
                    <w:bottom w:val="none" w:sz="0" w:space="0" w:color="auto"/>
                    <w:right w:val="none" w:sz="0" w:space="0" w:color="auto"/>
                  </w:divBdr>
                </w:div>
                <w:div w:id="1134559359">
                  <w:marLeft w:val="0"/>
                  <w:marRight w:val="0"/>
                  <w:marTop w:val="30"/>
                  <w:marBottom w:val="0"/>
                  <w:divBdr>
                    <w:top w:val="none" w:sz="0" w:space="0" w:color="auto"/>
                    <w:left w:val="none" w:sz="0" w:space="0" w:color="auto"/>
                    <w:bottom w:val="none" w:sz="0" w:space="0" w:color="auto"/>
                    <w:right w:val="none" w:sz="0" w:space="0" w:color="auto"/>
                  </w:divBdr>
                </w:div>
                <w:div w:id="2146190566">
                  <w:marLeft w:val="0"/>
                  <w:marRight w:val="0"/>
                  <w:marTop w:val="30"/>
                  <w:marBottom w:val="0"/>
                  <w:divBdr>
                    <w:top w:val="none" w:sz="0" w:space="0" w:color="auto"/>
                    <w:left w:val="none" w:sz="0" w:space="0" w:color="auto"/>
                    <w:bottom w:val="none" w:sz="0" w:space="0" w:color="auto"/>
                    <w:right w:val="none" w:sz="0" w:space="0" w:color="auto"/>
                  </w:divBdr>
                </w:div>
                <w:div w:id="1296377075">
                  <w:marLeft w:val="0"/>
                  <w:marRight w:val="0"/>
                  <w:marTop w:val="30"/>
                  <w:marBottom w:val="0"/>
                  <w:divBdr>
                    <w:top w:val="none" w:sz="0" w:space="0" w:color="auto"/>
                    <w:left w:val="none" w:sz="0" w:space="0" w:color="auto"/>
                    <w:bottom w:val="none" w:sz="0" w:space="0" w:color="auto"/>
                    <w:right w:val="none" w:sz="0" w:space="0" w:color="auto"/>
                  </w:divBdr>
                </w:div>
                <w:div w:id="401099585">
                  <w:marLeft w:val="0"/>
                  <w:marRight w:val="0"/>
                  <w:marTop w:val="30"/>
                  <w:marBottom w:val="0"/>
                  <w:divBdr>
                    <w:top w:val="none" w:sz="0" w:space="0" w:color="auto"/>
                    <w:left w:val="none" w:sz="0" w:space="0" w:color="auto"/>
                    <w:bottom w:val="none" w:sz="0" w:space="0" w:color="auto"/>
                    <w:right w:val="none" w:sz="0" w:space="0" w:color="auto"/>
                  </w:divBdr>
                </w:div>
                <w:div w:id="631134718">
                  <w:marLeft w:val="0"/>
                  <w:marRight w:val="0"/>
                  <w:marTop w:val="30"/>
                  <w:marBottom w:val="0"/>
                  <w:divBdr>
                    <w:top w:val="none" w:sz="0" w:space="0" w:color="auto"/>
                    <w:left w:val="none" w:sz="0" w:space="0" w:color="auto"/>
                    <w:bottom w:val="none" w:sz="0" w:space="0" w:color="auto"/>
                    <w:right w:val="none" w:sz="0" w:space="0" w:color="auto"/>
                  </w:divBdr>
                </w:div>
                <w:div w:id="2084327717">
                  <w:marLeft w:val="0"/>
                  <w:marRight w:val="0"/>
                  <w:marTop w:val="30"/>
                  <w:marBottom w:val="0"/>
                  <w:divBdr>
                    <w:top w:val="none" w:sz="0" w:space="0" w:color="auto"/>
                    <w:left w:val="none" w:sz="0" w:space="0" w:color="auto"/>
                    <w:bottom w:val="none" w:sz="0" w:space="0" w:color="auto"/>
                    <w:right w:val="none" w:sz="0" w:space="0" w:color="auto"/>
                  </w:divBdr>
                </w:div>
                <w:div w:id="640421598">
                  <w:marLeft w:val="0"/>
                  <w:marRight w:val="0"/>
                  <w:marTop w:val="30"/>
                  <w:marBottom w:val="0"/>
                  <w:divBdr>
                    <w:top w:val="none" w:sz="0" w:space="0" w:color="auto"/>
                    <w:left w:val="none" w:sz="0" w:space="0" w:color="auto"/>
                    <w:bottom w:val="none" w:sz="0" w:space="0" w:color="auto"/>
                    <w:right w:val="none" w:sz="0" w:space="0" w:color="auto"/>
                  </w:divBdr>
                </w:div>
                <w:div w:id="1833641400">
                  <w:marLeft w:val="0"/>
                  <w:marRight w:val="0"/>
                  <w:marTop w:val="30"/>
                  <w:marBottom w:val="0"/>
                  <w:divBdr>
                    <w:top w:val="none" w:sz="0" w:space="0" w:color="auto"/>
                    <w:left w:val="none" w:sz="0" w:space="0" w:color="auto"/>
                    <w:bottom w:val="none" w:sz="0" w:space="0" w:color="auto"/>
                    <w:right w:val="none" w:sz="0" w:space="0" w:color="auto"/>
                  </w:divBdr>
                </w:div>
                <w:div w:id="419376143">
                  <w:marLeft w:val="0"/>
                  <w:marRight w:val="0"/>
                  <w:marTop w:val="30"/>
                  <w:marBottom w:val="0"/>
                  <w:divBdr>
                    <w:top w:val="none" w:sz="0" w:space="0" w:color="auto"/>
                    <w:left w:val="none" w:sz="0" w:space="0" w:color="auto"/>
                    <w:bottom w:val="none" w:sz="0" w:space="0" w:color="auto"/>
                    <w:right w:val="none" w:sz="0" w:space="0" w:color="auto"/>
                  </w:divBdr>
                </w:div>
              </w:divsChild>
            </w:div>
            <w:div w:id="1591500405">
              <w:marLeft w:val="0"/>
              <w:marRight w:val="0"/>
              <w:marTop w:val="0"/>
              <w:marBottom w:val="0"/>
              <w:divBdr>
                <w:top w:val="none" w:sz="0" w:space="0" w:color="auto"/>
                <w:left w:val="none" w:sz="0" w:space="0" w:color="auto"/>
                <w:bottom w:val="none" w:sz="0" w:space="0" w:color="auto"/>
                <w:right w:val="none" w:sz="0" w:space="0" w:color="auto"/>
              </w:divBdr>
              <w:divsChild>
                <w:div w:id="1943298071">
                  <w:marLeft w:val="0"/>
                  <w:marRight w:val="0"/>
                  <w:marTop w:val="30"/>
                  <w:marBottom w:val="0"/>
                  <w:divBdr>
                    <w:top w:val="none" w:sz="0" w:space="0" w:color="auto"/>
                    <w:left w:val="none" w:sz="0" w:space="0" w:color="auto"/>
                    <w:bottom w:val="none" w:sz="0" w:space="0" w:color="auto"/>
                    <w:right w:val="none" w:sz="0" w:space="0" w:color="auto"/>
                  </w:divBdr>
                </w:div>
                <w:div w:id="144245079">
                  <w:marLeft w:val="0"/>
                  <w:marRight w:val="0"/>
                  <w:marTop w:val="30"/>
                  <w:marBottom w:val="0"/>
                  <w:divBdr>
                    <w:top w:val="none" w:sz="0" w:space="0" w:color="auto"/>
                    <w:left w:val="none" w:sz="0" w:space="0" w:color="auto"/>
                    <w:bottom w:val="none" w:sz="0" w:space="0" w:color="auto"/>
                    <w:right w:val="none" w:sz="0" w:space="0" w:color="auto"/>
                  </w:divBdr>
                </w:div>
                <w:div w:id="1665432877">
                  <w:marLeft w:val="0"/>
                  <w:marRight w:val="0"/>
                  <w:marTop w:val="30"/>
                  <w:marBottom w:val="0"/>
                  <w:divBdr>
                    <w:top w:val="none" w:sz="0" w:space="0" w:color="auto"/>
                    <w:left w:val="none" w:sz="0" w:space="0" w:color="auto"/>
                    <w:bottom w:val="none" w:sz="0" w:space="0" w:color="auto"/>
                    <w:right w:val="none" w:sz="0" w:space="0" w:color="auto"/>
                  </w:divBdr>
                </w:div>
                <w:div w:id="1743289975">
                  <w:marLeft w:val="0"/>
                  <w:marRight w:val="0"/>
                  <w:marTop w:val="30"/>
                  <w:marBottom w:val="0"/>
                  <w:divBdr>
                    <w:top w:val="none" w:sz="0" w:space="0" w:color="auto"/>
                    <w:left w:val="none" w:sz="0" w:space="0" w:color="auto"/>
                    <w:bottom w:val="none" w:sz="0" w:space="0" w:color="auto"/>
                    <w:right w:val="none" w:sz="0" w:space="0" w:color="auto"/>
                  </w:divBdr>
                </w:div>
                <w:div w:id="1319531322">
                  <w:marLeft w:val="0"/>
                  <w:marRight w:val="0"/>
                  <w:marTop w:val="30"/>
                  <w:marBottom w:val="0"/>
                  <w:divBdr>
                    <w:top w:val="none" w:sz="0" w:space="0" w:color="auto"/>
                    <w:left w:val="none" w:sz="0" w:space="0" w:color="auto"/>
                    <w:bottom w:val="none" w:sz="0" w:space="0" w:color="auto"/>
                    <w:right w:val="none" w:sz="0" w:space="0" w:color="auto"/>
                  </w:divBdr>
                </w:div>
                <w:div w:id="614096551">
                  <w:marLeft w:val="0"/>
                  <w:marRight w:val="0"/>
                  <w:marTop w:val="30"/>
                  <w:marBottom w:val="0"/>
                  <w:divBdr>
                    <w:top w:val="none" w:sz="0" w:space="0" w:color="auto"/>
                    <w:left w:val="none" w:sz="0" w:space="0" w:color="auto"/>
                    <w:bottom w:val="none" w:sz="0" w:space="0" w:color="auto"/>
                    <w:right w:val="none" w:sz="0" w:space="0" w:color="auto"/>
                  </w:divBdr>
                </w:div>
                <w:div w:id="1309475261">
                  <w:marLeft w:val="0"/>
                  <w:marRight w:val="0"/>
                  <w:marTop w:val="30"/>
                  <w:marBottom w:val="0"/>
                  <w:divBdr>
                    <w:top w:val="none" w:sz="0" w:space="0" w:color="auto"/>
                    <w:left w:val="none" w:sz="0" w:space="0" w:color="auto"/>
                    <w:bottom w:val="none" w:sz="0" w:space="0" w:color="auto"/>
                    <w:right w:val="none" w:sz="0" w:space="0" w:color="auto"/>
                  </w:divBdr>
                </w:div>
                <w:div w:id="964694726">
                  <w:marLeft w:val="0"/>
                  <w:marRight w:val="0"/>
                  <w:marTop w:val="30"/>
                  <w:marBottom w:val="0"/>
                  <w:divBdr>
                    <w:top w:val="none" w:sz="0" w:space="0" w:color="auto"/>
                    <w:left w:val="none" w:sz="0" w:space="0" w:color="auto"/>
                    <w:bottom w:val="none" w:sz="0" w:space="0" w:color="auto"/>
                    <w:right w:val="none" w:sz="0" w:space="0" w:color="auto"/>
                  </w:divBdr>
                </w:div>
                <w:div w:id="916718263">
                  <w:marLeft w:val="0"/>
                  <w:marRight w:val="0"/>
                  <w:marTop w:val="30"/>
                  <w:marBottom w:val="0"/>
                  <w:divBdr>
                    <w:top w:val="none" w:sz="0" w:space="0" w:color="auto"/>
                    <w:left w:val="none" w:sz="0" w:space="0" w:color="auto"/>
                    <w:bottom w:val="none" w:sz="0" w:space="0" w:color="auto"/>
                    <w:right w:val="none" w:sz="0" w:space="0" w:color="auto"/>
                  </w:divBdr>
                </w:div>
                <w:div w:id="980959876">
                  <w:marLeft w:val="0"/>
                  <w:marRight w:val="0"/>
                  <w:marTop w:val="30"/>
                  <w:marBottom w:val="0"/>
                  <w:divBdr>
                    <w:top w:val="none" w:sz="0" w:space="0" w:color="auto"/>
                    <w:left w:val="none" w:sz="0" w:space="0" w:color="auto"/>
                    <w:bottom w:val="none" w:sz="0" w:space="0" w:color="auto"/>
                    <w:right w:val="none" w:sz="0" w:space="0" w:color="auto"/>
                  </w:divBdr>
                </w:div>
              </w:divsChild>
            </w:div>
            <w:div w:id="1774086825">
              <w:marLeft w:val="0"/>
              <w:marRight w:val="0"/>
              <w:marTop w:val="0"/>
              <w:marBottom w:val="0"/>
              <w:divBdr>
                <w:top w:val="none" w:sz="0" w:space="0" w:color="auto"/>
                <w:left w:val="none" w:sz="0" w:space="0" w:color="auto"/>
                <w:bottom w:val="none" w:sz="0" w:space="0" w:color="auto"/>
                <w:right w:val="none" w:sz="0" w:space="0" w:color="auto"/>
              </w:divBdr>
              <w:divsChild>
                <w:div w:id="1525905341">
                  <w:marLeft w:val="0"/>
                  <w:marRight w:val="0"/>
                  <w:marTop w:val="30"/>
                  <w:marBottom w:val="0"/>
                  <w:divBdr>
                    <w:top w:val="none" w:sz="0" w:space="0" w:color="auto"/>
                    <w:left w:val="none" w:sz="0" w:space="0" w:color="auto"/>
                    <w:bottom w:val="none" w:sz="0" w:space="0" w:color="auto"/>
                    <w:right w:val="none" w:sz="0" w:space="0" w:color="auto"/>
                  </w:divBdr>
                </w:div>
                <w:div w:id="671955568">
                  <w:marLeft w:val="0"/>
                  <w:marRight w:val="0"/>
                  <w:marTop w:val="30"/>
                  <w:marBottom w:val="0"/>
                  <w:divBdr>
                    <w:top w:val="none" w:sz="0" w:space="0" w:color="auto"/>
                    <w:left w:val="none" w:sz="0" w:space="0" w:color="auto"/>
                    <w:bottom w:val="none" w:sz="0" w:space="0" w:color="auto"/>
                    <w:right w:val="none" w:sz="0" w:space="0" w:color="auto"/>
                  </w:divBdr>
                </w:div>
                <w:div w:id="1673797738">
                  <w:marLeft w:val="0"/>
                  <w:marRight w:val="0"/>
                  <w:marTop w:val="30"/>
                  <w:marBottom w:val="0"/>
                  <w:divBdr>
                    <w:top w:val="none" w:sz="0" w:space="0" w:color="auto"/>
                    <w:left w:val="none" w:sz="0" w:space="0" w:color="auto"/>
                    <w:bottom w:val="none" w:sz="0" w:space="0" w:color="auto"/>
                    <w:right w:val="none" w:sz="0" w:space="0" w:color="auto"/>
                  </w:divBdr>
                </w:div>
                <w:div w:id="123040536">
                  <w:marLeft w:val="0"/>
                  <w:marRight w:val="0"/>
                  <w:marTop w:val="30"/>
                  <w:marBottom w:val="0"/>
                  <w:divBdr>
                    <w:top w:val="none" w:sz="0" w:space="0" w:color="auto"/>
                    <w:left w:val="none" w:sz="0" w:space="0" w:color="auto"/>
                    <w:bottom w:val="none" w:sz="0" w:space="0" w:color="auto"/>
                    <w:right w:val="none" w:sz="0" w:space="0" w:color="auto"/>
                  </w:divBdr>
                </w:div>
                <w:div w:id="24215502">
                  <w:marLeft w:val="0"/>
                  <w:marRight w:val="0"/>
                  <w:marTop w:val="30"/>
                  <w:marBottom w:val="0"/>
                  <w:divBdr>
                    <w:top w:val="none" w:sz="0" w:space="0" w:color="auto"/>
                    <w:left w:val="none" w:sz="0" w:space="0" w:color="auto"/>
                    <w:bottom w:val="none" w:sz="0" w:space="0" w:color="auto"/>
                    <w:right w:val="none" w:sz="0" w:space="0" w:color="auto"/>
                  </w:divBdr>
                </w:div>
                <w:div w:id="888079141">
                  <w:marLeft w:val="0"/>
                  <w:marRight w:val="0"/>
                  <w:marTop w:val="30"/>
                  <w:marBottom w:val="0"/>
                  <w:divBdr>
                    <w:top w:val="none" w:sz="0" w:space="0" w:color="auto"/>
                    <w:left w:val="none" w:sz="0" w:space="0" w:color="auto"/>
                    <w:bottom w:val="none" w:sz="0" w:space="0" w:color="auto"/>
                    <w:right w:val="none" w:sz="0" w:space="0" w:color="auto"/>
                  </w:divBdr>
                </w:div>
                <w:div w:id="870188951">
                  <w:marLeft w:val="0"/>
                  <w:marRight w:val="0"/>
                  <w:marTop w:val="30"/>
                  <w:marBottom w:val="0"/>
                  <w:divBdr>
                    <w:top w:val="none" w:sz="0" w:space="0" w:color="auto"/>
                    <w:left w:val="none" w:sz="0" w:space="0" w:color="auto"/>
                    <w:bottom w:val="none" w:sz="0" w:space="0" w:color="auto"/>
                    <w:right w:val="none" w:sz="0" w:space="0" w:color="auto"/>
                  </w:divBdr>
                </w:div>
                <w:div w:id="617221049">
                  <w:marLeft w:val="0"/>
                  <w:marRight w:val="0"/>
                  <w:marTop w:val="30"/>
                  <w:marBottom w:val="0"/>
                  <w:divBdr>
                    <w:top w:val="none" w:sz="0" w:space="0" w:color="auto"/>
                    <w:left w:val="none" w:sz="0" w:space="0" w:color="auto"/>
                    <w:bottom w:val="none" w:sz="0" w:space="0" w:color="auto"/>
                    <w:right w:val="none" w:sz="0" w:space="0" w:color="auto"/>
                  </w:divBdr>
                </w:div>
                <w:div w:id="1337658880">
                  <w:marLeft w:val="0"/>
                  <w:marRight w:val="0"/>
                  <w:marTop w:val="30"/>
                  <w:marBottom w:val="0"/>
                  <w:divBdr>
                    <w:top w:val="none" w:sz="0" w:space="0" w:color="auto"/>
                    <w:left w:val="none" w:sz="0" w:space="0" w:color="auto"/>
                    <w:bottom w:val="none" w:sz="0" w:space="0" w:color="auto"/>
                    <w:right w:val="none" w:sz="0" w:space="0" w:color="auto"/>
                  </w:divBdr>
                </w:div>
                <w:div w:id="711199601">
                  <w:marLeft w:val="0"/>
                  <w:marRight w:val="0"/>
                  <w:marTop w:val="30"/>
                  <w:marBottom w:val="0"/>
                  <w:divBdr>
                    <w:top w:val="none" w:sz="0" w:space="0" w:color="auto"/>
                    <w:left w:val="none" w:sz="0" w:space="0" w:color="auto"/>
                    <w:bottom w:val="none" w:sz="0" w:space="0" w:color="auto"/>
                    <w:right w:val="none" w:sz="0" w:space="0" w:color="auto"/>
                  </w:divBdr>
                </w:div>
              </w:divsChild>
            </w:div>
            <w:div w:id="534776355">
              <w:marLeft w:val="0"/>
              <w:marRight w:val="0"/>
              <w:marTop w:val="0"/>
              <w:marBottom w:val="0"/>
              <w:divBdr>
                <w:top w:val="none" w:sz="0" w:space="0" w:color="auto"/>
                <w:left w:val="none" w:sz="0" w:space="0" w:color="auto"/>
                <w:bottom w:val="none" w:sz="0" w:space="0" w:color="auto"/>
                <w:right w:val="none" w:sz="0" w:space="0" w:color="auto"/>
              </w:divBdr>
              <w:divsChild>
                <w:div w:id="10839857">
                  <w:marLeft w:val="0"/>
                  <w:marRight w:val="0"/>
                  <w:marTop w:val="30"/>
                  <w:marBottom w:val="0"/>
                  <w:divBdr>
                    <w:top w:val="none" w:sz="0" w:space="0" w:color="auto"/>
                    <w:left w:val="none" w:sz="0" w:space="0" w:color="auto"/>
                    <w:bottom w:val="none" w:sz="0" w:space="0" w:color="auto"/>
                    <w:right w:val="none" w:sz="0" w:space="0" w:color="auto"/>
                  </w:divBdr>
                </w:div>
                <w:div w:id="1955166433">
                  <w:marLeft w:val="0"/>
                  <w:marRight w:val="0"/>
                  <w:marTop w:val="30"/>
                  <w:marBottom w:val="0"/>
                  <w:divBdr>
                    <w:top w:val="none" w:sz="0" w:space="0" w:color="auto"/>
                    <w:left w:val="none" w:sz="0" w:space="0" w:color="auto"/>
                    <w:bottom w:val="none" w:sz="0" w:space="0" w:color="auto"/>
                    <w:right w:val="none" w:sz="0" w:space="0" w:color="auto"/>
                  </w:divBdr>
                </w:div>
                <w:div w:id="159390729">
                  <w:marLeft w:val="0"/>
                  <w:marRight w:val="0"/>
                  <w:marTop w:val="30"/>
                  <w:marBottom w:val="0"/>
                  <w:divBdr>
                    <w:top w:val="none" w:sz="0" w:space="0" w:color="auto"/>
                    <w:left w:val="none" w:sz="0" w:space="0" w:color="auto"/>
                    <w:bottom w:val="none" w:sz="0" w:space="0" w:color="auto"/>
                    <w:right w:val="none" w:sz="0" w:space="0" w:color="auto"/>
                  </w:divBdr>
                </w:div>
                <w:div w:id="208490837">
                  <w:marLeft w:val="0"/>
                  <w:marRight w:val="0"/>
                  <w:marTop w:val="30"/>
                  <w:marBottom w:val="0"/>
                  <w:divBdr>
                    <w:top w:val="none" w:sz="0" w:space="0" w:color="auto"/>
                    <w:left w:val="none" w:sz="0" w:space="0" w:color="auto"/>
                    <w:bottom w:val="none" w:sz="0" w:space="0" w:color="auto"/>
                    <w:right w:val="none" w:sz="0" w:space="0" w:color="auto"/>
                  </w:divBdr>
                </w:div>
                <w:div w:id="1330984974">
                  <w:marLeft w:val="0"/>
                  <w:marRight w:val="0"/>
                  <w:marTop w:val="30"/>
                  <w:marBottom w:val="0"/>
                  <w:divBdr>
                    <w:top w:val="none" w:sz="0" w:space="0" w:color="auto"/>
                    <w:left w:val="none" w:sz="0" w:space="0" w:color="auto"/>
                    <w:bottom w:val="none" w:sz="0" w:space="0" w:color="auto"/>
                    <w:right w:val="none" w:sz="0" w:space="0" w:color="auto"/>
                  </w:divBdr>
                </w:div>
                <w:div w:id="449514545">
                  <w:marLeft w:val="0"/>
                  <w:marRight w:val="0"/>
                  <w:marTop w:val="30"/>
                  <w:marBottom w:val="0"/>
                  <w:divBdr>
                    <w:top w:val="none" w:sz="0" w:space="0" w:color="auto"/>
                    <w:left w:val="none" w:sz="0" w:space="0" w:color="auto"/>
                    <w:bottom w:val="none" w:sz="0" w:space="0" w:color="auto"/>
                    <w:right w:val="none" w:sz="0" w:space="0" w:color="auto"/>
                  </w:divBdr>
                </w:div>
                <w:div w:id="1117523103">
                  <w:marLeft w:val="0"/>
                  <w:marRight w:val="0"/>
                  <w:marTop w:val="30"/>
                  <w:marBottom w:val="0"/>
                  <w:divBdr>
                    <w:top w:val="none" w:sz="0" w:space="0" w:color="auto"/>
                    <w:left w:val="none" w:sz="0" w:space="0" w:color="auto"/>
                    <w:bottom w:val="none" w:sz="0" w:space="0" w:color="auto"/>
                    <w:right w:val="none" w:sz="0" w:space="0" w:color="auto"/>
                  </w:divBdr>
                </w:div>
                <w:div w:id="918556992">
                  <w:marLeft w:val="0"/>
                  <w:marRight w:val="0"/>
                  <w:marTop w:val="30"/>
                  <w:marBottom w:val="0"/>
                  <w:divBdr>
                    <w:top w:val="none" w:sz="0" w:space="0" w:color="auto"/>
                    <w:left w:val="none" w:sz="0" w:space="0" w:color="auto"/>
                    <w:bottom w:val="none" w:sz="0" w:space="0" w:color="auto"/>
                    <w:right w:val="none" w:sz="0" w:space="0" w:color="auto"/>
                  </w:divBdr>
                </w:div>
                <w:div w:id="1514999578">
                  <w:marLeft w:val="0"/>
                  <w:marRight w:val="0"/>
                  <w:marTop w:val="30"/>
                  <w:marBottom w:val="0"/>
                  <w:divBdr>
                    <w:top w:val="none" w:sz="0" w:space="0" w:color="auto"/>
                    <w:left w:val="none" w:sz="0" w:space="0" w:color="auto"/>
                    <w:bottom w:val="none" w:sz="0" w:space="0" w:color="auto"/>
                    <w:right w:val="none" w:sz="0" w:space="0" w:color="auto"/>
                  </w:divBdr>
                </w:div>
                <w:div w:id="1608734346">
                  <w:marLeft w:val="0"/>
                  <w:marRight w:val="0"/>
                  <w:marTop w:val="30"/>
                  <w:marBottom w:val="0"/>
                  <w:divBdr>
                    <w:top w:val="none" w:sz="0" w:space="0" w:color="auto"/>
                    <w:left w:val="none" w:sz="0" w:space="0" w:color="auto"/>
                    <w:bottom w:val="none" w:sz="0" w:space="0" w:color="auto"/>
                    <w:right w:val="none" w:sz="0" w:space="0" w:color="auto"/>
                  </w:divBdr>
                </w:div>
              </w:divsChild>
            </w:div>
            <w:div w:id="1350138229">
              <w:marLeft w:val="0"/>
              <w:marRight w:val="0"/>
              <w:marTop w:val="0"/>
              <w:marBottom w:val="0"/>
              <w:divBdr>
                <w:top w:val="none" w:sz="0" w:space="0" w:color="auto"/>
                <w:left w:val="none" w:sz="0" w:space="0" w:color="auto"/>
                <w:bottom w:val="none" w:sz="0" w:space="0" w:color="auto"/>
                <w:right w:val="none" w:sz="0" w:space="0" w:color="auto"/>
              </w:divBdr>
              <w:divsChild>
                <w:div w:id="2089106096">
                  <w:marLeft w:val="0"/>
                  <w:marRight w:val="0"/>
                  <w:marTop w:val="30"/>
                  <w:marBottom w:val="0"/>
                  <w:divBdr>
                    <w:top w:val="none" w:sz="0" w:space="0" w:color="auto"/>
                    <w:left w:val="none" w:sz="0" w:space="0" w:color="auto"/>
                    <w:bottom w:val="none" w:sz="0" w:space="0" w:color="auto"/>
                    <w:right w:val="none" w:sz="0" w:space="0" w:color="auto"/>
                  </w:divBdr>
                </w:div>
                <w:div w:id="341246096">
                  <w:marLeft w:val="0"/>
                  <w:marRight w:val="0"/>
                  <w:marTop w:val="30"/>
                  <w:marBottom w:val="0"/>
                  <w:divBdr>
                    <w:top w:val="none" w:sz="0" w:space="0" w:color="auto"/>
                    <w:left w:val="none" w:sz="0" w:space="0" w:color="auto"/>
                    <w:bottom w:val="none" w:sz="0" w:space="0" w:color="auto"/>
                    <w:right w:val="none" w:sz="0" w:space="0" w:color="auto"/>
                  </w:divBdr>
                </w:div>
                <w:div w:id="288898990">
                  <w:marLeft w:val="0"/>
                  <w:marRight w:val="0"/>
                  <w:marTop w:val="30"/>
                  <w:marBottom w:val="0"/>
                  <w:divBdr>
                    <w:top w:val="none" w:sz="0" w:space="0" w:color="auto"/>
                    <w:left w:val="none" w:sz="0" w:space="0" w:color="auto"/>
                    <w:bottom w:val="none" w:sz="0" w:space="0" w:color="auto"/>
                    <w:right w:val="none" w:sz="0" w:space="0" w:color="auto"/>
                  </w:divBdr>
                </w:div>
                <w:div w:id="290287720">
                  <w:marLeft w:val="0"/>
                  <w:marRight w:val="0"/>
                  <w:marTop w:val="30"/>
                  <w:marBottom w:val="0"/>
                  <w:divBdr>
                    <w:top w:val="none" w:sz="0" w:space="0" w:color="auto"/>
                    <w:left w:val="none" w:sz="0" w:space="0" w:color="auto"/>
                    <w:bottom w:val="none" w:sz="0" w:space="0" w:color="auto"/>
                    <w:right w:val="none" w:sz="0" w:space="0" w:color="auto"/>
                  </w:divBdr>
                </w:div>
                <w:div w:id="2138445285">
                  <w:marLeft w:val="0"/>
                  <w:marRight w:val="0"/>
                  <w:marTop w:val="30"/>
                  <w:marBottom w:val="0"/>
                  <w:divBdr>
                    <w:top w:val="none" w:sz="0" w:space="0" w:color="auto"/>
                    <w:left w:val="none" w:sz="0" w:space="0" w:color="auto"/>
                    <w:bottom w:val="none" w:sz="0" w:space="0" w:color="auto"/>
                    <w:right w:val="none" w:sz="0" w:space="0" w:color="auto"/>
                  </w:divBdr>
                </w:div>
                <w:div w:id="215968080">
                  <w:marLeft w:val="0"/>
                  <w:marRight w:val="0"/>
                  <w:marTop w:val="30"/>
                  <w:marBottom w:val="0"/>
                  <w:divBdr>
                    <w:top w:val="none" w:sz="0" w:space="0" w:color="auto"/>
                    <w:left w:val="none" w:sz="0" w:space="0" w:color="auto"/>
                    <w:bottom w:val="none" w:sz="0" w:space="0" w:color="auto"/>
                    <w:right w:val="none" w:sz="0" w:space="0" w:color="auto"/>
                  </w:divBdr>
                </w:div>
                <w:div w:id="1029330194">
                  <w:marLeft w:val="0"/>
                  <w:marRight w:val="0"/>
                  <w:marTop w:val="30"/>
                  <w:marBottom w:val="0"/>
                  <w:divBdr>
                    <w:top w:val="none" w:sz="0" w:space="0" w:color="auto"/>
                    <w:left w:val="none" w:sz="0" w:space="0" w:color="auto"/>
                    <w:bottom w:val="none" w:sz="0" w:space="0" w:color="auto"/>
                    <w:right w:val="none" w:sz="0" w:space="0" w:color="auto"/>
                  </w:divBdr>
                </w:div>
                <w:div w:id="725489943">
                  <w:marLeft w:val="0"/>
                  <w:marRight w:val="0"/>
                  <w:marTop w:val="30"/>
                  <w:marBottom w:val="0"/>
                  <w:divBdr>
                    <w:top w:val="none" w:sz="0" w:space="0" w:color="auto"/>
                    <w:left w:val="none" w:sz="0" w:space="0" w:color="auto"/>
                    <w:bottom w:val="none" w:sz="0" w:space="0" w:color="auto"/>
                    <w:right w:val="none" w:sz="0" w:space="0" w:color="auto"/>
                  </w:divBdr>
                </w:div>
                <w:div w:id="653097689">
                  <w:marLeft w:val="0"/>
                  <w:marRight w:val="0"/>
                  <w:marTop w:val="30"/>
                  <w:marBottom w:val="0"/>
                  <w:divBdr>
                    <w:top w:val="none" w:sz="0" w:space="0" w:color="auto"/>
                    <w:left w:val="none" w:sz="0" w:space="0" w:color="auto"/>
                    <w:bottom w:val="none" w:sz="0" w:space="0" w:color="auto"/>
                    <w:right w:val="none" w:sz="0" w:space="0" w:color="auto"/>
                  </w:divBdr>
                </w:div>
                <w:div w:id="1923443364">
                  <w:marLeft w:val="0"/>
                  <w:marRight w:val="0"/>
                  <w:marTop w:val="30"/>
                  <w:marBottom w:val="0"/>
                  <w:divBdr>
                    <w:top w:val="none" w:sz="0" w:space="0" w:color="auto"/>
                    <w:left w:val="none" w:sz="0" w:space="0" w:color="auto"/>
                    <w:bottom w:val="none" w:sz="0" w:space="0" w:color="auto"/>
                    <w:right w:val="none" w:sz="0" w:space="0" w:color="auto"/>
                  </w:divBdr>
                </w:div>
              </w:divsChild>
            </w:div>
            <w:div w:id="1767457041">
              <w:marLeft w:val="0"/>
              <w:marRight w:val="0"/>
              <w:marTop w:val="0"/>
              <w:marBottom w:val="0"/>
              <w:divBdr>
                <w:top w:val="none" w:sz="0" w:space="0" w:color="auto"/>
                <w:left w:val="none" w:sz="0" w:space="0" w:color="auto"/>
                <w:bottom w:val="none" w:sz="0" w:space="0" w:color="auto"/>
                <w:right w:val="none" w:sz="0" w:space="0" w:color="auto"/>
              </w:divBdr>
              <w:divsChild>
                <w:div w:id="443620064">
                  <w:marLeft w:val="0"/>
                  <w:marRight w:val="0"/>
                  <w:marTop w:val="30"/>
                  <w:marBottom w:val="0"/>
                  <w:divBdr>
                    <w:top w:val="none" w:sz="0" w:space="0" w:color="auto"/>
                    <w:left w:val="none" w:sz="0" w:space="0" w:color="auto"/>
                    <w:bottom w:val="none" w:sz="0" w:space="0" w:color="auto"/>
                    <w:right w:val="none" w:sz="0" w:space="0" w:color="auto"/>
                  </w:divBdr>
                </w:div>
                <w:div w:id="557327984">
                  <w:marLeft w:val="0"/>
                  <w:marRight w:val="0"/>
                  <w:marTop w:val="30"/>
                  <w:marBottom w:val="0"/>
                  <w:divBdr>
                    <w:top w:val="none" w:sz="0" w:space="0" w:color="auto"/>
                    <w:left w:val="none" w:sz="0" w:space="0" w:color="auto"/>
                    <w:bottom w:val="none" w:sz="0" w:space="0" w:color="auto"/>
                    <w:right w:val="none" w:sz="0" w:space="0" w:color="auto"/>
                  </w:divBdr>
                </w:div>
                <w:div w:id="1001545246">
                  <w:marLeft w:val="0"/>
                  <w:marRight w:val="0"/>
                  <w:marTop w:val="30"/>
                  <w:marBottom w:val="0"/>
                  <w:divBdr>
                    <w:top w:val="none" w:sz="0" w:space="0" w:color="auto"/>
                    <w:left w:val="none" w:sz="0" w:space="0" w:color="auto"/>
                    <w:bottom w:val="none" w:sz="0" w:space="0" w:color="auto"/>
                    <w:right w:val="none" w:sz="0" w:space="0" w:color="auto"/>
                  </w:divBdr>
                </w:div>
                <w:div w:id="1493134107">
                  <w:marLeft w:val="0"/>
                  <w:marRight w:val="0"/>
                  <w:marTop w:val="30"/>
                  <w:marBottom w:val="0"/>
                  <w:divBdr>
                    <w:top w:val="none" w:sz="0" w:space="0" w:color="auto"/>
                    <w:left w:val="none" w:sz="0" w:space="0" w:color="auto"/>
                    <w:bottom w:val="none" w:sz="0" w:space="0" w:color="auto"/>
                    <w:right w:val="none" w:sz="0" w:space="0" w:color="auto"/>
                  </w:divBdr>
                </w:div>
                <w:div w:id="196357805">
                  <w:marLeft w:val="0"/>
                  <w:marRight w:val="0"/>
                  <w:marTop w:val="30"/>
                  <w:marBottom w:val="0"/>
                  <w:divBdr>
                    <w:top w:val="none" w:sz="0" w:space="0" w:color="auto"/>
                    <w:left w:val="none" w:sz="0" w:space="0" w:color="auto"/>
                    <w:bottom w:val="none" w:sz="0" w:space="0" w:color="auto"/>
                    <w:right w:val="none" w:sz="0" w:space="0" w:color="auto"/>
                  </w:divBdr>
                </w:div>
                <w:div w:id="1150169214">
                  <w:marLeft w:val="0"/>
                  <w:marRight w:val="0"/>
                  <w:marTop w:val="30"/>
                  <w:marBottom w:val="0"/>
                  <w:divBdr>
                    <w:top w:val="none" w:sz="0" w:space="0" w:color="auto"/>
                    <w:left w:val="none" w:sz="0" w:space="0" w:color="auto"/>
                    <w:bottom w:val="none" w:sz="0" w:space="0" w:color="auto"/>
                    <w:right w:val="none" w:sz="0" w:space="0" w:color="auto"/>
                  </w:divBdr>
                </w:div>
                <w:div w:id="1811971795">
                  <w:marLeft w:val="0"/>
                  <w:marRight w:val="0"/>
                  <w:marTop w:val="30"/>
                  <w:marBottom w:val="0"/>
                  <w:divBdr>
                    <w:top w:val="none" w:sz="0" w:space="0" w:color="auto"/>
                    <w:left w:val="none" w:sz="0" w:space="0" w:color="auto"/>
                    <w:bottom w:val="none" w:sz="0" w:space="0" w:color="auto"/>
                    <w:right w:val="none" w:sz="0" w:space="0" w:color="auto"/>
                  </w:divBdr>
                </w:div>
                <w:div w:id="241793863">
                  <w:marLeft w:val="0"/>
                  <w:marRight w:val="0"/>
                  <w:marTop w:val="30"/>
                  <w:marBottom w:val="0"/>
                  <w:divBdr>
                    <w:top w:val="none" w:sz="0" w:space="0" w:color="auto"/>
                    <w:left w:val="none" w:sz="0" w:space="0" w:color="auto"/>
                    <w:bottom w:val="none" w:sz="0" w:space="0" w:color="auto"/>
                    <w:right w:val="none" w:sz="0" w:space="0" w:color="auto"/>
                  </w:divBdr>
                </w:div>
                <w:div w:id="86123797">
                  <w:marLeft w:val="0"/>
                  <w:marRight w:val="0"/>
                  <w:marTop w:val="30"/>
                  <w:marBottom w:val="0"/>
                  <w:divBdr>
                    <w:top w:val="none" w:sz="0" w:space="0" w:color="auto"/>
                    <w:left w:val="none" w:sz="0" w:space="0" w:color="auto"/>
                    <w:bottom w:val="none" w:sz="0" w:space="0" w:color="auto"/>
                    <w:right w:val="none" w:sz="0" w:space="0" w:color="auto"/>
                  </w:divBdr>
                </w:div>
                <w:div w:id="758871825">
                  <w:marLeft w:val="0"/>
                  <w:marRight w:val="0"/>
                  <w:marTop w:val="30"/>
                  <w:marBottom w:val="0"/>
                  <w:divBdr>
                    <w:top w:val="none" w:sz="0" w:space="0" w:color="auto"/>
                    <w:left w:val="none" w:sz="0" w:space="0" w:color="auto"/>
                    <w:bottom w:val="none" w:sz="0" w:space="0" w:color="auto"/>
                    <w:right w:val="none" w:sz="0" w:space="0" w:color="auto"/>
                  </w:divBdr>
                </w:div>
              </w:divsChild>
            </w:div>
            <w:div w:id="1514882314">
              <w:marLeft w:val="0"/>
              <w:marRight w:val="0"/>
              <w:marTop w:val="0"/>
              <w:marBottom w:val="0"/>
              <w:divBdr>
                <w:top w:val="none" w:sz="0" w:space="0" w:color="auto"/>
                <w:left w:val="none" w:sz="0" w:space="0" w:color="auto"/>
                <w:bottom w:val="none" w:sz="0" w:space="0" w:color="auto"/>
                <w:right w:val="none" w:sz="0" w:space="0" w:color="auto"/>
              </w:divBdr>
              <w:divsChild>
                <w:div w:id="873078998">
                  <w:marLeft w:val="0"/>
                  <w:marRight w:val="0"/>
                  <w:marTop w:val="30"/>
                  <w:marBottom w:val="0"/>
                  <w:divBdr>
                    <w:top w:val="none" w:sz="0" w:space="0" w:color="auto"/>
                    <w:left w:val="none" w:sz="0" w:space="0" w:color="auto"/>
                    <w:bottom w:val="none" w:sz="0" w:space="0" w:color="auto"/>
                    <w:right w:val="none" w:sz="0" w:space="0" w:color="auto"/>
                  </w:divBdr>
                </w:div>
                <w:div w:id="1111973280">
                  <w:marLeft w:val="0"/>
                  <w:marRight w:val="0"/>
                  <w:marTop w:val="30"/>
                  <w:marBottom w:val="0"/>
                  <w:divBdr>
                    <w:top w:val="none" w:sz="0" w:space="0" w:color="auto"/>
                    <w:left w:val="none" w:sz="0" w:space="0" w:color="auto"/>
                    <w:bottom w:val="none" w:sz="0" w:space="0" w:color="auto"/>
                    <w:right w:val="none" w:sz="0" w:space="0" w:color="auto"/>
                  </w:divBdr>
                </w:div>
                <w:div w:id="1716659131">
                  <w:marLeft w:val="0"/>
                  <w:marRight w:val="0"/>
                  <w:marTop w:val="30"/>
                  <w:marBottom w:val="0"/>
                  <w:divBdr>
                    <w:top w:val="none" w:sz="0" w:space="0" w:color="auto"/>
                    <w:left w:val="none" w:sz="0" w:space="0" w:color="auto"/>
                    <w:bottom w:val="none" w:sz="0" w:space="0" w:color="auto"/>
                    <w:right w:val="none" w:sz="0" w:space="0" w:color="auto"/>
                  </w:divBdr>
                </w:div>
                <w:div w:id="1050109509">
                  <w:marLeft w:val="0"/>
                  <w:marRight w:val="0"/>
                  <w:marTop w:val="30"/>
                  <w:marBottom w:val="0"/>
                  <w:divBdr>
                    <w:top w:val="none" w:sz="0" w:space="0" w:color="auto"/>
                    <w:left w:val="none" w:sz="0" w:space="0" w:color="auto"/>
                    <w:bottom w:val="none" w:sz="0" w:space="0" w:color="auto"/>
                    <w:right w:val="none" w:sz="0" w:space="0" w:color="auto"/>
                  </w:divBdr>
                </w:div>
                <w:div w:id="32466250">
                  <w:marLeft w:val="0"/>
                  <w:marRight w:val="0"/>
                  <w:marTop w:val="30"/>
                  <w:marBottom w:val="0"/>
                  <w:divBdr>
                    <w:top w:val="none" w:sz="0" w:space="0" w:color="auto"/>
                    <w:left w:val="none" w:sz="0" w:space="0" w:color="auto"/>
                    <w:bottom w:val="none" w:sz="0" w:space="0" w:color="auto"/>
                    <w:right w:val="none" w:sz="0" w:space="0" w:color="auto"/>
                  </w:divBdr>
                </w:div>
                <w:div w:id="1577204633">
                  <w:marLeft w:val="0"/>
                  <w:marRight w:val="0"/>
                  <w:marTop w:val="30"/>
                  <w:marBottom w:val="0"/>
                  <w:divBdr>
                    <w:top w:val="none" w:sz="0" w:space="0" w:color="auto"/>
                    <w:left w:val="none" w:sz="0" w:space="0" w:color="auto"/>
                    <w:bottom w:val="none" w:sz="0" w:space="0" w:color="auto"/>
                    <w:right w:val="none" w:sz="0" w:space="0" w:color="auto"/>
                  </w:divBdr>
                </w:div>
                <w:div w:id="2004698129">
                  <w:marLeft w:val="0"/>
                  <w:marRight w:val="0"/>
                  <w:marTop w:val="30"/>
                  <w:marBottom w:val="0"/>
                  <w:divBdr>
                    <w:top w:val="none" w:sz="0" w:space="0" w:color="auto"/>
                    <w:left w:val="none" w:sz="0" w:space="0" w:color="auto"/>
                    <w:bottom w:val="none" w:sz="0" w:space="0" w:color="auto"/>
                    <w:right w:val="none" w:sz="0" w:space="0" w:color="auto"/>
                  </w:divBdr>
                </w:div>
                <w:div w:id="1496989730">
                  <w:marLeft w:val="0"/>
                  <w:marRight w:val="0"/>
                  <w:marTop w:val="30"/>
                  <w:marBottom w:val="0"/>
                  <w:divBdr>
                    <w:top w:val="none" w:sz="0" w:space="0" w:color="auto"/>
                    <w:left w:val="none" w:sz="0" w:space="0" w:color="auto"/>
                    <w:bottom w:val="none" w:sz="0" w:space="0" w:color="auto"/>
                    <w:right w:val="none" w:sz="0" w:space="0" w:color="auto"/>
                  </w:divBdr>
                </w:div>
                <w:div w:id="63570907">
                  <w:marLeft w:val="0"/>
                  <w:marRight w:val="0"/>
                  <w:marTop w:val="30"/>
                  <w:marBottom w:val="0"/>
                  <w:divBdr>
                    <w:top w:val="none" w:sz="0" w:space="0" w:color="auto"/>
                    <w:left w:val="none" w:sz="0" w:space="0" w:color="auto"/>
                    <w:bottom w:val="none" w:sz="0" w:space="0" w:color="auto"/>
                    <w:right w:val="none" w:sz="0" w:space="0" w:color="auto"/>
                  </w:divBdr>
                </w:div>
                <w:div w:id="2049448821">
                  <w:marLeft w:val="0"/>
                  <w:marRight w:val="0"/>
                  <w:marTop w:val="30"/>
                  <w:marBottom w:val="0"/>
                  <w:divBdr>
                    <w:top w:val="none" w:sz="0" w:space="0" w:color="auto"/>
                    <w:left w:val="none" w:sz="0" w:space="0" w:color="auto"/>
                    <w:bottom w:val="none" w:sz="0" w:space="0" w:color="auto"/>
                    <w:right w:val="none" w:sz="0" w:space="0" w:color="auto"/>
                  </w:divBdr>
                </w:div>
              </w:divsChild>
            </w:div>
            <w:div w:id="1640500881">
              <w:marLeft w:val="0"/>
              <w:marRight w:val="0"/>
              <w:marTop w:val="0"/>
              <w:marBottom w:val="0"/>
              <w:divBdr>
                <w:top w:val="none" w:sz="0" w:space="0" w:color="auto"/>
                <w:left w:val="none" w:sz="0" w:space="0" w:color="auto"/>
                <w:bottom w:val="none" w:sz="0" w:space="0" w:color="auto"/>
                <w:right w:val="none" w:sz="0" w:space="0" w:color="auto"/>
              </w:divBdr>
              <w:divsChild>
                <w:div w:id="492765623">
                  <w:marLeft w:val="0"/>
                  <w:marRight w:val="0"/>
                  <w:marTop w:val="30"/>
                  <w:marBottom w:val="0"/>
                  <w:divBdr>
                    <w:top w:val="none" w:sz="0" w:space="0" w:color="auto"/>
                    <w:left w:val="none" w:sz="0" w:space="0" w:color="auto"/>
                    <w:bottom w:val="none" w:sz="0" w:space="0" w:color="auto"/>
                    <w:right w:val="none" w:sz="0" w:space="0" w:color="auto"/>
                  </w:divBdr>
                </w:div>
                <w:div w:id="1312173534">
                  <w:marLeft w:val="0"/>
                  <w:marRight w:val="0"/>
                  <w:marTop w:val="30"/>
                  <w:marBottom w:val="0"/>
                  <w:divBdr>
                    <w:top w:val="none" w:sz="0" w:space="0" w:color="auto"/>
                    <w:left w:val="none" w:sz="0" w:space="0" w:color="auto"/>
                    <w:bottom w:val="none" w:sz="0" w:space="0" w:color="auto"/>
                    <w:right w:val="none" w:sz="0" w:space="0" w:color="auto"/>
                  </w:divBdr>
                </w:div>
                <w:div w:id="1129130484">
                  <w:marLeft w:val="0"/>
                  <w:marRight w:val="0"/>
                  <w:marTop w:val="30"/>
                  <w:marBottom w:val="0"/>
                  <w:divBdr>
                    <w:top w:val="none" w:sz="0" w:space="0" w:color="auto"/>
                    <w:left w:val="none" w:sz="0" w:space="0" w:color="auto"/>
                    <w:bottom w:val="none" w:sz="0" w:space="0" w:color="auto"/>
                    <w:right w:val="none" w:sz="0" w:space="0" w:color="auto"/>
                  </w:divBdr>
                </w:div>
                <w:div w:id="3439878">
                  <w:marLeft w:val="0"/>
                  <w:marRight w:val="0"/>
                  <w:marTop w:val="30"/>
                  <w:marBottom w:val="0"/>
                  <w:divBdr>
                    <w:top w:val="none" w:sz="0" w:space="0" w:color="auto"/>
                    <w:left w:val="none" w:sz="0" w:space="0" w:color="auto"/>
                    <w:bottom w:val="none" w:sz="0" w:space="0" w:color="auto"/>
                    <w:right w:val="none" w:sz="0" w:space="0" w:color="auto"/>
                  </w:divBdr>
                </w:div>
                <w:div w:id="1863014090">
                  <w:marLeft w:val="0"/>
                  <w:marRight w:val="0"/>
                  <w:marTop w:val="30"/>
                  <w:marBottom w:val="0"/>
                  <w:divBdr>
                    <w:top w:val="none" w:sz="0" w:space="0" w:color="auto"/>
                    <w:left w:val="none" w:sz="0" w:space="0" w:color="auto"/>
                    <w:bottom w:val="none" w:sz="0" w:space="0" w:color="auto"/>
                    <w:right w:val="none" w:sz="0" w:space="0" w:color="auto"/>
                  </w:divBdr>
                </w:div>
                <w:div w:id="584612897">
                  <w:marLeft w:val="0"/>
                  <w:marRight w:val="0"/>
                  <w:marTop w:val="30"/>
                  <w:marBottom w:val="0"/>
                  <w:divBdr>
                    <w:top w:val="none" w:sz="0" w:space="0" w:color="auto"/>
                    <w:left w:val="none" w:sz="0" w:space="0" w:color="auto"/>
                    <w:bottom w:val="none" w:sz="0" w:space="0" w:color="auto"/>
                    <w:right w:val="none" w:sz="0" w:space="0" w:color="auto"/>
                  </w:divBdr>
                </w:div>
                <w:div w:id="830027700">
                  <w:marLeft w:val="0"/>
                  <w:marRight w:val="0"/>
                  <w:marTop w:val="30"/>
                  <w:marBottom w:val="0"/>
                  <w:divBdr>
                    <w:top w:val="none" w:sz="0" w:space="0" w:color="auto"/>
                    <w:left w:val="none" w:sz="0" w:space="0" w:color="auto"/>
                    <w:bottom w:val="none" w:sz="0" w:space="0" w:color="auto"/>
                    <w:right w:val="none" w:sz="0" w:space="0" w:color="auto"/>
                  </w:divBdr>
                </w:div>
                <w:div w:id="70272829">
                  <w:marLeft w:val="0"/>
                  <w:marRight w:val="0"/>
                  <w:marTop w:val="30"/>
                  <w:marBottom w:val="0"/>
                  <w:divBdr>
                    <w:top w:val="none" w:sz="0" w:space="0" w:color="auto"/>
                    <w:left w:val="none" w:sz="0" w:space="0" w:color="auto"/>
                    <w:bottom w:val="none" w:sz="0" w:space="0" w:color="auto"/>
                    <w:right w:val="none" w:sz="0" w:space="0" w:color="auto"/>
                  </w:divBdr>
                </w:div>
                <w:div w:id="349307426">
                  <w:marLeft w:val="0"/>
                  <w:marRight w:val="0"/>
                  <w:marTop w:val="30"/>
                  <w:marBottom w:val="0"/>
                  <w:divBdr>
                    <w:top w:val="none" w:sz="0" w:space="0" w:color="auto"/>
                    <w:left w:val="none" w:sz="0" w:space="0" w:color="auto"/>
                    <w:bottom w:val="none" w:sz="0" w:space="0" w:color="auto"/>
                    <w:right w:val="none" w:sz="0" w:space="0" w:color="auto"/>
                  </w:divBdr>
                </w:div>
                <w:div w:id="1841388626">
                  <w:marLeft w:val="0"/>
                  <w:marRight w:val="0"/>
                  <w:marTop w:val="30"/>
                  <w:marBottom w:val="0"/>
                  <w:divBdr>
                    <w:top w:val="none" w:sz="0" w:space="0" w:color="auto"/>
                    <w:left w:val="none" w:sz="0" w:space="0" w:color="auto"/>
                    <w:bottom w:val="none" w:sz="0" w:space="0" w:color="auto"/>
                    <w:right w:val="none" w:sz="0" w:space="0" w:color="auto"/>
                  </w:divBdr>
                </w:div>
              </w:divsChild>
            </w:div>
            <w:div w:id="1165971028">
              <w:marLeft w:val="0"/>
              <w:marRight w:val="0"/>
              <w:marTop w:val="0"/>
              <w:marBottom w:val="0"/>
              <w:divBdr>
                <w:top w:val="none" w:sz="0" w:space="0" w:color="auto"/>
                <w:left w:val="none" w:sz="0" w:space="0" w:color="auto"/>
                <w:bottom w:val="none" w:sz="0" w:space="0" w:color="auto"/>
                <w:right w:val="none" w:sz="0" w:space="0" w:color="auto"/>
              </w:divBdr>
              <w:divsChild>
                <w:div w:id="1445660644">
                  <w:marLeft w:val="0"/>
                  <w:marRight w:val="0"/>
                  <w:marTop w:val="30"/>
                  <w:marBottom w:val="0"/>
                  <w:divBdr>
                    <w:top w:val="none" w:sz="0" w:space="0" w:color="auto"/>
                    <w:left w:val="none" w:sz="0" w:space="0" w:color="auto"/>
                    <w:bottom w:val="none" w:sz="0" w:space="0" w:color="auto"/>
                    <w:right w:val="none" w:sz="0" w:space="0" w:color="auto"/>
                  </w:divBdr>
                </w:div>
                <w:div w:id="1116679312">
                  <w:marLeft w:val="0"/>
                  <w:marRight w:val="0"/>
                  <w:marTop w:val="30"/>
                  <w:marBottom w:val="0"/>
                  <w:divBdr>
                    <w:top w:val="none" w:sz="0" w:space="0" w:color="auto"/>
                    <w:left w:val="none" w:sz="0" w:space="0" w:color="auto"/>
                    <w:bottom w:val="none" w:sz="0" w:space="0" w:color="auto"/>
                    <w:right w:val="none" w:sz="0" w:space="0" w:color="auto"/>
                  </w:divBdr>
                </w:div>
                <w:div w:id="722212407">
                  <w:marLeft w:val="0"/>
                  <w:marRight w:val="0"/>
                  <w:marTop w:val="30"/>
                  <w:marBottom w:val="0"/>
                  <w:divBdr>
                    <w:top w:val="none" w:sz="0" w:space="0" w:color="auto"/>
                    <w:left w:val="none" w:sz="0" w:space="0" w:color="auto"/>
                    <w:bottom w:val="none" w:sz="0" w:space="0" w:color="auto"/>
                    <w:right w:val="none" w:sz="0" w:space="0" w:color="auto"/>
                  </w:divBdr>
                </w:div>
                <w:div w:id="950087549">
                  <w:marLeft w:val="0"/>
                  <w:marRight w:val="0"/>
                  <w:marTop w:val="30"/>
                  <w:marBottom w:val="0"/>
                  <w:divBdr>
                    <w:top w:val="none" w:sz="0" w:space="0" w:color="auto"/>
                    <w:left w:val="none" w:sz="0" w:space="0" w:color="auto"/>
                    <w:bottom w:val="none" w:sz="0" w:space="0" w:color="auto"/>
                    <w:right w:val="none" w:sz="0" w:space="0" w:color="auto"/>
                  </w:divBdr>
                </w:div>
                <w:div w:id="1786651411">
                  <w:marLeft w:val="0"/>
                  <w:marRight w:val="0"/>
                  <w:marTop w:val="30"/>
                  <w:marBottom w:val="0"/>
                  <w:divBdr>
                    <w:top w:val="none" w:sz="0" w:space="0" w:color="auto"/>
                    <w:left w:val="none" w:sz="0" w:space="0" w:color="auto"/>
                    <w:bottom w:val="none" w:sz="0" w:space="0" w:color="auto"/>
                    <w:right w:val="none" w:sz="0" w:space="0" w:color="auto"/>
                  </w:divBdr>
                </w:div>
                <w:div w:id="282536427">
                  <w:marLeft w:val="0"/>
                  <w:marRight w:val="0"/>
                  <w:marTop w:val="30"/>
                  <w:marBottom w:val="0"/>
                  <w:divBdr>
                    <w:top w:val="none" w:sz="0" w:space="0" w:color="auto"/>
                    <w:left w:val="none" w:sz="0" w:space="0" w:color="auto"/>
                    <w:bottom w:val="none" w:sz="0" w:space="0" w:color="auto"/>
                    <w:right w:val="none" w:sz="0" w:space="0" w:color="auto"/>
                  </w:divBdr>
                </w:div>
                <w:div w:id="503396363">
                  <w:marLeft w:val="0"/>
                  <w:marRight w:val="0"/>
                  <w:marTop w:val="30"/>
                  <w:marBottom w:val="0"/>
                  <w:divBdr>
                    <w:top w:val="none" w:sz="0" w:space="0" w:color="auto"/>
                    <w:left w:val="none" w:sz="0" w:space="0" w:color="auto"/>
                    <w:bottom w:val="none" w:sz="0" w:space="0" w:color="auto"/>
                    <w:right w:val="none" w:sz="0" w:space="0" w:color="auto"/>
                  </w:divBdr>
                </w:div>
                <w:div w:id="688063665">
                  <w:marLeft w:val="0"/>
                  <w:marRight w:val="0"/>
                  <w:marTop w:val="30"/>
                  <w:marBottom w:val="0"/>
                  <w:divBdr>
                    <w:top w:val="none" w:sz="0" w:space="0" w:color="auto"/>
                    <w:left w:val="none" w:sz="0" w:space="0" w:color="auto"/>
                    <w:bottom w:val="none" w:sz="0" w:space="0" w:color="auto"/>
                    <w:right w:val="none" w:sz="0" w:space="0" w:color="auto"/>
                  </w:divBdr>
                </w:div>
                <w:div w:id="313414538">
                  <w:marLeft w:val="0"/>
                  <w:marRight w:val="0"/>
                  <w:marTop w:val="30"/>
                  <w:marBottom w:val="0"/>
                  <w:divBdr>
                    <w:top w:val="none" w:sz="0" w:space="0" w:color="auto"/>
                    <w:left w:val="none" w:sz="0" w:space="0" w:color="auto"/>
                    <w:bottom w:val="none" w:sz="0" w:space="0" w:color="auto"/>
                    <w:right w:val="none" w:sz="0" w:space="0" w:color="auto"/>
                  </w:divBdr>
                </w:div>
                <w:div w:id="1860467702">
                  <w:marLeft w:val="0"/>
                  <w:marRight w:val="0"/>
                  <w:marTop w:val="30"/>
                  <w:marBottom w:val="0"/>
                  <w:divBdr>
                    <w:top w:val="none" w:sz="0" w:space="0" w:color="auto"/>
                    <w:left w:val="none" w:sz="0" w:space="0" w:color="auto"/>
                    <w:bottom w:val="none" w:sz="0" w:space="0" w:color="auto"/>
                    <w:right w:val="none" w:sz="0" w:space="0" w:color="auto"/>
                  </w:divBdr>
                </w:div>
              </w:divsChild>
            </w:div>
            <w:div w:id="18168996">
              <w:marLeft w:val="0"/>
              <w:marRight w:val="0"/>
              <w:marTop w:val="0"/>
              <w:marBottom w:val="0"/>
              <w:divBdr>
                <w:top w:val="none" w:sz="0" w:space="0" w:color="auto"/>
                <w:left w:val="none" w:sz="0" w:space="0" w:color="auto"/>
                <w:bottom w:val="none" w:sz="0" w:space="0" w:color="auto"/>
                <w:right w:val="none" w:sz="0" w:space="0" w:color="auto"/>
              </w:divBdr>
              <w:divsChild>
                <w:div w:id="2128353288">
                  <w:marLeft w:val="0"/>
                  <w:marRight w:val="0"/>
                  <w:marTop w:val="30"/>
                  <w:marBottom w:val="0"/>
                  <w:divBdr>
                    <w:top w:val="none" w:sz="0" w:space="0" w:color="auto"/>
                    <w:left w:val="none" w:sz="0" w:space="0" w:color="auto"/>
                    <w:bottom w:val="none" w:sz="0" w:space="0" w:color="auto"/>
                    <w:right w:val="none" w:sz="0" w:space="0" w:color="auto"/>
                  </w:divBdr>
                </w:div>
                <w:div w:id="2018533240">
                  <w:marLeft w:val="0"/>
                  <w:marRight w:val="0"/>
                  <w:marTop w:val="30"/>
                  <w:marBottom w:val="0"/>
                  <w:divBdr>
                    <w:top w:val="none" w:sz="0" w:space="0" w:color="auto"/>
                    <w:left w:val="none" w:sz="0" w:space="0" w:color="auto"/>
                    <w:bottom w:val="none" w:sz="0" w:space="0" w:color="auto"/>
                    <w:right w:val="none" w:sz="0" w:space="0" w:color="auto"/>
                  </w:divBdr>
                </w:div>
                <w:div w:id="838159174">
                  <w:marLeft w:val="0"/>
                  <w:marRight w:val="0"/>
                  <w:marTop w:val="30"/>
                  <w:marBottom w:val="0"/>
                  <w:divBdr>
                    <w:top w:val="none" w:sz="0" w:space="0" w:color="auto"/>
                    <w:left w:val="none" w:sz="0" w:space="0" w:color="auto"/>
                    <w:bottom w:val="none" w:sz="0" w:space="0" w:color="auto"/>
                    <w:right w:val="none" w:sz="0" w:space="0" w:color="auto"/>
                  </w:divBdr>
                </w:div>
                <w:div w:id="1486044623">
                  <w:marLeft w:val="0"/>
                  <w:marRight w:val="0"/>
                  <w:marTop w:val="30"/>
                  <w:marBottom w:val="0"/>
                  <w:divBdr>
                    <w:top w:val="none" w:sz="0" w:space="0" w:color="auto"/>
                    <w:left w:val="none" w:sz="0" w:space="0" w:color="auto"/>
                    <w:bottom w:val="none" w:sz="0" w:space="0" w:color="auto"/>
                    <w:right w:val="none" w:sz="0" w:space="0" w:color="auto"/>
                  </w:divBdr>
                </w:div>
                <w:div w:id="902985224">
                  <w:marLeft w:val="0"/>
                  <w:marRight w:val="0"/>
                  <w:marTop w:val="30"/>
                  <w:marBottom w:val="0"/>
                  <w:divBdr>
                    <w:top w:val="none" w:sz="0" w:space="0" w:color="auto"/>
                    <w:left w:val="none" w:sz="0" w:space="0" w:color="auto"/>
                    <w:bottom w:val="none" w:sz="0" w:space="0" w:color="auto"/>
                    <w:right w:val="none" w:sz="0" w:space="0" w:color="auto"/>
                  </w:divBdr>
                </w:div>
                <w:div w:id="1186478979">
                  <w:marLeft w:val="0"/>
                  <w:marRight w:val="0"/>
                  <w:marTop w:val="30"/>
                  <w:marBottom w:val="0"/>
                  <w:divBdr>
                    <w:top w:val="none" w:sz="0" w:space="0" w:color="auto"/>
                    <w:left w:val="none" w:sz="0" w:space="0" w:color="auto"/>
                    <w:bottom w:val="none" w:sz="0" w:space="0" w:color="auto"/>
                    <w:right w:val="none" w:sz="0" w:space="0" w:color="auto"/>
                  </w:divBdr>
                </w:div>
                <w:div w:id="504828111">
                  <w:marLeft w:val="0"/>
                  <w:marRight w:val="0"/>
                  <w:marTop w:val="30"/>
                  <w:marBottom w:val="0"/>
                  <w:divBdr>
                    <w:top w:val="none" w:sz="0" w:space="0" w:color="auto"/>
                    <w:left w:val="none" w:sz="0" w:space="0" w:color="auto"/>
                    <w:bottom w:val="none" w:sz="0" w:space="0" w:color="auto"/>
                    <w:right w:val="none" w:sz="0" w:space="0" w:color="auto"/>
                  </w:divBdr>
                </w:div>
                <w:div w:id="1331563402">
                  <w:marLeft w:val="0"/>
                  <w:marRight w:val="0"/>
                  <w:marTop w:val="30"/>
                  <w:marBottom w:val="0"/>
                  <w:divBdr>
                    <w:top w:val="none" w:sz="0" w:space="0" w:color="auto"/>
                    <w:left w:val="none" w:sz="0" w:space="0" w:color="auto"/>
                    <w:bottom w:val="none" w:sz="0" w:space="0" w:color="auto"/>
                    <w:right w:val="none" w:sz="0" w:space="0" w:color="auto"/>
                  </w:divBdr>
                </w:div>
                <w:div w:id="822694112">
                  <w:marLeft w:val="0"/>
                  <w:marRight w:val="0"/>
                  <w:marTop w:val="30"/>
                  <w:marBottom w:val="0"/>
                  <w:divBdr>
                    <w:top w:val="none" w:sz="0" w:space="0" w:color="auto"/>
                    <w:left w:val="none" w:sz="0" w:space="0" w:color="auto"/>
                    <w:bottom w:val="none" w:sz="0" w:space="0" w:color="auto"/>
                    <w:right w:val="none" w:sz="0" w:space="0" w:color="auto"/>
                  </w:divBdr>
                </w:div>
                <w:div w:id="1037119081">
                  <w:marLeft w:val="0"/>
                  <w:marRight w:val="0"/>
                  <w:marTop w:val="30"/>
                  <w:marBottom w:val="0"/>
                  <w:divBdr>
                    <w:top w:val="none" w:sz="0" w:space="0" w:color="auto"/>
                    <w:left w:val="none" w:sz="0" w:space="0" w:color="auto"/>
                    <w:bottom w:val="none" w:sz="0" w:space="0" w:color="auto"/>
                    <w:right w:val="none" w:sz="0" w:space="0" w:color="auto"/>
                  </w:divBdr>
                </w:div>
              </w:divsChild>
            </w:div>
            <w:div w:id="1447385774">
              <w:marLeft w:val="0"/>
              <w:marRight w:val="0"/>
              <w:marTop w:val="0"/>
              <w:marBottom w:val="0"/>
              <w:divBdr>
                <w:top w:val="none" w:sz="0" w:space="0" w:color="auto"/>
                <w:left w:val="none" w:sz="0" w:space="0" w:color="auto"/>
                <w:bottom w:val="none" w:sz="0" w:space="0" w:color="auto"/>
                <w:right w:val="none" w:sz="0" w:space="0" w:color="auto"/>
              </w:divBdr>
              <w:divsChild>
                <w:div w:id="1997100812">
                  <w:marLeft w:val="0"/>
                  <w:marRight w:val="0"/>
                  <w:marTop w:val="30"/>
                  <w:marBottom w:val="0"/>
                  <w:divBdr>
                    <w:top w:val="none" w:sz="0" w:space="0" w:color="auto"/>
                    <w:left w:val="none" w:sz="0" w:space="0" w:color="auto"/>
                    <w:bottom w:val="none" w:sz="0" w:space="0" w:color="auto"/>
                    <w:right w:val="none" w:sz="0" w:space="0" w:color="auto"/>
                  </w:divBdr>
                </w:div>
                <w:div w:id="2130586527">
                  <w:marLeft w:val="0"/>
                  <w:marRight w:val="0"/>
                  <w:marTop w:val="30"/>
                  <w:marBottom w:val="0"/>
                  <w:divBdr>
                    <w:top w:val="none" w:sz="0" w:space="0" w:color="auto"/>
                    <w:left w:val="none" w:sz="0" w:space="0" w:color="auto"/>
                    <w:bottom w:val="none" w:sz="0" w:space="0" w:color="auto"/>
                    <w:right w:val="none" w:sz="0" w:space="0" w:color="auto"/>
                  </w:divBdr>
                </w:div>
                <w:div w:id="383531596">
                  <w:marLeft w:val="0"/>
                  <w:marRight w:val="0"/>
                  <w:marTop w:val="30"/>
                  <w:marBottom w:val="0"/>
                  <w:divBdr>
                    <w:top w:val="none" w:sz="0" w:space="0" w:color="auto"/>
                    <w:left w:val="none" w:sz="0" w:space="0" w:color="auto"/>
                    <w:bottom w:val="none" w:sz="0" w:space="0" w:color="auto"/>
                    <w:right w:val="none" w:sz="0" w:space="0" w:color="auto"/>
                  </w:divBdr>
                </w:div>
                <w:div w:id="182017162">
                  <w:marLeft w:val="0"/>
                  <w:marRight w:val="0"/>
                  <w:marTop w:val="30"/>
                  <w:marBottom w:val="0"/>
                  <w:divBdr>
                    <w:top w:val="none" w:sz="0" w:space="0" w:color="auto"/>
                    <w:left w:val="none" w:sz="0" w:space="0" w:color="auto"/>
                    <w:bottom w:val="none" w:sz="0" w:space="0" w:color="auto"/>
                    <w:right w:val="none" w:sz="0" w:space="0" w:color="auto"/>
                  </w:divBdr>
                </w:div>
                <w:div w:id="856584323">
                  <w:marLeft w:val="0"/>
                  <w:marRight w:val="0"/>
                  <w:marTop w:val="30"/>
                  <w:marBottom w:val="0"/>
                  <w:divBdr>
                    <w:top w:val="none" w:sz="0" w:space="0" w:color="auto"/>
                    <w:left w:val="none" w:sz="0" w:space="0" w:color="auto"/>
                    <w:bottom w:val="none" w:sz="0" w:space="0" w:color="auto"/>
                    <w:right w:val="none" w:sz="0" w:space="0" w:color="auto"/>
                  </w:divBdr>
                </w:div>
                <w:div w:id="240798057">
                  <w:marLeft w:val="0"/>
                  <w:marRight w:val="0"/>
                  <w:marTop w:val="30"/>
                  <w:marBottom w:val="0"/>
                  <w:divBdr>
                    <w:top w:val="none" w:sz="0" w:space="0" w:color="auto"/>
                    <w:left w:val="none" w:sz="0" w:space="0" w:color="auto"/>
                    <w:bottom w:val="none" w:sz="0" w:space="0" w:color="auto"/>
                    <w:right w:val="none" w:sz="0" w:space="0" w:color="auto"/>
                  </w:divBdr>
                </w:div>
                <w:div w:id="1404521249">
                  <w:marLeft w:val="0"/>
                  <w:marRight w:val="0"/>
                  <w:marTop w:val="30"/>
                  <w:marBottom w:val="0"/>
                  <w:divBdr>
                    <w:top w:val="none" w:sz="0" w:space="0" w:color="auto"/>
                    <w:left w:val="none" w:sz="0" w:space="0" w:color="auto"/>
                    <w:bottom w:val="none" w:sz="0" w:space="0" w:color="auto"/>
                    <w:right w:val="none" w:sz="0" w:space="0" w:color="auto"/>
                  </w:divBdr>
                </w:div>
                <w:div w:id="1492598244">
                  <w:marLeft w:val="0"/>
                  <w:marRight w:val="0"/>
                  <w:marTop w:val="30"/>
                  <w:marBottom w:val="0"/>
                  <w:divBdr>
                    <w:top w:val="none" w:sz="0" w:space="0" w:color="auto"/>
                    <w:left w:val="none" w:sz="0" w:space="0" w:color="auto"/>
                    <w:bottom w:val="none" w:sz="0" w:space="0" w:color="auto"/>
                    <w:right w:val="none" w:sz="0" w:space="0" w:color="auto"/>
                  </w:divBdr>
                </w:div>
                <w:div w:id="1963030775">
                  <w:marLeft w:val="0"/>
                  <w:marRight w:val="0"/>
                  <w:marTop w:val="30"/>
                  <w:marBottom w:val="0"/>
                  <w:divBdr>
                    <w:top w:val="none" w:sz="0" w:space="0" w:color="auto"/>
                    <w:left w:val="none" w:sz="0" w:space="0" w:color="auto"/>
                    <w:bottom w:val="none" w:sz="0" w:space="0" w:color="auto"/>
                    <w:right w:val="none" w:sz="0" w:space="0" w:color="auto"/>
                  </w:divBdr>
                </w:div>
                <w:div w:id="1030304176">
                  <w:marLeft w:val="0"/>
                  <w:marRight w:val="0"/>
                  <w:marTop w:val="30"/>
                  <w:marBottom w:val="0"/>
                  <w:divBdr>
                    <w:top w:val="none" w:sz="0" w:space="0" w:color="auto"/>
                    <w:left w:val="none" w:sz="0" w:space="0" w:color="auto"/>
                    <w:bottom w:val="none" w:sz="0" w:space="0" w:color="auto"/>
                    <w:right w:val="none" w:sz="0" w:space="0" w:color="auto"/>
                  </w:divBdr>
                </w:div>
              </w:divsChild>
            </w:div>
            <w:div w:id="1369640931">
              <w:marLeft w:val="0"/>
              <w:marRight w:val="0"/>
              <w:marTop w:val="0"/>
              <w:marBottom w:val="0"/>
              <w:divBdr>
                <w:top w:val="none" w:sz="0" w:space="0" w:color="auto"/>
                <w:left w:val="none" w:sz="0" w:space="0" w:color="auto"/>
                <w:bottom w:val="none" w:sz="0" w:space="0" w:color="auto"/>
                <w:right w:val="none" w:sz="0" w:space="0" w:color="auto"/>
              </w:divBdr>
              <w:divsChild>
                <w:div w:id="1990787722">
                  <w:marLeft w:val="0"/>
                  <w:marRight w:val="0"/>
                  <w:marTop w:val="30"/>
                  <w:marBottom w:val="0"/>
                  <w:divBdr>
                    <w:top w:val="none" w:sz="0" w:space="0" w:color="auto"/>
                    <w:left w:val="none" w:sz="0" w:space="0" w:color="auto"/>
                    <w:bottom w:val="none" w:sz="0" w:space="0" w:color="auto"/>
                    <w:right w:val="none" w:sz="0" w:space="0" w:color="auto"/>
                  </w:divBdr>
                </w:div>
                <w:div w:id="1684090522">
                  <w:marLeft w:val="0"/>
                  <w:marRight w:val="0"/>
                  <w:marTop w:val="30"/>
                  <w:marBottom w:val="0"/>
                  <w:divBdr>
                    <w:top w:val="none" w:sz="0" w:space="0" w:color="auto"/>
                    <w:left w:val="none" w:sz="0" w:space="0" w:color="auto"/>
                    <w:bottom w:val="none" w:sz="0" w:space="0" w:color="auto"/>
                    <w:right w:val="none" w:sz="0" w:space="0" w:color="auto"/>
                  </w:divBdr>
                </w:div>
                <w:div w:id="1609695557">
                  <w:marLeft w:val="0"/>
                  <w:marRight w:val="0"/>
                  <w:marTop w:val="30"/>
                  <w:marBottom w:val="0"/>
                  <w:divBdr>
                    <w:top w:val="none" w:sz="0" w:space="0" w:color="auto"/>
                    <w:left w:val="none" w:sz="0" w:space="0" w:color="auto"/>
                    <w:bottom w:val="none" w:sz="0" w:space="0" w:color="auto"/>
                    <w:right w:val="none" w:sz="0" w:space="0" w:color="auto"/>
                  </w:divBdr>
                </w:div>
                <w:div w:id="1193107214">
                  <w:marLeft w:val="0"/>
                  <w:marRight w:val="0"/>
                  <w:marTop w:val="30"/>
                  <w:marBottom w:val="0"/>
                  <w:divBdr>
                    <w:top w:val="none" w:sz="0" w:space="0" w:color="auto"/>
                    <w:left w:val="none" w:sz="0" w:space="0" w:color="auto"/>
                    <w:bottom w:val="none" w:sz="0" w:space="0" w:color="auto"/>
                    <w:right w:val="none" w:sz="0" w:space="0" w:color="auto"/>
                  </w:divBdr>
                </w:div>
                <w:div w:id="1144740376">
                  <w:marLeft w:val="0"/>
                  <w:marRight w:val="0"/>
                  <w:marTop w:val="30"/>
                  <w:marBottom w:val="0"/>
                  <w:divBdr>
                    <w:top w:val="none" w:sz="0" w:space="0" w:color="auto"/>
                    <w:left w:val="none" w:sz="0" w:space="0" w:color="auto"/>
                    <w:bottom w:val="none" w:sz="0" w:space="0" w:color="auto"/>
                    <w:right w:val="none" w:sz="0" w:space="0" w:color="auto"/>
                  </w:divBdr>
                </w:div>
                <w:div w:id="1710303264">
                  <w:marLeft w:val="0"/>
                  <w:marRight w:val="0"/>
                  <w:marTop w:val="30"/>
                  <w:marBottom w:val="0"/>
                  <w:divBdr>
                    <w:top w:val="none" w:sz="0" w:space="0" w:color="auto"/>
                    <w:left w:val="none" w:sz="0" w:space="0" w:color="auto"/>
                    <w:bottom w:val="none" w:sz="0" w:space="0" w:color="auto"/>
                    <w:right w:val="none" w:sz="0" w:space="0" w:color="auto"/>
                  </w:divBdr>
                </w:div>
                <w:div w:id="1764181620">
                  <w:marLeft w:val="0"/>
                  <w:marRight w:val="0"/>
                  <w:marTop w:val="30"/>
                  <w:marBottom w:val="0"/>
                  <w:divBdr>
                    <w:top w:val="none" w:sz="0" w:space="0" w:color="auto"/>
                    <w:left w:val="none" w:sz="0" w:space="0" w:color="auto"/>
                    <w:bottom w:val="none" w:sz="0" w:space="0" w:color="auto"/>
                    <w:right w:val="none" w:sz="0" w:space="0" w:color="auto"/>
                  </w:divBdr>
                </w:div>
                <w:div w:id="1695423028">
                  <w:marLeft w:val="0"/>
                  <w:marRight w:val="0"/>
                  <w:marTop w:val="30"/>
                  <w:marBottom w:val="0"/>
                  <w:divBdr>
                    <w:top w:val="none" w:sz="0" w:space="0" w:color="auto"/>
                    <w:left w:val="none" w:sz="0" w:space="0" w:color="auto"/>
                    <w:bottom w:val="none" w:sz="0" w:space="0" w:color="auto"/>
                    <w:right w:val="none" w:sz="0" w:space="0" w:color="auto"/>
                  </w:divBdr>
                </w:div>
                <w:div w:id="1001741834">
                  <w:marLeft w:val="0"/>
                  <w:marRight w:val="0"/>
                  <w:marTop w:val="30"/>
                  <w:marBottom w:val="0"/>
                  <w:divBdr>
                    <w:top w:val="none" w:sz="0" w:space="0" w:color="auto"/>
                    <w:left w:val="none" w:sz="0" w:space="0" w:color="auto"/>
                    <w:bottom w:val="none" w:sz="0" w:space="0" w:color="auto"/>
                    <w:right w:val="none" w:sz="0" w:space="0" w:color="auto"/>
                  </w:divBdr>
                </w:div>
                <w:div w:id="1089623865">
                  <w:marLeft w:val="0"/>
                  <w:marRight w:val="0"/>
                  <w:marTop w:val="30"/>
                  <w:marBottom w:val="0"/>
                  <w:divBdr>
                    <w:top w:val="none" w:sz="0" w:space="0" w:color="auto"/>
                    <w:left w:val="none" w:sz="0" w:space="0" w:color="auto"/>
                    <w:bottom w:val="none" w:sz="0" w:space="0" w:color="auto"/>
                    <w:right w:val="none" w:sz="0" w:space="0" w:color="auto"/>
                  </w:divBdr>
                </w:div>
              </w:divsChild>
            </w:div>
            <w:div w:id="1819035163">
              <w:marLeft w:val="0"/>
              <w:marRight w:val="0"/>
              <w:marTop w:val="0"/>
              <w:marBottom w:val="0"/>
              <w:divBdr>
                <w:top w:val="none" w:sz="0" w:space="0" w:color="auto"/>
                <w:left w:val="none" w:sz="0" w:space="0" w:color="auto"/>
                <w:bottom w:val="none" w:sz="0" w:space="0" w:color="auto"/>
                <w:right w:val="none" w:sz="0" w:space="0" w:color="auto"/>
              </w:divBdr>
              <w:divsChild>
                <w:div w:id="1904221229">
                  <w:marLeft w:val="0"/>
                  <w:marRight w:val="0"/>
                  <w:marTop w:val="30"/>
                  <w:marBottom w:val="0"/>
                  <w:divBdr>
                    <w:top w:val="none" w:sz="0" w:space="0" w:color="auto"/>
                    <w:left w:val="none" w:sz="0" w:space="0" w:color="auto"/>
                    <w:bottom w:val="none" w:sz="0" w:space="0" w:color="auto"/>
                    <w:right w:val="none" w:sz="0" w:space="0" w:color="auto"/>
                  </w:divBdr>
                </w:div>
                <w:div w:id="150293209">
                  <w:marLeft w:val="0"/>
                  <w:marRight w:val="0"/>
                  <w:marTop w:val="30"/>
                  <w:marBottom w:val="0"/>
                  <w:divBdr>
                    <w:top w:val="none" w:sz="0" w:space="0" w:color="auto"/>
                    <w:left w:val="none" w:sz="0" w:space="0" w:color="auto"/>
                    <w:bottom w:val="none" w:sz="0" w:space="0" w:color="auto"/>
                    <w:right w:val="none" w:sz="0" w:space="0" w:color="auto"/>
                  </w:divBdr>
                </w:div>
                <w:div w:id="337655964">
                  <w:marLeft w:val="0"/>
                  <w:marRight w:val="0"/>
                  <w:marTop w:val="30"/>
                  <w:marBottom w:val="0"/>
                  <w:divBdr>
                    <w:top w:val="none" w:sz="0" w:space="0" w:color="auto"/>
                    <w:left w:val="none" w:sz="0" w:space="0" w:color="auto"/>
                    <w:bottom w:val="none" w:sz="0" w:space="0" w:color="auto"/>
                    <w:right w:val="none" w:sz="0" w:space="0" w:color="auto"/>
                  </w:divBdr>
                </w:div>
                <w:div w:id="1622027307">
                  <w:marLeft w:val="0"/>
                  <w:marRight w:val="0"/>
                  <w:marTop w:val="30"/>
                  <w:marBottom w:val="0"/>
                  <w:divBdr>
                    <w:top w:val="none" w:sz="0" w:space="0" w:color="auto"/>
                    <w:left w:val="none" w:sz="0" w:space="0" w:color="auto"/>
                    <w:bottom w:val="none" w:sz="0" w:space="0" w:color="auto"/>
                    <w:right w:val="none" w:sz="0" w:space="0" w:color="auto"/>
                  </w:divBdr>
                </w:div>
                <w:div w:id="2061855200">
                  <w:marLeft w:val="0"/>
                  <w:marRight w:val="0"/>
                  <w:marTop w:val="30"/>
                  <w:marBottom w:val="0"/>
                  <w:divBdr>
                    <w:top w:val="none" w:sz="0" w:space="0" w:color="auto"/>
                    <w:left w:val="none" w:sz="0" w:space="0" w:color="auto"/>
                    <w:bottom w:val="none" w:sz="0" w:space="0" w:color="auto"/>
                    <w:right w:val="none" w:sz="0" w:space="0" w:color="auto"/>
                  </w:divBdr>
                </w:div>
                <w:div w:id="1678342535">
                  <w:marLeft w:val="0"/>
                  <w:marRight w:val="0"/>
                  <w:marTop w:val="30"/>
                  <w:marBottom w:val="0"/>
                  <w:divBdr>
                    <w:top w:val="none" w:sz="0" w:space="0" w:color="auto"/>
                    <w:left w:val="none" w:sz="0" w:space="0" w:color="auto"/>
                    <w:bottom w:val="none" w:sz="0" w:space="0" w:color="auto"/>
                    <w:right w:val="none" w:sz="0" w:space="0" w:color="auto"/>
                  </w:divBdr>
                </w:div>
                <w:div w:id="1747148267">
                  <w:marLeft w:val="0"/>
                  <w:marRight w:val="0"/>
                  <w:marTop w:val="30"/>
                  <w:marBottom w:val="0"/>
                  <w:divBdr>
                    <w:top w:val="none" w:sz="0" w:space="0" w:color="auto"/>
                    <w:left w:val="none" w:sz="0" w:space="0" w:color="auto"/>
                    <w:bottom w:val="none" w:sz="0" w:space="0" w:color="auto"/>
                    <w:right w:val="none" w:sz="0" w:space="0" w:color="auto"/>
                  </w:divBdr>
                </w:div>
                <w:div w:id="383912192">
                  <w:marLeft w:val="0"/>
                  <w:marRight w:val="0"/>
                  <w:marTop w:val="30"/>
                  <w:marBottom w:val="0"/>
                  <w:divBdr>
                    <w:top w:val="none" w:sz="0" w:space="0" w:color="auto"/>
                    <w:left w:val="none" w:sz="0" w:space="0" w:color="auto"/>
                    <w:bottom w:val="none" w:sz="0" w:space="0" w:color="auto"/>
                    <w:right w:val="none" w:sz="0" w:space="0" w:color="auto"/>
                  </w:divBdr>
                </w:div>
                <w:div w:id="1155487573">
                  <w:marLeft w:val="0"/>
                  <w:marRight w:val="0"/>
                  <w:marTop w:val="30"/>
                  <w:marBottom w:val="0"/>
                  <w:divBdr>
                    <w:top w:val="none" w:sz="0" w:space="0" w:color="auto"/>
                    <w:left w:val="none" w:sz="0" w:space="0" w:color="auto"/>
                    <w:bottom w:val="none" w:sz="0" w:space="0" w:color="auto"/>
                    <w:right w:val="none" w:sz="0" w:space="0" w:color="auto"/>
                  </w:divBdr>
                </w:div>
                <w:div w:id="35785711">
                  <w:marLeft w:val="0"/>
                  <w:marRight w:val="0"/>
                  <w:marTop w:val="30"/>
                  <w:marBottom w:val="0"/>
                  <w:divBdr>
                    <w:top w:val="none" w:sz="0" w:space="0" w:color="auto"/>
                    <w:left w:val="none" w:sz="0" w:space="0" w:color="auto"/>
                    <w:bottom w:val="none" w:sz="0" w:space="0" w:color="auto"/>
                    <w:right w:val="none" w:sz="0" w:space="0" w:color="auto"/>
                  </w:divBdr>
                </w:div>
              </w:divsChild>
            </w:div>
            <w:div w:id="1522738953">
              <w:marLeft w:val="0"/>
              <w:marRight w:val="0"/>
              <w:marTop w:val="0"/>
              <w:marBottom w:val="0"/>
              <w:divBdr>
                <w:top w:val="none" w:sz="0" w:space="0" w:color="auto"/>
                <w:left w:val="none" w:sz="0" w:space="0" w:color="auto"/>
                <w:bottom w:val="none" w:sz="0" w:space="0" w:color="auto"/>
                <w:right w:val="none" w:sz="0" w:space="0" w:color="auto"/>
              </w:divBdr>
              <w:divsChild>
                <w:div w:id="647367339">
                  <w:marLeft w:val="0"/>
                  <w:marRight w:val="0"/>
                  <w:marTop w:val="30"/>
                  <w:marBottom w:val="0"/>
                  <w:divBdr>
                    <w:top w:val="none" w:sz="0" w:space="0" w:color="auto"/>
                    <w:left w:val="none" w:sz="0" w:space="0" w:color="auto"/>
                    <w:bottom w:val="none" w:sz="0" w:space="0" w:color="auto"/>
                    <w:right w:val="none" w:sz="0" w:space="0" w:color="auto"/>
                  </w:divBdr>
                </w:div>
                <w:div w:id="1264454608">
                  <w:marLeft w:val="0"/>
                  <w:marRight w:val="0"/>
                  <w:marTop w:val="30"/>
                  <w:marBottom w:val="0"/>
                  <w:divBdr>
                    <w:top w:val="none" w:sz="0" w:space="0" w:color="auto"/>
                    <w:left w:val="none" w:sz="0" w:space="0" w:color="auto"/>
                    <w:bottom w:val="none" w:sz="0" w:space="0" w:color="auto"/>
                    <w:right w:val="none" w:sz="0" w:space="0" w:color="auto"/>
                  </w:divBdr>
                </w:div>
                <w:div w:id="818576168">
                  <w:marLeft w:val="0"/>
                  <w:marRight w:val="0"/>
                  <w:marTop w:val="30"/>
                  <w:marBottom w:val="0"/>
                  <w:divBdr>
                    <w:top w:val="none" w:sz="0" w:space="0" w:color="auto"/>
                    <w:left w:val="none" w:sz="0" w:space="0" w:color="auto"/>
                    <w:bottom w:val="none" w:sz="0" w:space="0" w:color="auto"/>
                    <w:right w:val="none" w:sz="0" w:space="0" w:color="auto"/>
                  </w:divBdr>
                </w:div>
                <w:div w:id="1682125861">
                  <w:marLeft w:val="0"/>
                  <w:marRight w:val="0"/>
                  <w:marTop w:val="30"/>
                  <w:marBottom w:val="0"/>
                  <w:divBdr>
                    <w:top w:val="none" w:sz="0" w:space="0" w:color="auto"/>
                    <w:left w:val="none" w:sz="0" w:space="0" w:color="auto"/>
                    <w:bottom w:val="none" w:sz="0" w:space="0" w:color="auto"/>
                    <w:right w:val="none" w:sz="0" w:space="0" w:color="auto"/>
                  </w:divBdr>
                </w:div>
                <w:div w:id="219099714">
                  <w:marLeft w:val="0"/>
                  <w:marRight w:val="0"/>
                  <w:marTop w:val="30"/>
                  <w:marBottom w:val="0"/>
                  <w:divBdr>
                    <w:top w:val="none" w:sz="0" w:space="0" w:color="auto"/>
                    <w:left w:val="none" w:sz="0" w:space="0" w:color="auto"/>
                    <w:bottom w:val="none" w:sz="0" w:space="0" w:color="auto"/>
                    <w:right w:val="none" w:sz="0" w:space="0" w:color="auto"/>
                  </w:divBdr>
                </w:div>
                <w:div w:id="607934134">
                  <w:marLeft w:val="0"/>
                  <w:marRight w:val="0"/>
                  <w:marTop w:val="30"/>
                  <w:marBottom w:val="0"/>
                  <w:divBdr>
                    <w:top w:val="none" w:sz="0" w:space="0" w:color="auto"/>
                    <w:left w:val="none" w:sz="0" w:space="0" w:color="auto"/>
                    <w:bottom w:val="none" w:sz="0" w:space="0" w:color="auto"/>
                    <w:right w:val="none" w:sz="0" w:space="0" w:color="auto"/>
                  </w:divBdr>
                </w:div>
                <w:div w:id="458959747">
                  <w:marLeft w:val="0"/>
                  <w:marRight w:val="0"/>
                  <w:marTop w:val="30"/>
                  <w:marBottom w:val="0"/>
                  <w:divBdr>
                    <w:top w:val="none" w:sz="0" w:space="0" w:color="auto"/>
                    <w:left w:val="none" w:sz="0" w:space="0" w:color="auto"/>
                    <w:bottom w:val="none" w:sz="0" w:space="0" w:color="auto"/>
                    <w:right w:val="none" w:sz="0" w:space="0" w:color="auto"/>
                  </w:divBdr>
                </w:div>
                <w:div w:id="1499735948">
                  <w:marLeft w:val="0"/>
                  <w:marRight w:val="0"/>
                  <w:marTop w:val="30"/>
                  <w:marBottom w:val="0"/>
                  <w:divBdr>
                    <w:top w:val="none" w:sz="0" w:space="0" w:color="auto"/>
                    <w:left w:val="none" w:sz="0" w:space="0" w:color="auto"/>
                    <w:bottom w:val="none" w:sz="0" w:space="0" w:color="auto"/>
                    <w:right w:val="none" w:sz="0" w:space="0" w:color="auto"/>
                  </w:divBdr>
                </w:div>
                <w:div w:id="1088426337">
                  <w:marLeft w:val="0"/>
                  <w:marRight w:val="0"/>
                  <w:marTop w:val="30"/>
                  <w:marBottom w:val="0"/>
                  <w:divBdr>
                    <w:top w:val="none" w:sz="0" w:space="0" w:color="auto"/>
                    <w:left w:val="none" w:sz="0" w:space="0" w:color="auto"/>
                    <w:bottom w:val="none" w:sz="0" w:space="0" w:color="auto"/>
                    <w:right w:val="none" w:sz="0" w:space="0" w:color="auto"/>
                  </w:divBdr>
                </w:div>
                <w:div w:id="1434088615">
                  <w:marLeft w:val="0"/>
                  <w:marRight w:val="0"/>
                  <w:marTop w:val="30"/>
                  <w:marBottom w:val="0"/>
                  <w:divBdr>
                    <w:top w:val="none" w:sz="0" w:space="0" w:color="auto"/>
                    <w:left w:val="none" w:sz="0" w:space="0" w:color="auto"/>
                    <w:bottom w:val="none" w:sz="0" w:space="0" w:color="auto"/>
                    <w:right w:val="none" w:sz="0" w:space="0" w:color="auto"/>
                  </w:divBdr>
                </w:div>
              </w:divsChild>
            </w:div>
            <w:div w:id="906113428">
              <w:marLeft w:val="0"/>
              <w:marRight w:val="0"/>
              <w:marTop w:val="0"/>
              <w:marBottom w:val="0"/>
              <w:divBdr>
                <w:top w:val="none" w:sz="0" w:space="0" w:color="auto"/>
                <w:left w:val="none" w:sz="0" w:space="0" w:color="auto"/>
                <w:bottom w:val="none" w:sz="0" w:space="0" w:color="auto"/>
                <w:right w:val="none" w:sz="0" w:space="0" w:color="auto"/>
              </w:divBdr>
              <w:divsChild>
                <w:div w:id="81729066">
                  <w:marLeft w:val="0"/>
                  <w:marRight w:val="0"/>
                  <w:marTop w:val="30"/>
                  <w:marBottom w:val="0"/>
                  <w:divBdr>
                    <w:top w:val="none" w:sz="0" w:space="0" w:color="auto"/>
                    <w:left w:val="none" w:sz="0" w:space="0" w:color="auto"/>
                    <w:bottom w:val="none" w:sz="0" w:space="0" w:color="auto"/>
                    <w:right w:val="none" w:sz="0" w:space="0" w:color="auto"/>
                  </w:divBdr>
                </w:div>
                <w:div w:id="1481996747">
                  <w:marLeft w:val="0"/>
                  <w:marRight w:val="0"/>
                  <w:marTop w:val="30"/>
                  <w:marBottom w:val="0"/>
                  <w:divBdr>
                    <w:top w:val="none" w:sz="0" w:space="0" w:color="auto"/>
                    <w:left w:val="none" w:sz="0" w:space="0" w:color="auto"/>
                    <w:bottom w:val="none" w:sz="0" w:space="0" w:color="auto"/>
                    <w:right w:val="none" w:sz="0" w:space="0" w:color="auto"/>
                  </w:divBdr>
                </w:div>
                <w:div w:id="2080787205">
                  <w:marLeft w:val="0"/>
                  <w:marRight w:val="0"/>
                  <w:marTop w:val="30"/>
                  <w:marBottom w:val="0"/>
                  <w:divBdr>
                    <w:top w:val="none" w:sz="0" w:space="0" w:color="auto"/>
                    <w:left w:val="none" w:sz="0" w:space="0" w:color="auto"/>
                    <w:bottom w:val="none" w:sz="0" w:space="0" w:color="auto"/>
                    <w:right w:val="none" w:sz="0" w:space="0" w:color="auto"/>
                  </w:divBdr>
                </w:div>
                <w:div w:id="337931631">
                  <w:marLeft w:val="0"/>
                  <w:marRight w:val="0"/>
                  <w:marTop w:val="30"/>
                  <w:marBottom w:val="0"/>
                  <w:divBdr>
                    <w:top w:val="none" w:sz="0" w:space="0" w:color="auto"/>
                    <w:left w:val="none" w:sz="0" w:space="0" w:color="auto"/>
                    <w:bottom w:val="none" w:sz="0" w:space="0" w:color="auto"/>
                    <w:right w:val="none" w:sz="0" w:space="0" w:color="auto"/>
                  </w:divBdr>
                </w:div>
                <w:div w:id="1811821610">
                  <w:marLeft w:val="0"/>
                  <w:marRight w:val="0"/>
                  <w:marTop w:val="30"/>
                  <w:marBottom w:val="0"/>
                  <w:divBdr>
                    <w:top w:val="none" w:sz="0" w:space="0" w:color="auto"/>
                    <w:left w:val="none" w:sz="0" w:space="0" w:color="auto"/>
                    <w:bottom w:val="none" w:sz="0" w:space="0" w:color="auto"/>
                    <w:right w:val="none" w:sz="0" w:space="0" w:color="auto"/>
                  </w:divBdr>
                </w:div>
                <w:div w:id="1454255193">
                  <w:marLeft w:val="0"/>
                  <w:marRight w:val="0"/>
                  <w:marTop w:val="30"/>
                  <w:marBottom w:val="0"/>
                  <w:divBdr>
                    <w:top w:val="none" w:sz="0" w:space="0" w:color="auto"/>
                    <w:left w:val="none" w:sz="0" w:space="0" w:color="auto"/>
                    <w:bottom w:val="none" w:sz="0" w:space="0" w:color="auto"/>
                    <w:right w:val="none" w:sz="0" w:space="0" w:color="auto"/>
                  </w:divBdr>
                </w:div>
                <w:div w:id="1675763601">
                  <w:marLeft w:val="0"/>
                  <w:marRight w:val="0"/>
                  <w:marTop w:val="30"/>
                  <w:marBottom w:val="0"/>
                  <w:divBdr>
                    <w:top w:val="none" w:sz="0" w:space="0" w:color="auto"/>
                    <w:left w:val="none" w:sz="0" w:space="0" w:color="auto"/>
                    <w:bottom w:val="none" w:sz="0" w:space="0" w:color="auto"/>
                    <w:right w:val="none" w:sz="0" w:space="0" w:color="auto"/>
                  </w:divBdr>
                </w:div>
                <w:div w:id="479349736">
                  <w:marLeft w:val="0"/>
                  <w:marRight w:val="0"/>
                  <w:marTop w:val="30"/>
                  <w:marBottom w:val="0"/>
                  <w:divBdr>
                    <w:top w:val="none" w:sz="0" w:space="0" w:color="auto"/>
                    <w:left w:val="none" w:sz="0" w:space="0" w:color="auto"/>
                    <w:bottom w:val="none" w:sz="0" w:space="0" w:color="auto"/>
                    <w:right w:val="none" w:sz="0" w:space="0" w:color="auto"/>
                  </w:divBdr>
                </w:div>
                <w:div w:id="748307878">
                  <w:marLeft w:val="0"/>
                  <w:marRight w:val="0"/>
                  <w:marTop w:val="30"/>
                  <w:marBottom w:val="0"/>
                  <w:divBdr>
                    <w:top w:val="none" w:sz="0" w:space="0" w:color="auto"/>
                    <w:left w:val="none" w:sz="0" w:space="0" w:color="auto"/>
                    <w:bottom w:val="none" w:sz="0" w:space="0" w:color="auto"/>
                    <w:right w:val="none" w:sz="0" w:space="0" w:color="auto"/>
                  </w:divBdr>
                </w:div>
                <w:div w:id="112599894">
                  <w:marLeft w:val="0"/>
                  <w:marRight w:val="0"/>
                  <w:marTop w:val="30"/>
                  <w:marBottom w:val="0"/>
                  <w:divBdr>
                    <w:top w:val="none" w:sz="0" w:space="0" w:color="auto"/>
                    <w:left w:val="none" w:sz="0" w:space="0" w:color="auto"/>
                    <w:bottom w:val="none" w:sz="0" w:space="0" w:color="auto"/>
                    <w:right w:val="none" w:sz="0" w:space="0" w:color="auto"/>
                  </w:divBdr>
                </w:div>
              </w:divsChild>
            </w:div>
            <w:div w:id="1380663349">
              <w:marLeft w:val="0"/>
              <w:marRight w:val="0"/>
              <w:marTop w:val="0"/>
              <w:marBottom w:val="0"/>
              <w:divBdr>
                <w:top w:val="none" w:sz="0" w:space="0" w:color="auto"/>
                <w:left w:val="none" w:sz="0" w:space="0" w:color="auto"/>
                <w:bottom w:val="none" w:sz="0" w:space="0" w:color="auto"/>
                <w:right w:val="none" w:sz="0" w:space="0" w:color="auto"/>
              </w:divBdr>
              <w:divsChild>
                <w:div w:id="227695704">
                  <w:marLeft w:val="0"/>
                  <w:marRight w:val="0"/>
                  <w:marTop w:val="30"/>
                  <w:marBottom w:val="0"/>
                  <w:divBdr>
                    <w:top w:val="none" w:sz="0" w:space="0" w:color="auto"/>
                    <w:left w:val="none" w:sz="0" w:space="0" w:color="auto"/>
                    <w:bottom w:val="none" w:sz="0" w:space="0" w:color="auto"/>
                    <w:right w:val="none" w:sz="0" w:space="0" w:color="auto"/>
                  </w:divBdr>
                </w:div>
                <w:div w:id="1034309876">
                  <w:marLeft w:val="0"/>
                  <w:marRight w:val="0"/>
                  <w:marTop w:val="30"/>
                  <w:marBottom w:val="0"/>
                  <w:divBdr>
                    <w:top w:val="none" w:sz="0" w:space="0" w:color="auto"/>
                    <w:left w:val="none" w:sz="0" w:space="0" w:color="auto"/>
                    <w:bottom w:val="none" w:sz="0" w:space="0" w:color="auto"/>
                    <w:right w:val="none" w:sz="0" w:space="0" w:color="auto"/>
                  </w:divBdr>
                </w:div>
                <w:div w:id="1060861856">
                  <w:marLeft w:val="0"/>
                  <w:marRight w:val="0"/>
                  <w:marTop w:val="30"/>
                  <w:marBottom w:val="0"/>
                  <w:divBdr>
                    <w:top w:val="none" w:sz="0" w:space="0" w:color="auto"/>
                    <w:left w:val="none" w:sz="0" w:space="0" w:color="auto"/>
                    <w:bottom w:val="none" w:sz="0" w:space="0" w:color="auto"/>
                    <w:right w:val="none" w:sz="0" w:space="0" w:color="auto"/>
                  </w:divBdr>
                </w:div>
                <w:div w:id="1715155512">
                  <w:marLeft w:val="0"/>
                  <w:marRight w:val="0"/>
                  <w:marTop w:val="30"/>
                  <w:marBottom w:val="0"/>
                  <w:divBdr>
                    <w:top w:val="none" w:sz="0" w:space="0" w:color="auto"/>
                    <w:left w:val="none" w:sz="0" w:space="0" w:color="auto"/>
                    <w:bottom w:val="none" w:sz="0" w:space="0" w:color="auto"/>
                    <w:right w:val="none" w:sz="0" w:space="0" w:color="auto"/>
                  </w:divBdr>
                </w:div>
                <w:div w:id="312222487">
                  <w:marLeft w:val="0"/>
                  <w:marRight w:val="0"/>
                  <w:marTop w:val="30"/>
                  <w:marBottom w:val="0"/>
                  <w:divBdr>
                    <w:top w:val="none" w:sz="0" w:space="0" w:color="auto"/>
                    <w:left w:val="none" w:sz="0" w:space="0" w:color="auto"/>
                    <w:bottom w:val="none" w:sz="0" w:space="0" w:color="auto"/>
                    <w:right w:val="none" w:sz="0" w:space="0" w:color="auto"/>
                  </w:divBdr>
                </w:div>
                <w:div w:id="1242377275">
                  <w:marLeft w:val="0"/>
                  <w:marRight w:val="0"/>
                  <w:marTop w:val="30"/>
                  <w:marBottom w:val="0"/>
                  <w:divBdr>
                    <w:top w:val="none" w:sz="0" w:space="0" w:color="auto"/>
                    <w:left w:val="none" w:sz="0" w:space="0" w:color="auto"/>
                    <w:bottom w:val="none" w:sz="0" w:space="0" w:color="auto"/>
                    <w:right w:val="none" w:sz="0" w:space="0" w:color="auto"/>
                  </w:divBdr>
                </w:div>
                <w:div w:id="1663503483">
                  <w:marLeft w:val="0"/>
                  <w:marRight w:val="0"/>
                  <w:marTop w:val="30"/>
                  <w:marBottom w:val="0"/>
                  <w:divBdr>
                    <w:top w:val="none" w:sz="0" w:space="0" w:color="auto"/>
                    <w:left w:val="none" w:sz="0" w:space="0" w:color="auto"/>
                    <w:bottom w:val="none" w:sz="0" w:space="0" w:color="auto"/>
                    <w:right w:val="none" w:sz="0" w:space="0" w:color="auto"/>
                  </w:divBdr>
                </w:div>
                <w:div w:id="1583755265">
                  <w:marLeft w:val="0"/>
                  <w:marRight w:val="0"/>
                  <w:marTop w:val="30"/>
                  <w:marBottom w:val="0"/>
                  <w:divBdr>
                    <w:top w:val="none" w:sz="0" w:space="0" w:color="auto"/>
                    <w:left w:val="none" w:sz="0" w:space="0" w:color="auto"/>
                    <w:bottom w:val="none" w:sz="0" w:space="0" w:color="auto"/>
                    <w:right w:val="none" w:sz="0" w:space="0" w:color="auto"/>
                  </w:divBdr>
                </w:div>
                <w:div w:id="637227107">
                  <w:marLeft w:val="0"/>
                  <w:marRight w:val="0"/>
                  <w:marTop w:val="30"/>
                  <w:marBottom w:val="0"/>
                  <w:divBdr>
                    <w:top w:val="none" w:sz="0" w:space="0" w:color="auto"/>
                    <w:left w:val="none" w:sz="0" w:space="0" w:color="auto"/>
                    <w:bottom w:val="none" w:sz="0" w:space="0" w:color="auto"/>
                    <w:right w:val="none" w:sz="0" w:space="0" w:color="auto"/>
                  </w:divBdr>
                </w:div>
                <w:div w:id="2141723625">
                  <w:marLeft w:val="0"/>
                  <w:marRight w:val="0"/>
                  <w:marTop w:val="30"/>
                  <w:marBottom w:val="0"/>
                  <w:divBdr>
                    <w:top w:val="none" w:sz="0" w:space="0" w:color="auto"/>
                    <w:left w:val="none" w:sz="0" w:space="0" w:color="auto"/>
                    <w:bottom w:val="none" w:sz="0" w:space="0" w:color="auto"/>
                    <w:right w:val="none" w:sz="0" w:space="0" w:color="auto"/>
                  </w:divBdr>
                </w:div>
              </w:divsChild>
            </w:div>
            <w:div w:id="1288270147">
              <w:marLeft w:val="0"/>
              <w:marRight w:val="0"/>
              <w:marTop w:val="0"/>
              <w:marBottom w:val="0"/>
              <w:divBdr>
                <w:top w:val="none" w:sz="0" w:space="0" w:color="auto"/>
                <w:left w:val="none" w:sz="0" w:space="0" w:color="auto"/>
                <w:bottom w:val="none" w:sz="0" w:space="0" w:color="auto"/>
                <w:right w:val="none" w:sz="0" w:space="0" w:color="auto"/>
              </w:divBdr>
              <w:divsChild>
                <w:div w:id="1443767818">
                  <w:marLeft w:val="0"/>
                  <w:marRight w:val="0"/>
                  <w:marTop w:val="30"/>
                  <w:marBottom w:val="0"/>
                  <w:divBdr>
                    <w:top w:val="none" w:sz="0" w:space="0" w:color="auto"/>
                    <w:left w:val="none" w:sz="0" w:space="0" w:color="auto"/>
                    <w:bottom w:val="none" w:sz="0" w:space="0" w:color="auto"/>
                    <w:right w:val="none" w:sz="0" w:space="0" w:color="auto"/>
                  </w:divBdr>
                </w:div>
                <w:div w:id="1398090494">
                  <w:marLeft w:val="0"/>
                  <w:marRight w:val="0"/>
                  <w:marTop w:val="30"/>
                  <w:marBottom w:val="0"/>
                  <w:divBdr>
                    <w:top w:val="none" w:sz="0" w:space="0" w:color="auto"/>
                    <w:left w:val="none" w:sz="0" w:space="0" w:color="auto"/>
                    <w:bottom w:val="none" w:sz="0" w:space="0" w:color="auto"/>
                    <w:right w:val="none" w:sz="0" w:space="0" w:color="auto"/>
                  </w:divBdr>
                </w:div>
                <w:div w:id="1783183765">
                  <w:marLeft w:val="0"/>
                  <w:marRight w:val="0"/>
                  <w:marTop w:val="30"/>
                  <w:marBottom w:val="0"/>
                  <w:divBdr>
                    <w:top w:val="none" w:sz="0" w:space="0" w:color="auto"/>
                    <w:left w:val="none" w:sz="0" w:space="0" w:color="auto"/>
                    <w:bottom w:val="none" w:sz="0" w:space="0" w:color="auto"/>
                    <w:right w:val="none" w:sz="0" w:space="0" w:color="auto"/>
                  </w:divBdr>
                </w:div>
                <w:div w:id="740252821">
                  <w:marLeft w:val="0"/>
                  <w:marRight w:val="0"/>
                  <w:marTop w:val="30"/>
                  <w:marBottom w:val="0"/>
                  <w:divBdr>
                    <w:top w:val="none" w:sz="0" w:space="0" w:color="auto"/>
                    <w:left w:val="none" w:sz="0" w:space="0" w:color="auto"/>
                    <w:bottom w:val="none" w:sz="0" w:space="0" w:color="auto"/>
                    <w:right w:val="none" w:sz="0" w:space="0" w:color="auto"/>
                  </w:divBdr>
                </w:div>
                <w:div w:id="1988238586">
                  <w:marLeft w:val="0"/>
                  <w:marRight w:val="0"/>
                  <w:marTop w:val="30"/>
                  <w:marBottom w:val="0"/>
                  <w:divBdr>
                    <w:top w:val="none" w:sz="0" w:space="0" w:color="auto"/>
                    <w:left w:val="none" w:sz="0" w:space="0" w:color="auto"/>
                    <w:bottom w:val="none" w:sz="0" w:space="0" w:color="auto"/>
                    <w:right w:val="none" w:sz="0" w:space="0" w:color="auto"/>
                  </w:divBdr>
                </w:div>
                <w:div w:id="1017737225">
                  <w:marLeft w:val="0"/>
                  <w:marRight w:val="0"/>
                  <w:marTop w:val="30"/>
                  <w:marBottom w:val="0"/>
                  <w:divBdr>
                    <w:top w:val="none" w:sz="0" w:space="0" w:color="auto"/>
                    <w:left w:val="none" w:sz="0" w:space="0" w:color="auto"/>
                    <w:bottom w:val="none" w:sz="0" w:space="0" w:color="auto"/>
                    <w:right w:val="none" w:sz="0" w:space="0" w:color="auto"/>
                  </w:divBdr>
                </w:div>
                <w:div w:id="776872533">
                  <w:marLeft w:val="0"/>
                  <w:marRight w:val="0"/>
                  <w:marTop w:val="30"/>
                  <w:marBottom w:val="0"/>
                  <w:divBdr>
                    <w:top w:val="none" w:sz="0" w:space="0" w:color="auto"/>
                    <w:left w:val="none" w:sz="0" w:space="0" w:color="auto"/>
                    <w:bottom w:val="none" w:sz="0" w:space="0" w:color="auto"/>
                    <w:right w:val="none" w:sz="0" w:space="0" w:color="auto"/>
                  </w:divBdr>
                </w:div>
                <w:div w:id="990065463">
                  <w:marLeft w:val="0"/>
                  <w:marRight w:val="0"/>
                  <w:marTop w:val="30"/>
                  <w:marBottom w:val="0"/>
                  <w:divBdr>
                    <w:top w:val="none" w:sz="0" w:space="0" w:color="auto"/>
                    <w:left w:val="none" w:sz="0" w:space="0" w:color="auto"/>
                    <w:bottom w:val="none" w:sz="0" w:space="0" w:color="auto"/>
                    <w:right w:val="none" w:sz="0" w:space="0" w:color="auto"/>
                  </w:divBdr>
                </w:div>
                <w:div w:id="1685670145">
                  <w:marLeft w:val="0"/>
                  <w:marRight w:val="0"/>
                  <w:marTop w:val="30"/>
                  <w:marBottom w:val="0"/>
                  <w:divBdr>
                    <w:top w:val="none" w:sz="0" w:space="0" w:color="auto"/>
                    <w:left w:val="none" w:sz="0" w:space="0" w:color="auto"/>
                    <w:bottom w:val="none" w:sz="0" w:space="0" w:color="auto"/>
                    <w:right w:val="none" w:sz="0" w:space="0" w:color="auto"/>
                  </w:divBdr>
                </w:div>
                <w:div w:id="1349865733">
                  <w:marLeft w:val="0"/>
                  <w:marRight w:val="0"/>
                  <w:marTop w:val="30"/>
                  <w:marBottom w:val="0"/>
                  <w:divBdr>
                    <w:top w:val="none" w:sz="0" w:space="0" w:color="auto"/>
                    <w:left w:val="none" w:sz="0" w:space="0" w:color="auto"/>
                    <w:bottom w:val="none" w:sz="0" w:space="0" w:color="auto"/>
                    <w:right w:val="none" w:sz="0" w:space="0" w:color="auto"/>
                  </w:divBdr>
                </w:div>
              </w:divsChild>
            </w:div>
            <w:div w:id="857694480">
              <w:marLeft w:val="0"/>
              <w:marRight w:val="0"/>
              <w:marTop w:val="0"/>
              <w:marBottom w:val="0"/>
              <w:divBdr>
                <w:top w:val="none" w:sz="0" w:space="0" w:color="auto"/>
                <w:left w:val="none" w:sz="0" w:space="0" w:color="auto"/>
                <w:bottom w:val="none" w:sz="0" w:space="0" w:color="auto"/>
                <w:right w:val="none" w:sz="0" w:space="0" w:color="auto"/>
              </w:divBdr>
              <w:divsChild>
                <w:div w:id="1158350492">
                  <w:marLeft w:val="0"/>
                  <w:marRight w:val="0"/>
                  <w:marTop w:val="30"/>
                  <w:marBottom w:val="0"/>
                  <w:divBdr>
                    <w:top w:val="none" w:sz="0" w:space="0" w:color="auto"/>
                    <w:left w:val="none" w:sz="0" w:space="0" w:color="auto"/>
                    <w:bottom w:val="none" w:sz="0" w:space="0" w:color="auto"/>
                    <w:right w:val="none" w:sz="0" w:space="0" w:color="auto"/>
                  </w:divBdr>
                </w:div>
                <w:div w:id="375276038">
                  <w:marLeft w:val="0"/>
                  <w:marRight w:val="0"/>
                  <w:marTop w:val="30"/>
                  <w:marBottom w:val="0"/>
                  <w:divBdr>
                    <w:top w:val="none" w:sz="0" w:space="0" w:color="auto"/>
                    <w:left w:val="none" w:sz="0" w:space="0" w:color="auto"/>
                    <w:bottom w:val="none" w:sz="0" w:space="0" w:color="auto"/>
                    <w:right w:val="none" w:sz="0" w:space="0" w:color="auto"/>
                  </w:divBdr>
                </w:div>
                <w:div w:id="1872914246">
                  <w:marLeft w:val="0"/>
                  <w:marRight w:val="0"/>
                  <w:marTop w:val="30"/>
                  <w:marBottom w:val="0"/>
                  <w:divBdr>
                    <w:top w:val="none" w:sz="0" w:space="0" w:color="auto"/>
                    <w:left w:val="none" w:sz="0" w:space="0" w:color="auto"/>
                    <w:bottom w:val="none" w:sz="0" w:space="0" w:color="auto"/>
                    <w:right w:val="none" w:sz="0" w:space="0" w:color="auto"/>
                  </w:divBdr>
                </w:div>
                <w:div w:id="188153990">
                  <w:marLeft w:val="0"/>
                  <w:marRight w:val="0"/>
                  <w:marTop w:val="30"/>
                  <w:marBottom w:val="0"/>
                  <w:divBdr>
                    <w:top w:val="none" w:sz="0" w:space="0" w:color="auto"/>
                    <w:left w:val="none" w:sz="0" w:space="0" w:color="auto"/>
                    <w:bottom w:val="none" w:sz="0" w:space="0" w:color="auto"/>
                    <w:right w:val="none" w:sz="0" w:space="0" w:color="auto"/>
                  </w:divBdr>
                </w:div>
                <w:div w:id="363408374">
                  <w:marLeft w:val="0"/>
                  <w:marRight w:val="0"/>
                  <w:marTop w:val="30"/>
                  <w:marBottom w:val="0"/>
                  <w:divBdr>
                    <w:top w:val="none" w:sz="0" w:space="0" w:color="auto"/>
                    <w:left w:val="none" w:sz="0" w:space="0" w:color="auto"/>
                    <w:bottom w:val="none" w:sz="0" w:space="0" w:color="auto"/>
                    <w:right w:val="none" w:sz="0" w:space="0" w:color="auto"/>
                  </w:divBdr>
                </w:div>
                <w:div w:id="2136632965">
                  <w:marLeft w:val="0"/>
                  <w:marRight w:val="0"/>
                  <w:marTop w:val="30"/>
                  <w:marBottom w:val="0"/>
                  <w:divBdr>
                    <w:top w:val="none" w:sz="0" w:space="0" w:color="auto"/>
                    <w:left w:val="none" w:sz="0" w:space="0" w:color="auto"/>
                    <w:bottom w:val="none" w:sz="0" w:space="0" w:color="auto"/>
                    <w:right w:val="none" w:sz="0" w:space="0" w:color="auto"/>
                  </w:divBdr>
                </w:div>
                <w:div w:id="2106685896">
                  <w:marLeft w:val="0"/>
                  <w:marRight w:val="0"/>
                  <w:marTop w:val="30"/>
                  <w:marBottom w:val="0"/>
                  <w:divBdr>
                    <w:top w:val="none" w:sz="0" w:space="0" w:color="auto"/>
                    <w:left w:val="none" w:sz="0" w:space="0" w:color="auto"/>
                    <w:bottom w:val="none" w:sz="0" w:space="0" w:color="auto"/>
                    <w:right w:val="none" w:sz="0" w:space="0" w:color="auto"/>
                  </w:divBdr>
                </w:div>
                <w:div w:id="236211716">
                  <w:marLeft w:val="0"/>
                  <w:marRight w:val="0"/>
                  <w:marTop w:val="30"/>
                  <w:marBottom w:val="0"/>
                  <w:divBdr>
                    <w:top w:val="none" w:sz="0" w:space="0" w:color="auto"/>
                    <w:left w:val="none" w:sz="0" w:space="0" w:color="auto"/>
                    <w:bottom w:val="none" w:sz="0" w:space="0" w:color="auto"/>
                    <w:right w:val="none" w:sz="0" w:space="0" w:color="auto"/>
                  </w:divBdr>
                </w:div>
                <w:div w:id="519439069">
                  <w:marLeft w:val="0"/>
                  <w:marRight w:val="0"/>
                  <w:marTop w:val="30"/>
                  <w:marBottom w:val="0"/>
                  <w:divBdr>
                    <w:top w:val="none" w:sz="0" w:space="0" w:color="auto"/>
                    <w:left w:val="none" w:sz="0" w:space="0" w:color="auto"/>
                    <w:bottom w:val="none" w:sz="0" w:space="0" w:color="auto"/>
                    <w:right w:val="none" w:sz="0" w:space="0" w:color="auto"/>
                  </w:divBdr>
                </w:div>
                <w:div w:id="1652252807">
                  <w:marLeft w:val="0"/>
                  <w:marRight w:val="0"/>
                  <w:marTop w:val="30"/>
                  <w:marBottom w:val="0"/>
                  <w:divBdr>
                    <w:top w:val="none" w:sz="0" w:space="0" w:color="auto"/>
                    <w:left w:val="none" w:sz="0" w:space="0" w:color="auto"/>
                    <w:bottom w:val="none" w:sz="0" w:space="0" w:color="auto"/>
                    <w:right w:val="none" w:sz="0" w:space="0" w:color="auto"/>
                  </w:divBdr>
                </w:div>
              </w:divsChild>
            </w:div>
            <w:div w:id="1102259604">
              <w:marLeft w:val="0"/>
              <w:marRight w:val="0"/>
              <w:marTop w:val="0"/>
              <w:marBottom w:val="0"/>
              <w:divBdr>
                <w:top w:val="none" w:sz="0" w:space="0" w:color="auto"/>
                <w:left w:val="none" w:sz="0" w:space="0" w:color="auto"/>
                <w:bottom w:val="none" w:sz="0" w:space="0" w:color="auto"/>
                <w:right w:val="none" w:sz="0" w:space="0" w:color="auto"/>
              </w:divBdr>
              <w:divsChild>
                <w:div w:id="1479804390">
                  <w:marLeft w:val="0"/>
                  <w:marRight w:val="0"/>
                  <w:marTop w:val="30"/>
                  <w:marBottom w:val="0"/>
                  <w:divBdr>
                    <w:top w:val="none" w:sz="0" w:space="0" w:color="auto"/>
                    <w:left w:val="none" w:sz="0" w:space="0" w:color="auto"/>
                    <w:bottom w:val="none" w:sz="0" w:space="0" w:color="auto"/>
                    <w:right w:val="none" w:sz="0" w:space="0" w:color="auto"/>
                  </w:divBdr>
                </w:div>
                <w:div w:id="1625194285">
                  <w:marLeft w:val="0"/>
                  <w:marRight w:val="0"/>
                  <w:marTop w:val="30"/>
                  <w:marBottom w:val="0"/>
                  <w:divBdr>
                    <w:top w:val="none" w:sz="0" w:space="0" w:color="auto"/>
                    <w:left w:val="none" w:sz="0" w:space="0" w:color="auto"/>
                    <w:bottom w:val="none" w:sz="0" w:space="0" w:color="auto"/>
                    <w:right w:val="none" w:sz="0" w:space="0" w:color="auto"/>
                  </w:divBdr>
                </w:div>
                <w:div w:id="537857058">
                  <w:marLeft w:val="0"/>
                  <w:marRight w:val="0"/>
                  <w:marTop w:val="30"/>
                  <w:marBottom w:val="0"/>
                  <w:divBdr>
                    <w:top w:val="none" w:sz="0" w:space="0" w:color="auto"/>
                    <w:left w:val="none" w:sz="0" w:space="0" w:color="auto"/>
                    <w:bottom w:val="none" w:sz="0" w:space="0" w:color="auto"/>
                    <w:right w:val="none" w:sz="0" w:space="0" w:color="auto"/>
                  </w:divBdr>
                </w:div>
                <w:div w:id="1896546634">
                  <w:marLeft w:val="0"/>
                  <w:marRight w:val="0"/>
                  <w:marTop w:val="30"/>
                  <w:marBottom w:val="0"/>
                  <w:divBdr>
                    <w:top w:val="none" w:sz="0" w:space="0" w:color="auto"/>
                    <w:left w:val="none" w:sz="0" w:space="0" w:color="auto"/>
                    <w:bottom w:val="none" w:sz="0" w:space="0" w:color="auto"/>
                    <w:right w:val="none" w:sz="0" w:space="0" w:color="auto"/>
                  </w:divBdr>
                </w:div>
                <w:div w:id="165633444">
                  <w:marLeft w:val="0"/>
                  <w:marRight w:val="0"/>
                  <w:marTop w:val="30"/>
                  <w:marBottom w:val="0"/>
                  <w:divBdr>
                    <w:top w:val="none" w:sz="0" w:space="0" w:color="auto"/>
                    <w:left w:val="none" w:sz="0" w:space="0" w:color="auto"/>
                    <w:bottom w:val="none" w:sz="0" w:space="0" w:color="auto"/>
                    <w:right w:val="none" w:sz="0" w:space="0" w:color="auto"/>
                  </w:divBdr>
                </w:div>
                <w:div w:id="127863862">
                  <w:marLeft w:val="0"/>
                  <w:marRight w:val="0"/>
                  <w:marTop w:val="30"/>
                  <w:marBottom w:val="0"/>
                  <w:divBdr>
                    <w:top w:val="none" w:sz="0" w:space="0" w:color="auto"/>
                    <w:left w:val="none" w:sz="0" w:space="0" w:color="auto"/>
                    <w:bottom w:val="none" w:sz="0" w:space="0" w:color="auto"/>
                    <w:right w:val="none" w:sz="0" w:space="0" w:color="auto"/>
                  </w:divBdr>
                </w:div>
                <w:div w:id="1989943789">
                  <w:marLeft w:val="0"/>
                  <w:marRight w:val="0"/>
                  <w:marTop w:val="30"/>
                  <w:marBottom w:val="0"/>
                  <w:divBdr>
                    <w:top w:val="none" w:sz="0" w:space="0" w:color="auto"/>
                    <w:left w:val="none" w:sz="0" w:space="0" w:color="auto"/>
                    <w:bottom w:val="none" w:sz="0" w:space="0" w:color="auto"/>
                    <w:right w:val="none" w:sz="0" w:space="0" w:color="auto"/>
                  </w:divBdr>
                </w:div>
                <w:div w:id="163055316">
                  <w:marLeft w:val="0"/>
                  <w:marRight w:val="0"/>
                  <w:marTop w:val="30"/>
                  <w:marBottom w:val="0"/>
                  <w:divBdr>
                    <w:top w:val="none" w:sz="0" w:space="0" w:color="auto"/>
                    <w:left w:val="none" w:sz="0" w:space="0" w:color="auto"/>
                    <w:bottom w:val="none" w:sz="0" w:space="0" w:color="auto"/>
                    <w:right w:val="none" w:sz="0" w:space="0" w:color="auto"/>
                  </w:divBdr>
                </w:div>
                <w:div w:id="2037123238">
                  <w:marLeft w:val="0"/>
                  <w:marRight w:val="0"/>
                  <w:marTop w:val="30"/>
                  <w:marBottom w:val="0"/>
                  <w:divBdr>
                    <w:top w:val="none" w:sz="0" w:space="0" w:color="auto"/>
                    <w:left w:val="none" w:sz="0" w:space="0" w:color="auto"/>
                    <w:bottom w:val="none" w:sz="0" w:space="0" w:color="auto"/>
                    <w:right w:val="none" w:sz="0" w:space="0" w:color="auto"/>
                  </w:divBdr>
                </w:div>
                <w:div w:id="1311255046">
                  <w:marLeft w:val="0"/>
                  <w:marRight w:val="0"/>
                  <w:marTop w:val="30"/>
                  <w:marBottom w:val="0"/>
                  <w:divBdr>
                    <w:top w:val="none" w:sz="0" w:space="0" w:color="auto"/>
                    <w:left w:val="none" w:sz="0" w:space="0" w:color="auto"/>
                    <w:bottom w:val="none" w:sz="0" w:space="0" w:color="auto"/>
                    <w:right w:val="none" w:sz="0" w:space="0" w:color="auto"/>
                  </w:divBdr>
                </w:div>
              </w:divsChild>
            </w:div>
            <w:div w:id="786966006">
              <w:marLeft w:val="0"/>
              <w:marRight w:val="0"/>
              <w:marTop w:val="0"/>
              <w:marBottom w:val="0"/>
              <w:divBdr>
                <w:top w:val="none" w:sz="0" w:space="0" w:color="auto"/>
                <w:left w:val="none" w:sz="0" w:space="0" w:color="auto"/>
                <w:bottom w:val="none" w:sz="0" w:space="0" w:color="auto"/>
                <w:right w:val="none" w:sz="0" w:space="0" w:color="auto"/>
              </w:divBdr>
              <w:divsChild>
                <w:div w:id="815999017">
                  <w:marLeft w:val="0"/>
                  <w:marRight w:val="0"/>
                  <w:marTop w:val="30"/>
                  <w:marBottom w:val="0"/>
                  <w:divBdr>
                    <w:top w:val="none" w:sz="0" w:space="0" w:color="auto"/>
                    <w:left w:val="none" w:sz="0" w:space="0" w:color="auto"/>
                    <w:bottom w:val="none" w:sz="0" w:space="0" w:color="auto"/>
                    <w:right w:val="none" w:sz="0" w:space="0" w:color="auto"/>
                  </w:divBdr>
                </w:div>
                <w:div w:id="1237282445">
                  <w:marLeft w:val="0"/>
                  <w:marRight w:val="0"/>
                  <w:marTop w:val="30"/>
                  <w:marBottom w:val="0"/>
                  <w:divBdr>
                    <w:top w:val="none" w:sz="0" w:space="0" w:color="auto"/>
                    <w:left w:val="none" w:sz="0" w:space="0" w:color="auto"/>
                    <w:bottom w:val="none" w:sz="0" w:space="0" w:color="auto"/>
                    <w:right w:val="none" w:sz="0" w:space="0" w:color="auto"/>
                  </w:divBdr>
                </w:div>
                <w:div w:id="881600065">
                  <w:marLeft w:val="0"/>
                  <w:marRight w:val="0"/>
                  <w:marTop w:val="30"/>
                  <w:marBottom w:val="0"/>
                  <w:divBdr>
                    <w:top w:val="none" w:sz="0" w:space="0" w:color="auto"/>
                    <w:left w:val="none" w:sz="0" w:space="0" w:color="auto"/>
                    <w:bottom w:val="none" w:sz="0" w:space="0" w:color="auto"/>
                    <w:right w:val="none" w:sz="0" w:space="0" w:color="auto"/>
                  </w:divBdr>
                </w:div>
                <w:div w:id="705831236">
                  <w:marLeft w:val="0"/>
                  <w:marRight w:val="0"/>
                  <w:marTop w:val="30"/>
                  <w:marBottom w:val="0"/>
                  <w:divBdr>
                    <w:top w:val="none" w:sz="0" w:space="0" w:color="auto"/>
                    <w:left w:val="none" w:sz="0" w:space="0" w:color="auto"/>
                    <w:bottom w:val="none" w:sz="0" w:space="0" w:color="auto"/>
                    <w:right w:val="none" w:sz="0" w:space="0" w:color="auto"/>
                  </w:divBdr>
                </w:div>
                <w:div w:id="1139956331">
                  <w:marLeft w:val="0"/>
                  <w:marRight w:val="0"/>
                  <w:marTop w:val="30"/>
                  <w:marBottom w:val="0"/>
                  <w:divBdr>
                    <w:top w:val="none" w:sz="0" w:space="0" w:color="auto"/>
                    <w:left w:val="none" w:sz="0" w:space="0" w:color="auto"/>
                    <w:bottom w:val="none" w:sz="0" w:space="0" w:color="auto"/>
                    <w:right w:val="none" w:sz="0" w:space="0" w:color="auto"/>
                  </w:divBdr>
                </w:div>
                <w:div w:id="1794135204">
                  <w:marLeft w:val="0"/>
                  <w:marRight w:val="0"/>
                  <w:marTop w:val="30"/>
                  <w:marBottom w:val="0"/>
                  <w:divBdr>
                    <w:top w:val="none" w:sz="0" w:space="0" w:color="auto"/>
                    <w:left w:val="none" w:sz="0" w:space="0" w:color="auto"/>
                    <w:bottom w:val="none" w:sz="0" w:space="0" w:color="auto"/>
                    <w:right w:val="none" w:sz="0" w:space="0" w:color="auto"/>
                  </w:divBdr>
                </w:div>
                <w:div w:id="1161849655">
                  <w:marLeft w:val="0"/>
                  <w:marRight w:val="0"/>
                  <w:marTop w:val="30"/>
                  <w:marBottom w:val="0"/>
                  <w:divBdr>
                    <w:top w:val="none" w:sz="0" w:space="0" w:color="auto"/>
                    <w:left w:val="none" w:sz="0" w:space="0" w:color="auto"/>
                    <w:bottom w:val="none" w:sz="0" w:space="0" w:color="auto"/>
                    <w:right w:val="none" w:sz="0" w:space="0" w:color="auto"/>
                  </w:divBdr>
                </w:div>
                <w:div w:id="1099253407">
                  <w:marLeft w:val="0"/>
                  <w:marRight w:val="0"/>
                  <w:marTop w:val="30"/>
                  <w:marBottom w:val="0"/>
                  <w:divBdr>
                    <w:top w:val="none" w:sz="0" w:space="0" w:color="auto"/>
                    <w:left w:val="none" w:sz="0" w:space="0" w:color="auto"/>
                    <w:bottom w:val="none" w:sz="0" w:space="0" w:color="auto"/>
                    <w:right w:val="none" w:sz="0" w:space="0" w:color="auto"/>
                  </w:divBdr>
                </w:div>
                <w:div w:id="1376541142">
                  <w:marLeft w:val="0"/>
                  <w:marRight w:val="0"/>
                  <w:marTop w:val="30"/>
                  <w:marBottom w:val="0"/>
                  <w:divBdr>
                    <w:top w:val="none" w:sz="0" w:space="0" w:color="auto"/>
                    <w:left w:val="none" w:sz="0" w:space="0" w:color="auto"/>
                    <w:bottom w:val="none" w:sz="0" w:space="0" w:color="auto"/>
                    <w:right w:val="none" w:sz="0" w:space="0" w:color="auto"/>
                  </w:divBdr>
                </w:div>
                <w:div w:id="2024503175">
                  <w:marLeft w:val="0"/>
                  <w:marRight w:val="0"/>
                  <w:marTop w:val="30"/>
                  <w:marBottom w:val="0"/>
                  <w:divBdr>
                    <w:top w:val="none" w:sz="0" w:space="0" w:color="auto"/>
                    <w:left w:val="none" w:sz="0" w:space="0" w:color="auto"/>
                    <w:bottom w:val="none" w:sz="0" w:space="0" w:color="auto"/>
                    <w:right w:val="none" w:sz="0" w:space="0" w:color="auto"/>
                  </w:divBdr>
                </w:div>
              </w:divsChild>
            </w:div>
            <w:div w:id="1294019156">
              <w:marLeft w:val="0"/>
              <w:marRight w:val="0"/>
              <w:marTop w:val="0"/>
              <w:marBottom w:val="0"/>
              <w:divBdr>
                <w:top w:val="none" w:sz="0" w:space="0" w:color="auto"/>
                <w:left w:val="none" w:sz="0" w:space="0" w:color="auto"/>
                <w:bottom w:val="none" w:sz="0" w:space="0" w:color="auto"/>
                <w:right w:val="none" w:sz="0" w:space="0" w:color="auto"/>
              </w:divBdr>
              <w:divsChild>
                <w:div w:id="1491092204">
                  <w:marLeft w:val="0"/>
                  <w:marRight w:val="0"/>
                  <w:marTop w:val="30"/>
                  <w:marBottom w:val="0"/>
                  <w:divBdr>
                    <w:top w:val="none" w:sz="0" w:space="0" w:color="auto"/>
                    <w:left w:val="none" w:sz="0" w:space="0" w:color="auto"/>
                    <w:bottom w:val="none" w:sz="0" w:space="0" w:color="auto"/>
                    <w:right w:val="none" w:sz="0" w:space="0" w:color="auto"/>
                  </w:divBdr>
                </w:div>
                <w:div w:id="71706754">
                  <w:marLeft w:val="0"/>
                  <w:marRight w:val="0"/>
                  <w:marTop w:val="30"/>
                  <w:marBottom w:val="0"/>
                  <w:divBdr>
                    <w:top w:val="none" w:sz="0" w:space="0" w:color="auto"/>
                    <w:left w:val="none" w:sz="0" w:space="0" w:color="auto"/>
                    <w:bottom w:val="none" w:sz="0" w:space="0" w:color="auto"/>
                    <w:right w:val="none" w:sz="0" w:space="0" w:color="auto"/>
                  </w:divBdr>
                </w:div>
                <w:div w:id="151341121">
                  <w:marLeft w:val="0"/>
                  <w:marRight w:val="0"/>
                  <w:marTop w:val="30"/>
                  <w:marBottom w:val="0"/>
                  <w:divBdr>
                    <w:top w:val="none" w:sz="0" w:space="0" w:color="auto"/>
                    <w:left w:val="none" w:sz="0" w:space="0" w:color="auto"/>
                    <w:bottom w:val="none" w:sz="0" w:space="0" w:color="auto"/>
                    <w:right w:val="none" w:sz="0" w:space="0" w:color="auto"/>
                  </w:divBdr>
                </w:div>
                <w:div w:id="2021733524">
                  <w:marLeft w:val="0"/>
                  <w:marRight w:val="0"/>
                  <w:marTop w:val="30"/>
                  <w:marBottom w:val="0"/>
                  <w:divBdr>
                    <w:top w:val="none" w:sz="0" w:space="0" w:color="auto"/>
                    <w:left w:val="none" w:sz="0" w:space="0" w:color="auto"/>
                    <w:bottom w:val="none" w:sz="0" w:space="0" w:color="auto"/>
                    <w:right w:val="none" w:sz="0" w:space="0" w:color="auto"/>
                  </w:divBdr>
                </w:div>
                <w:div w:id="805044860">
                  <w:marLeft w:val="0"/>
                  <w:marRight w:val="0"/>
                  <w:marTop w:val="30"/>
                  <w:marBottom w:val="0"/>
                  <w:divBdr>
                    <w:top w:val="none" w:sz="0" w:space="0" w:color="auto"/>
                    <w:left w:val="none" w:sz="0" w:space="0" w:color="auto"/>
                    <w:bottom w:val="none" w:sz="0" w:space="0" w:color="auto"/>
                    <w:right w:val="none" w:sz="0" w:space="0" w:color="auto"/>
                  </w:divBdr>
                </w:div>
                <w:div w:id="1503855527">
                  <w:marLeft w:val="0"/>
                  <w:marRight w:val="0"/>
                  <w:marTop w:val="30"/>
                  <w:marBottom w:val="0"/>
                  <w:divBdr>
                    <w:top w:val="none" w:sz="0" w:space="0" w:color="auto"/>
                    <w:left w:val="none" w:sz="0" w:space="0" w:color="auto"/>
                    <w:bottom w:val="none" w:sz="0" w:space="0" w:color="auto"/>
                    <w:right w:val="none" w:sz="0" w:space="0" w:color="auto"/>
                  </w:divBdr>
                </w:div>
                <w:div w:id="616957417">
                  <w:marLeft w:val="0"/>
                  <w:marRight w:val="0"/>
                  <w:marTop w:val="30"/>
                  <w:marBottom w:val="0"/>
                  <w:divBdr>
                    <w:top w:val="none" w:sz="0" w:space="0" w:color="auto"/>
                    <w:left w:val="none" w:sz="0" w:space="0" w:color="auto"/>
                    <w:bottom w:val="none" w:sz="0" w:space="0" w:color="auto"/>
                    <w:right w:val="none" w:sz="0" w:space="0" w:color="auto"/>
                  </w:divBdr>
                </w:div>
                <w:div w:id="964430597">
                  <w:marLeft w:val="0"/>
                  <w:marRight w:val="0"/>
                  <w:marTop w:val="30"/>
                  <w:marBottom w:val="0"/>
                  <w:divBdr>
                    <w:top w:val="none" w:sz="0" w:space="0" w:color="auto"/>
                    <w:left w:val="none" w:sz="0" w:space="0" w:color="auto"/>
                    <w:bottom w:val="none" w:sz="0" w:space="0" w:color="auto"/>
                    <w:right w:val="none" w:sz="0" w:space="0" w:color="auto"/>
                  </w:divBdr>
                </w:div>
                <w:div w:id="1040940244">
                  <w:marLeft w:val="0"/>
                  <w:marRight w:val="0"/>
                  <w:marTop w:val="30"/>
                  <w:marBottom w:val="0"/>
                  <w:divBdr>
                    <w:top w:val="none" w:sz="0" w:space="0" w:color="auto"/>
                    <w:left w:val="none" w:sz="0" w:space="0" w:color="auto"/>
                    <w:bottom w:val="none" w:sz="0" w:space="0" w:color="auto"/>
                    <w:right w:val="none" w:sz="0" w:space="0" w:color="auto"/>
                  </w:divBdr>
                </w:div>
                <w:div w:id="40636889">
                  <w:marLeft w:val="0"/>
                  <w:marRight w:val="0"/>
                  <w:marTop w:val="30"/>
                  <w:marBottom w:val="0"/>
                  <w:divBdr>
                    <w:top w:val="none" w:sz="0" w:space="0" w:color="auto"/>
                    <w:left w:val="none" w:sz="0" w:space="0" w:color="auto"/>
                    <w:bottom w:val="none" w:sz="0" w:space="0" w:color="auto"/>
                    <w:right w:val="none" w:sz="0" w:space="0" w:color="auto"/>
                  </w:divBdr>
                </w:div>
              </w:divsChild>
            </w:div>
            <w:div w:id="369647771">
              <w:marLeft w:val="0"/>
              <w:marRight w:val="0"/>
              <w:marTop w:val="0"/>
              <w:marBottom w:val="0"/>
              <w:divBdr>
                <w:top w:val="none" w:sz="0" w:space="0" w:color="auto"/>
                <w:left w:val="none" w:sz="0" w:space="0" w:color="auto"/>
                <w:bottom w:val="none" w:sz="0" w:space="0" w:color="auto"/>
                <w:right w:val="none" w:sz="0" w:space="0" w:color="auto"/>
              </w:divBdr>
              <w:divsChild>
                <w:div w:id="1911384111">
                  <w:marLeft w:val="0"/>
                  <w:marRight w:val="0"/>
                  <w:marTop w:val="30"/>
                  <w:marBottom w:val="0"/>
                  <w:divBdr>
                    <w:top w:val="none" w:sz="0" w:space="0" w:color="auto"/>
                    <w:left w:val="none" w:sz="0" w:space="0" w:color="auto"/>
                    <w:bottom w:val="none" w:sz="0" w:space="0" w:color="auto"/>
                    <w:right w:val="none" w:sz="0" w:space="0" w:color="auto"/>
                  </w:divBdr>
                </w:div>
                <w:div w:id="2059816105">
                  <w:marLeft w:val="0"/>
                  <w:marRight w:val="0"/>
                  <w:marTop w:val="30"/>
                  <w:marBottom w:val="0"/>
                  <w:divBdr>
                    <w:top w:val="none" w:sz="0" w:space="0" w:color="auto"/>
                    <w:left w:val="none" w:sz="0" w:space="0" w:color="auto"/>
                    <w:bottom w:val="none" w:sz="0" w:space="0" w:color="auto"/>
                    <w:right w:val="none" w:sz="0" w:space="0" w:color="auto"/>
                  </w:divBdr>
                </w:div>
                <w:div w:id="506597320">
                  <w:marLeft w:val="0"/>
                  <w:marRight w:val="0"/>
                  <w:marTop w:val="30"/>
                  <w:marBottom w:val="0"/>
                  <w:divBdr>
                    <w:top w:val="none" w:sz="0" w:space="0" w:color="auto"/>
                    <w:left w:val="none" w:sz="0" w:space="0" w:color="auto"/>
                    <w:bottom w:val="none" w:sz="0" w:space="0" w:color="auto"/>
                    <w:right w:val="none" w:sz="0" w:space="0" w:color="auto"/>
                  </w:divBdr>
                </w:div>
                <w:div w:id="2089570768">
                  <w:marLeft w:val="0"/>
                  <w:marRight w:val="0"/>
                  <w:marTop w:val="30"/>
                  <w:marBottom w:val="0"/>
                  <w:divBdr>
                    <w:top w:val="none" w:sz="0" w:space="0" w:color="auto"/>
                    <w:left w:val="none" w:sz="0" w:space="0" w:color="auto"/>
                    <w:bottom w:val="none" w:sz="0" w:space="0" w:color="auto"/>
                    <w:right w:val="none" w:sz="0" w:space="0" w:color="auto"/>
                  </w:divBdr>
                </w:div>
                <w:div w:id="879779228">
                  <w:marLeft w:val="0"/>
                  <w:marRight w:val="0"/>
                  <w:marTop w:val="30"/>
                  <w:marBottom w:val="0"/>
                  <w:divBdr>
                    <w:top w:val="none" w:sz="0" w:space="0" w:color="auto"/>
                    <w:left w:val="none" w:sz="0" w:space="0" w:color="auto"/>
                    <w:bottom w:val="none" w:sz="0" w:space="0" w:color="auto"/>
                    <w:right w:val="none" w:sz="0" w:space="0" w:color="auto"/>
                  </w:divBdr>
                </w:div>
                <w:div w:id="1438528353">
                  <w:marLeft w:val="0"/>
                  <w:marRight w:val="0"/>
                  <w:marTop w:val="30"/>
                  <w:marBottom w:val="0"/>
                  <w:divBdr>
                    <w:top w:val="none" w:sz="0" w:space="0" w:color="auto"/>
                    <w:left w:val="none" w:sz="0" w:space="0" w:color="auto"/>
                    <w:bottom w:val="none" w:sz="0" w:space="0" w:color="auto"/>
                    <w:right w:val="none" w:sz="0" w:space="0" w:color="auto"/>
                  </w:divBdr>
                </w:div>
                <w:div w:id="982463722">
                  <w:marLeft w:val="0"/>
                  <w:marRight w:val="0"/>
                  <w:marTop w:val="30"/>
                  <w:marBottom w:val="0"/>
                  <w:divBdr>
                    <w:top w:val="none" w:sz="0" w:space="0" w:color="auto"/>
                    <w:left w:val="none" w:sz="0" w:space="0" w:color="auto"/>
                    <w:bottom w:val="none" w:sz="0" w:space="0" w:color="auto"/>
                    <w:right w:val="none" w:sz="0" w:space="0" w:color="auto"/>
                  </w:divBdr>
                </w:div>
                <w:div w:id="289553551">
                  <w:marLeft w:val="0"/>
                  <w:marRight w:val="0"/>
                  <w:marTop w:val="30"/>
                  <w:marBottom w:val="0"/>
                  <w:divBdr>
                    <w:top w:val="none" w:sz="0" w:space="0" w:color="auto"/>
                    <w:left w:val="none" w:sz="0" w:space="0" w:color="auto"/>
                    <w:bottom w:val="none" w:sz="0" w:space="0" w:color="auto"/>
                    <w:right w:val="none" w:sz="0" w:space="0" w:color="auto"/>
                  </w:divBdr>
                </w:div>
                <w:div w:id="1579486293">
                  <w:marLeft w:val="0"/>
                  <w:marRight w:val="0"/>
                  <w:marTop w:val="30"/>
                  <w:marBottom w:val="0"/>
                  <w:divBdr>
                    <w:top w:val="none" w:sz="0" w:space="0" w:color="auto"/>
                    <w:left w:val="none" w:sz="0" w:space="0" w:color="auto"/>
                    <w:bottom w:val="none" w:sz="0" w:space="0" w:color="auto"/>
                    <w:right w:val="none" w:sz="0" w:space="0" w:color="auto"/>
                  </w:divBdr>
                </w:div>
                <w:div w:id="347144262">
                  <w:marLeft w:val="0"/>
                  <w:marRight w:val="0"/>
                  <w:marTop w:val="30"/>
                  <w:marBottom w:val="0"/>
                  <w:divBdr>
                    <w:top w:val="none" w:sz="0" w:space="0" w:color="auto"/>
                    <w:left w:val="none" w:sz="0" w:space="0" w:color="auto"/>
                    <w:bottom w:val="none" w:sz="0" w:space="0" w:color="auto"/>
                    <w:right w:val="none" w:sz="0" w:space="0" w:color="auto"/>
                  </w:divBdr>
                </w:div>
              </w:divsChild>
            </w:div>
            <w:div w:id="1142455760">
              <w:marLeft w:val="0"/>
              <w:marRight w:val="0"/>
              <w:marTop w:val="0"/>
              <w:marBottom w:val="0"/>
              <w:divBdr>
                <w:top w:val="none" w:sz="0" w:space="0" w:color="auto"/>
                <w:left w:val="none" w:sz="0" w:space="0" w:color="auto"/>
                <w:bottom w:val="none" w:sz="0" w:space="0" w:color="auto"/>
                <w:right w:val="none" w:sz="0" w:space="0" w:color="auto"/>
              </w:divBdr>
              <w:divsChild>
                <w:div w:id="1141583727">
                  <w:marLeft w:val="0"/>
                  <w:marRight w:val="0"/>
                  <w:marTop w:val="30"/>
                  <w:marBottom w:val="0"/>
                  <w:divBdr>
                    <w:top w:val="none" w:sz="0" w:space="0" w:color="auto"/>
                    <w:left w:val="none" w:sz="0" w:space="0" w:color="auto"/>
                    <w:bottom w:val="none" w:sz="0" w:space="0" w:color="auto"/>
                    <w:right w:val="none" w:sz="0" w:space="0" w:color="auto"/>
                  </w:divBdr>
                </w:div>
                <w:div w:id="1027291419">
                  <w:marLeft w:val="0"/>
                  <w:marRight w:val="0"/>
                  <w:marTop w:val="30"/>
                  <w:marBottom w:val="0"/>
                  <w:divBdr>
                    <w:top w:val="none" w:sz="0" w:space="0" w:color="auto"/>
                    <w:left w:val="none" w:sz="0" w:space="0" w:color="auto"/>
                    <w:bottom w:val="none" w:sz="0" w:space="0" w:color="auto"/>
                    <w:right w:val="none" w:sz="0" w:space="0" w:color="auto"/>
                  </w:divBdr>
                </w:div>
                <w:div w:id="1385524055">
                  <w:marLeft w:val="0"/>
                  <w:marRight w:val="0"/>
                  <w:marTop w:val="30"/>
                  <w:marBottom w:val="0"/>
                  <w:divBdr>
                    <w:top w:val="none" w:sz="0" w:space="0" w:color="auto"/>
                    <w:left w:val="none" w:sz="0" w:space="0" w:color="auto"/>
                    <w:bottom w:val="none" w:sz="0" w:space="0" w:color="auto"/>
                    <w:right w:val="none" w:sz="0" w:space="0" w:color="auto"/>
                  </w:divBdr>
                </w:div>
                <w:div w:id="524640223">
                  <w:marLeft w:val="0"/>
                  <w:marRight w:val="0"/>
                  <w:marTop w:val="30"/>
                  <w:marBottom w:val="0"/>
                  <w:divBdr>
                    <w:top w:val="none" w:sz="0" w:space="0" w:color="auto"/>
                    <w:left w:val="none" w:sz="0" w:space="0" w:color="auto"/>
                    <w:bottom w:val="none" w:sz="0" w:space="0" w:color="auto"/>
                    <w:right w:val="none" w:sz="0" w:space="0" w:color="auto"/>
                  </w:divBdr>
                </w:div>
                <w:div w:id="475996004">
                  <w:marLeft w:val="0"/>
                  <w:marRight w:val="0"/>
                  <w:marTop w:val="30"/>
                  <w:marBottom w:val="0"/>
                  <w:divBdr>
                    <w:top w:val="none" w:sz="0" w:space="0" w:color="auto"/>
                    <w:left w:val="none" w:sz="0" w:space="0" w:color="auto"/>
                    <w:bottom w:val="none" w:sz="0" w:space="0" w:color="auto"/>
                    <w:right w:val="none" w:sz="0" w:space="0" w:color="auto"/>
                  </w:divBdr>
                </w:div>
                <w:div w:id="1124352538">
                  <w:marLeft w:val="0"/>
                  <w:marRight w:val="0"/>
                  <w:marTop w:val="30"/>
                  <w:marBottom w:val="0"/>
                  <w:divBdr>
                    <w:top w:val="none" w:sz="0" w:space="0" w:color="auto"/>
                    <w:left w:val="none" w:sz="0" w:space="0" w:color="auto"/>
                    <w:bottom w:val="none" w:sz="0" w:space="0" w:color="auto"/>
                    <w:right w:val="none" w:sz="0" w:space="0" w:color="auto"/>
                  </w:divBdr>
                </w:div>
                <w:div w:id="1868134716">
                  <w:marLeft w:val="0"/>
                  <w:marRight w:val="0"/>
                  <w:marTop w:val="30"/>
                  <w:marBottom w:val="0"/>
                  <w:divBdr>
                    <w:top w:val="none" w:sz="0" w:space="0" w:color="auto"/>
                    <w:left w:val="none" w:sz="0" w:space="0" w:color="auto"/>
                    <w:bottom w:val="none" w:sz="0" w:space="0" w:color="auto"/>
                    <w:right w:val="none" w:sz="0" w:space="0" w:color="auto"/>
                  </w:divBdr>
                </w:div>
                <w:div w:id="457990766">
                  <w:marLeft w:val="0"/>
                  <w:marRight w:val="0"/>
                  <w:marTop w:val="30"/>
                  <w:marBottom w:val="0"/>
                  <w:divBdr>
                    <w:top w:val="none" w:sz="0" w:space="0" w:color="auto"/>
                    <w:left w:val="none" w:sz="0" w:space="0" w:color="auto"/>
                    <w:bottom w:val="none" w:sz="0" w:space="0" w:color="auto"/>
                    <w:right w:val="none" w:sz="0" w:space="0" w:color="auto"/>
                  </w:divBdr>
                </w:div>
                <w:div w:id="710810438">
                  <w:marLeft w:val="0"/>
                  <w:marRight w:val="0"/>
                  <w:marTop w:val="30"/>
                  <w:marBottom w:val="0"/>
                  <w:divBdr>
                    <w:top w:val="none" w:sz="0" w:space="0" w:color="auto"/>
                    <w:left w:val="none" w:sz="0" w:space="0" w:color="auto"/>
                    <w:bottom w:val="none" w:sz="0" w:space="0" w:color="auto"/>
                    <w:right w:val="none" w:sz="0" w:space="0" w:color="auto"/>
                  </w:divBdr>
                </w:div>
                <w:div w:id="1480537670">
                  <w:marLeft w:val="0"/>
                  <w:marRight w:val="0"/>
                  <w:marTop w:val="30"/>
                  <w:marBottom w:val="0"/>
                  <w:divBdr>
                    <w:top w:val="none" w:sz="0" w:space="0" w:color="auto"/>
                    <w:left w:val="none" w:sz="0" w:space="0" w:color="auto"/>
                    <w:bottom w:val="none" w:sz="0" w:space="0" w:color="auto"/>
                    <w:right w:val="none" w:sz="0" w:space="0" w:color="auto"/>
                  </w:divBdr>
                </w:div>
              </w:divsChild>
            </w:div>
            <w:div w:id="684286339">
              <w:marLeft w:val="0"/>
              <w:marRight w:val="0"/>
              <w:marTop w:val="0"/>
              <w:marBottom w:val="0"/>
              <w:divBdr>
                <w:top w:val="none" w:sz="0" w:space="0" w:color="auto"/>
                <w:left w:val="none" w:sz="0" w:space="0" w:color="auto"/>
                <w:bottom w:val="none" w:sz="0" w:space="0" w:color="auto"/>
                <w:right w:val="none" w:sz="0" w:space="0" w:color="auto"/>
              </w:divBdr>
              <w:divsChild>
                <w:div w:id="1379545965">
                  <w:marLeft w:val="0"/>
                  <w:marRight w:val="0"/>
                  <w:marTop w:val="30"/>
                  <w:marBottom w:val="0"/>
                  <w:divBdr>
                    <w:top w:val="none" w:sz="0" w:space="0" w:color="auto"/>
                    <w:left w:val="none" w:sz="0" w:space="0" w:color="auto"/>
                    <w:bottom w:val="none" w:sz="0" w:space="0" w:color="auto"/>
                    <w:right w:val="none" w:sz="0" w:space="0" w:color="auto"/>
                  </w:divBdr>
                </w:div>
                <w:div w:id="101535947">
                  <w:marLeft w:val="0"/>
                  <w:marRight w:val="0"/>
                  <w:marTop w:val="30"/>
                  <w:marBottom w:val="0"/>
                  <w:divBdr>
                    <w:top w:val="none" w:sz="0" w:space="0" w:color="auto"/>
                    <w:left w:val="none" w:sz="0" w:space="0" w:color="auto"/>
                    <w:bottom w:val="none" w:sz="0" w:space="0" w:color="auto"/>
                    <w:right w:val="none" w:sz="0" w:space="0" w:color="auto"/>
                  </w:divBdr>
                </w:div>
                <w:div w:id="734741995">
                  <w:marLeft w:val="0"/>
                  <w:marRight w:val="0"/>
                  <w:marTop w:val="30"/>
                  <w:marBottom w:val="0"/>
                  <w:divBdr>
                    <w:top w:val="none" w:sz="0" w:space="0" w:color="auto"/>
                    <w:left w:val="none" w:sz="0" w:space="0" w:color="auto"/>
                    <w:bottom w:val="none" w:sz="0" w:space="0" w:color="auto"/>
                    <w:right w:val="none" w:sz="0" w:space="0" w:color="auto"/>
                  </w:divBdr>
                </w:div>
                <w:div w:id="1872498720">
                  <w:marLeft w:val="0"/>
                  <w:marRight w:val="0"/>
                  <w:marTop w:val="30"/>
                  <w:marBottom w:val="0"/>
                  <w:divBdr>
                    <w:top w:val="none" w:sz="0" w:space="0" w:color="auto"/>
                    <w:left w:val="none" w:sz="0" w:space="0" w:color="auto"/>
                    <w:bottom w:val="none" w:sz="0" w:space="0" w:color="auto"/>
                    <w:right w:val="none" w:sz="0" w:space="0" w:color="auto"/>
                  </w:divBdr>
                </w:div>
                <w:div w:id="717782609">
                  <w:marLeft w:val="0"/>
                  <w:marRight w:val="0"/>
                  <w:marTop w:val="30"/>
                  <w:marBottom w:val="0"/>
                  <w:divBdr>
                    <w:top w:val="none" w:sz="0" w:space="0" w:color="auto"/>
                    <w:left w:val="none" w:sz="0" w:space="0" w:color="auto"/>
                    <w:bottom w:val="none" w:sz="0" w:space="0" w:color="auto"/>
                    <w:right w:val="none" w:sz="0" w:space="0" w:color="auto"/>
                  </w:divBdr>
                </w:div>
                <w:div w:id="198394050">
                  <w:marLeft w:val="0"/>
                  <w:marRight w:val="0"/>
                  <w:marTop w:val="30"/>
                  <w:marBottom w:val="0"/>
                  <w:divBdr>
                    <w:top w:val="none" w:sz="0" w:space="0" w:color="auto"/>
                    <w:left w:val="none" w:sz="0" w:space="0" w:color="auto"/>
                    <w:bottom w:val="none" w:sz="0" w:space="0" w:color="auto"/>
                    <w:right w:val="none" w:sz="0" w:space="0" w:color="auto"/>
                  </w:divBdr>
                </w:div>
                <w:div w:id="1936357420">
                  <w:marLeft w:val="0"/>
                  <w:marRight w:val="0"/>
                  <w:marTop w:val="30"/>
                  <w:marBottom w:val="0"/>
                  <w:divBdr>
                    <w:top w:val="none" w:sz="0" w:space="0" w:color="auto"/>
                    <w:left w:val="none" w:sz="0" w:space="0" w:color="auto"/>
                    <w:bottom w:val="none" w:sz="0" w:space="0" w:color="auto"/>
                    <w:right w:val="none" w:sz="0" w:space="0" w:color="auto"/>
                  </w:divBdr>
                </w:div>
                <w:div w:id="1799911286">
                  <w:marLeft w:val="0"/>
                  <w:marRight w:val="0"/>
                  <w:marTop w:val="30"/>
                  <w:marBottom w:val="0"/>
                  <w:divBdr>
                    <w:top w:val="none" w:sz="0" w:space="0" w:color="auto"/>
                    <w:left w:val="none" w:sz="0" w:space="0" w:color="auto"/>
                    <w:bottom w:val="none" w:sz="0" w:space="0" w:color="auto"/>
                    <w:right w:val="none" w:sz="0" w:space="0" w:color="auto"/>
                  </w:divBdr>
                </w:div>
                <w:div w:id="382293450">
                  <w:marLeft w:val="0"/>
                  <w:marRight w:val="0"/>
                  <w:marTop w:val="30"/>
                  <w:marBottom w:val="0"/>
                  <w:divBdr>
                    <w:top w:val="none" w:sz="0" w:space="0" w:color="auto"/>
                    <w:left w:val="none" w:sz="0" w:space="0" w:color="auto"/>
                    <w:bottom w:val="none" w:sz="0" w:space="0" w:color="auto"/>
                    <w:right w:val="none" w:sz="0" w:space="0" w:color="auto"/>
                  </w:divBdr>
                </w:div>
                <w:div w:id="984166945">
                  <w:marLeft w:val="0"/>
                  <w:marRight w:val="0"/>
                  <w:marTop w:val="30"/>
                  <w:marBottom w:val="0"/>
                  <w:divBdr>
                    <w:top w:val="none" w:sz="0" w:space="0" w:color="auto"/>
                    <w:left w:val="none" w:sz="0" w:space="0" w:color="auto"/>
                    <w:bottom w:val="none" w:sz="0" w:space="0" w:color="auto"/>
                    <w:right w:val="none" w:sz="0" w:space="0" w:color="auto"/>
                  </w:divBdr>
                </w:div>
              </w:divsChild>
            </w:div>
            <w:div w:id="2120947651">
              <w:marLeft w:val="0"/>
              <w:marRight w:val="0"/>
              <w:marTop w:val="0"/>
              <w:marBottom w:val="0"/>
              <w:divBdr>
                <w:top w:val="none" w:sz="0" w:space="0" w:color="auto"/>
                <w:left w:val="none" w:sz="0" w:space="0" w:color="auto"/>
                <w:bottom w:val="none" w:sz="0" w:space="0" w:color="auto"/>
                <w:right w:val="none" w:sz="0" w:space="0" w:color="auto"/>
              </w:divBdr>
              <w:divsChild>
                <w:div w:id="202328473">
                  <w:marLeft w:val="0"/>
                  <w:marRight w:val="0"/>
                  <w:marTop w:val="30"/>
                  <w:marBottom w:val="0"/>
                  <w:divBdr>
                    <w:top w:val="none" w:sz="0" w:space="0" w:color="auto"/>
                    <w:left w:val="none" w:sz="0" w:space="0" w:color="auto"/>
                    <w:bottom w:val="none" w:sz="0" w:space="0" w:color="auto"/>
                    <w:right w:val="none" w:sz="0" w:space="0" w:color="auto"/>
                  </w:divBdr>
                </w:div>
                <w:div w:id="589512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89273068">
      <w:bodyDiv w:val="1"/>
      <w:marLeft w:val="0"/>
      <w:marRight w:val="0"/>
      <w:marTop w:val="0"/>
      <w:marBottom w:val="0"/>
      <w:divBdr>
        <w:top w:val="none" w:sz="0" w:space="0" w:color="auto"/>
        <w:left w:val="none" w:sz="0" w:space="0" w:color="auto"/>
        <w:bottom w:val="none" w:sz="0" w:space="0" w:color="auto"/>
        <w:right w:val="none" w:sz="0" w:space="0" w:color="auto"/>
      </w:divBdr>
      <w:divsChild>
        <w:div w:id="1409229799">
          <w:marLeft w:val="0"/>
          <w:marRight w:val="0"/>
          <w:marTop w:val="0"/>
          <w:marBottom w:val="0"/>
          <w:divBdr>
            <w:top w:val="none" w:sz="0" w:space="0" w:color="auto"/>
            <w:left w:val="none" w:sz="0" w:space="0" w:color="auto"/>
            <w:bottom w:val="none" w:sz="0" w:space="0" w:color="auto"/>
            <w:right w:val="none" w:sz="0" w:space="0" w:color="auto"/>
          </w:divBdr>
          <w:divsChild>
            <w:div w:id="806699178">
              <w:marLeft w:val="0"/>
              <w:marRight w:val="0"/>
              <w:marTop w:val="0"/>
              <w:marBottom w:val="0"/>
              <w:divBdr>
                <w:top w:val="none" w:sz="0" w:space="0" w:color="auto"/>
                <w:left w:val="none" w:sz="0" w:space="0" w:color="auto"/>
                <w:bottom w:val="none" w:sz="0" w:space="0" w:color="auto"/>
                <w:right w:val="none" w:sz="0" w:space="0" w:color="auto"/>
              </w:divBdr>
              <w:divsChild>
                <w:div w:id="1443105911">
                  <w:marLeft w:val="0"/>
                  <w:marRight w:val="0"/>
                  <w:marTop w:val="0"/>
                  <w:marBottom w:val="0"/>
                  <w:divBdr>
                    <w:top w:val="none" w:sz="0" w:space="0" w:color="auto"/>
                    <w:left w:val="none" w:sz="0" w:space="0" w:color="auto"/>
                    <w:bottom w:val="none" w:sz="0" w:space="0" w:color="auto"/>
                    <w:right w:val="none" w:sz="0" w:space="0" w:color="auto"/>
                  </w:divBdr>
                  <w:divsChild>
                    <w:div w:id="8312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3542">
      <w:bodyDiv w:val="1"/>
      <w:marLeft w:val="0"/>
      <w:marRight w:val="0"/>
      <w:marTop w:val="0"/>
      <w:marBottom w:val="0"/>
      <w:divBdr>
        <w:top w:val="none" w:sz="0" w:space="0" w:color="auto"/>
        <w:left w:val="none" w:sz="0" w:space="0" w:color="auto"/>
        <w:bottom w:val="none" w:sz="0" w:space="0" w:color="auto"/>
        <w:right w:val="none" w:sz="0" w:space="0" w:color="auto"/>
      </w:divBdr>
    </w:div>
    <w:div w:id="1927616906">
      <w:bodyDiv w:val="1"/>
      <w:marLeft w:val="0"/>
      <w:marRight w:val="0"/>
      <w:marTop w:val="0"/>
      <w:marBottom w:val="0"/>
      <w:divBdr>
        <w:top w:val="none" w:sz="0" w:space="0" w:color="auto"/>
        <w:left w:val="none" w:sz="0" w:space="0" w:color="auto"/>
        <w:bottom w:val="none" w:sz="0" w:space="0" w:color="auto"/>
        <w:right w:val="none" w:sz="0" w:space="0" w:color="auto"/>
      </w:divBdr>
      <w:divsChild>
        <w:div w:id="872381091">
          <w:marLeft w:val="0"/>
          <w:marRight w:val="0"/>
          <w:marTop w:val="0"/>
          <w:marBottom w:val="0"/>
          <w:divBdr>
            <w:top w:val="none" w:sz="0" w:space="0" w:color="auto"/>
            <w:left w:val="none" w:sz="0" w:space="0" w:color="auto"/>
            <w:bottom w:val="none" w:sz="0" w:space="0" w:color="auto"/>
            <w:right w:val="none" w:sz="0" w:space="0" w:color="auto"/>
          </w:divBdr>
          <w:divsChild>
            <w:div w:id="674960984">
              <w:marLeft w:val="0"/>
              <w:marRight w:val="0"/>
              <w:marTop w:val="0"/>
              <w:marBottom w:val="0"/>
              <w:divBdr>
                <w:top w:val="none" w:sz="0" w:space="0" w:color="auto"/>
                <w:left w:val="none" w:sz="0" w:space="0" w:color="auto"/>
                <w:bottom w:val="none" w:sz="0" w:space="0" w:color="auto"/>
                <w:right w:val="none" w:sz="0" w:space="0" w:color="auto"/>
              </w:divBdr>
              <w:divsChild>
                <w:div w:id="1481843849">
                  <w:marLeft w:val="0"/>
                  <w:marRight w:val="0"/>
                  <w:marTop w:val="0"/>
                  <w:marBottom w:val="0"/>
                  <w:divBdr>
                    <w:top w:val="none" w:sz="0" w:space="0" w:color="auto"/>
                    <w:left w:val="none" w:sz="0" w:space="0" w:color="auto"/>
                    <w:bottom w:val="none" w:sz="0" w:space="0" w:color="auto"/>
                    <w:right w:val="none" w:sz="0" w:space="0" w:color="auto"/>
                  </w:divBdr>
                  <w:divsChild>
                    <w:div w:id="2799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urzy.cz" TargetMode="External"/><Relationship Id="rId117" Type="http://schemas.openxmlformats.org/officeDocument/2006/relationships/hyperlink" Target="http://www.ecb.int/mopo/intro/html/index.en.html" TargetMode="External"/><Relationship Id="rId21" Type="http://schemas.openxmlformats.org/officeDocument/2006/relationships/oleObject" Target="embeddings/oleObject3.bin"/><Relationship Id="rId42" Type="http://schemas.openxmlformats.org/officeDocument/2006/relationships/oleObject" Target="embeddings/oleObject12.bin"/><Relationship Id="rId47" Type="http://schemas.openxmlformats.org/officeDocument/2006/relationships/image" Target="media/image17.wmf"/><Relationship Id="rId63" Type="http://schemas.openxmlformats.org/officeDocument/2006/relationships/image" Target="media/image26.wmf"/><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image" Target="media/image39.wmf"/><Relationship Id="rId112" Type="http://schemas.openxmlformats.org/officeDocument/2006/relationships/oleObject" Target="embeddings/oleObject42.bin"/><Relationship Id="rId133" Type="http://schemas.openxmlformats.org/officeDocument/2006/relationships/image" Target="media/image56.wmf"/><Relationship Id="rId138" Type="http://schemas.openxmlformats.org/officeDocument/2006/relationships/oleObject" Target="embeddings/oleObject48.bin"/><Relationship Id="rId154" Type="http://schemas.openxmlformats.org/officeDocument/2006/relationships/hyperlink" Target="http://www.mfcr.cz" TargetMode="External"/><Relationship Id="rId159" Type="http://schemas.openxmlformats.org/officeDocument/2006/relationships/hyperlink" Target="http://www.ceed.cz" TargetMode="External"/><Relationship Id="rId16" Type="http://schemas.openxmlformats.org/officeDocument/2006/relationships/image" Target="media/image2.wmf"/><Relationship Id="rId107" Type="http://schemas.openxmlformats.org/officeDocument/2006/relationships/image" Target="media/image48.wmf"/><Relationship Id="rId11" Type="http://schemas.openxmlformats.org/officeDocument/2006/relationships/footer" Target="footer1.xml"/><Relationship Id="rId32" Type="http://schemas.openxmlformats.org/officeDocument/2006/relationships/oleObject" Target="embeddings/oleObject7.bin"/><Relationship Id="rId37" Type="http://schemas.openxmlformats.org/officeDocument/2006/relationships/image" Target="media/image12.wmf"/><Relationship Id="rId53" Type="http://schemas.openxmlformats.org/officeDocument/2006/relationships/oleObject" Target="embeddings/oleObject17.bin"/><Relationship Id="rId58" Type="http://schemas.openxmlformats.org/officeDocument/2006/relationships/hyperlink" Target="https://cs.wikipedia.org/wiki/Inflace" TargetMode="External"/><Relationship Id="rId74" Type="http://schemas.openxmlformats.org/officeDocument/2006/relationships/oleObject" Target="embeddings/oleObject25.bin"/><Relationship Id="rId79" Type="http://schemas.openxmlformats.org/officeDocument/2006/relationships/image" Target="media/image34.wmf"/><Relationship Id="rId102" Type="http://schemas.openxmlformats.org/officeDocument/2006/relationships/hyperlink" Target="http://www.cnb.cz" TargetMode="External"/><Relationship Id="rId123" Type="http://schemas.openxmlformats.org/officeDocument/2006/relationships/hyperlink" Target="http://www.ecb.int/stats/intro/html/index.en.html" TargetMode="External"/><Relationship Id="rId128" Type="http://schemas.openxmlformats.org/officeDocument/2006/relationships/hyperlink" Target="http://en.wikipedia.org/wiki/United_States" TargetMode="External"/><Relationship Id="rId144" Type="http://schemas.openxmlformats.org/officeDocument/2006/relationships/hyperlink" Target="http://cs.wikipedia.org/wiki/Nezam%C4%9Bstnanost" TargetMode="External"/><Relationship Id="rId149" Type="http://schemas.openxmlformats.org/officeDocument/2006/relationships/hyperlink" Target="http://cs.wikipedia.org/wiki/Evropsk%C3%A1_m%C4%9Bnov%C3%A1_unie" TargetMode="External"/><Relationship Id="rId5" Type="http://schemas.openxmlformats.org/officeDocument/2006/relationships/settings" Target="settings.xml"/><Relationship Id="rId90" Type="http://schemas.openxmlformats.org/officeDocument/2006/relationships/oleObject" Target="embeddings/oleObject33.bin"/><Relationship Id="rId95" Type="http://schemas.openxmlformats.org/officeDocument/2006/relationships/image" Target="media/image42.wmf"/><Relationship Id="rId160" Type="http://schemas.openxmlformats.org/officeDocument/2006/relationships/fontTable" Target="fontTable.xml"/><Relationship Id="rId22" Type="http://schemas.openxmlformats.org/officeDocument/2006/relationships/image" Target="media/image5.wmf"/><Relationship Id="rId27" Type="http://schemas.openxmlformats.org/officeDocument/2006/relationships/hyperlink" Target="http://www.epp.eurostat.ec.europa.eu" TargetMode="External"/><Relationship Id="rId43" Type="http://schemas.openxmlformats.org/officeDocument/2006/relationships/image" Target="media/image15.wmf"/><Relationship Id="rId48"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hyperlink" Target="http://www.ecb.int/ecb/orga/tasks/html/foreign-exchange.cs.html" TargetMode="External"/><Relationship Id="rId134" Type="http://schemas.openxmlformats.org/officeDocument/2006/relationships/oleObject" Target="embeddings/oleObject45.bin"/><Relationship Id="rId139" Type="http://schemas.openxmlformats.org/officeDocument/2006/relationships/image" Target="media/image58.png"/><Relationship Id="rId80" Type="http://schemas.openxmlformats.org/officeDocument/2006/relationships/oleObject" Target="embeddings/oleObject28.bin"/><Relationship Id="rId85" Type="http://schemas.openxmlformats.org/officeDocument/2006/relationships/image" Target="media/image37.wmf"/><Relationship Id="rId150" Type="http://schemas.openxmlformats.org/officeDocument/2006/relationships/hyperlink" Target="http://cs.wikipedia.org/wiki/Euro" TargetMode="External"/><Relationship Id="rId155" Type="http://schemas.openxmlformats.org/officeDocument/2006/relationships/image" Target="media/image60.png"/><Relationship Id="rId12" Type="http://schemas.openxmlformats.org/officeDocument/2006/relationships/footer" Target="footer2.xml"/><Relationship Id="rId17" Type="http://schemas.openxmlformats.org/officeDocument/2006/relationships/oleObject" Target="embeddings/oleObject1.bin"/><Relationship Id="rId33"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image" Target="media/image23.JPG"/><Relationship Id="rId103" Type="http://schemas.openxmlformats.org/officeDocument/2006/relationships/image" Target="media/image46.wmf"/><Relationship Id="rId108" Type="http://schemas.openxmlformats.org/officeDocument/2006/relationships/oleObject" Target="embeddings/oleObject40.bin"/><Relationship Id="rId124" Type="http://schemas.openxmlformats.org/officeDocument/2006/relationships/hyperlink" Target="http://www.ecb.int/ecb/orga/tasks/html/financial-stability.en.html" TargetMode="External"/><Relationship Id="rId129" Type="http://schemas.openxmlformats.org/officeDocument/2006/relationships/image" Target="media/image53.wmf"/><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oleObject" Target="embeddings/oleObject2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2.bin"/><Relationship Id="rId91" Type="http://schemas.openxmlformats.org/officeDocument/2006/relationships/image" Target="media/image40.wmf"/><Relationship Id="rId96" Type="http://schemas.openxmlformats.org/officeDocument/2006/relationships/oleObject" Target="embeddings/oleObject36.bin"/><Relationship Id="rId111" Type="http://schemas.openxmlformats.org/officeDocument/2006/relationships/image" Target="media/image50.wmf"/><Relationship Id="rId132" Type="http://schemas.openxmlformats.org/officeDocument/2006/relationships/image" Target="media/image55.png"/><Relationship Id="rId140" Type="http://schemas.openxmlformats.org/officeDocument/2006/relationships/image" Target="media/image59.png"/><Relationship Id="rId145" Type="http://schemas.openxmlformats.org/officeDocument/2006/relationships/hyperlink" Target="http://cs.wikipedia.org/wiki/Spojen%C3%A9_st%C3%A1ty_americk%C3%A9" TargetMode="External"/><Relationship Id="rId153" Type="http://schemas.openxmlformats.org/officeDocument/2006/relationships/hyperlink" Target="http://cs.wikipedia.org/wiki/Wikipedie:Ov%C4%9B%C5%99itelnost"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image" Target="media/image18.png"/><Relationship Id="rId57" Type="http://schemas.openxmlformats.org/officeDocument/2006/relationships/hyperlink" Target="https://cs.wikipedia.org/wiki/Hrub%C3%BD_dom%C3%A1c%C3%AD_produkt" TargetMode="External"/><Relationship Id="rId106" Type="http://schemas.openxmlformats.org/officeDocument/2006/relationships/oleObject" Target="embeddings/oleObject39.bin"/><Relationship Id="rId114" Type="http://schemas.openxmlformats.org/officeDocument/2006/relationships/oleObject" Target="embeddings/oleObject43.bin"/><Relationship Id="rId119" Type="http://schemas.openxmlformats.org/officeDocument/2006/relationships/hyperlink" Target="http://www.ecb.int/ecb/orga/tasks/html/portfolio-management.cs.html" TargetMode="External"/><Relationship Id="rId127" Type="http://schemas.openxmlformats.org/officeDocument/2006/relationships/image" Target="media/image52.png"/><Relationship Id="rId10" Type="http://schemas.openxmlformats.org/officeDocument/2006/relationships/header" Target="header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27.bin"/><Relationship Id="rId81" Type="http://schemas.openxmlformats.org/officeDocument/2006/relationships/image" Target="media/image35.w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image" Target="media/image44.png"/><Relationship Id="rId101" Type="http://schemas.openxmlformats.org/officeDocument/2006/relationships/hyperlink" Target="http://www.cnb.cz" TargetMode="External"/><Relationship Id="rId122" Type="http://schemas.openxmlformats.org/officeDocument/2006/relationships/hyperlink" Target="http://www.ecb.int/euro/intro/html/index.cs.html" TargetMode="External"/><Relationship Id="rId130" Type="http://schemas.openxmlformats.org/officeDocument/2006/relationships/oleObject" Target="embeddings/oleObject44.bin"/><Relationship Id="rId135" Type="http://schemas.openxmlformats.org/officeDocument/2006/relationships/image" Target="media/image57.wmf"/><Relationship Id="rId143" Type="http://schemas.openxmlformats.org/officeDocument/2006/relationships/hyperlink" Target="http://cs.wikipedia.org/wiki/Ekonomika" TargetMode="External"/><Relationship Id="rId148" Type="http://schemas.openxmlformats.org/officeDocument/2006/relationships/hyperlink" Target="http://cs.wikipedia.org/wiki/Evropsk%C3%A1_unie" TargetMode="External"/><Relationship Id="rId151" Type="http://schemas.openxmlformats.org/officeDocument/2006/relationships/hyperlink" Target="http://cs.wikipedia.org/wiki/Smlouva_o_zalo%C5%BEen%C3%AD_Evropsk%C3%A9ho_spole%C4%8Denstv%C3%AD" TargetMode="External"/><Relationship Id="rId156" Type="http://schemas.openxmlformats.org/officeDocument/2006/relationships/image" Target="media/image61.png"/><Relationship Id="rId4" Type="http://schemas.microsoft.com/office/2007/relationships/stylesWithEffects" Target="stylesWithEffects.xml"/><Relationship Id="rId9" Type="http://schemas.openxmlformats.org/officeDocument/2006/relationships/hyperlink" Target="mailto:neugebaur@mail.com" TargetMode="External"/><Relationship Id="rId13" Type="http://schemas.openxmlformats.org/officeDocument/2006/relationships/header" Target="header2.xml"/><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image" Target="media/image49.wmf"/><Relationship Id="rId34" Type="http://schemas.openxmlformats.org/officeDocument/2006/relationships/oleObject" Target="embeddings/oleObject8.bin"/><Relationship Id="rId50" Type="http://schemas.openxmlformats.org/officeDocument/2006/relationships/image" Target="media/image19.wmf"/><Relationship Id="rId55" Type="http://schemas.openxmlformats.org/officeDocument/2006/relationships/oleObject" Target="embeddings/oleObject18.bin"/><Relationship Id="rId76" Type="http://schemas.openxmlformats.org/officeDocument/2006/relationships/oleObject" Target="embeddings/oleObject26.bin"/><Relationship Id="rId97" Type="http://schemas.openxmlformats.org/officeDocument/2006/relationships/image" Target="media/image43.wmf"/><Relationship Id="rId104" Type="http://schemas.openxmlformats.org/officeDocument/2006/relationships/oleObject" Target="embeddings/oleObject38.bin"/><Relationship Id="rId120" Type="http://schemas.openxmlformats.org/officeDocument/2006/relationships/hyperlink" Target="http://www.ecb.int/paym/intro/html/index.en.html" TargetMode="External"/><Relationship Id="rId125" Type="http://schemas.openxmlformats.org/officeDocument/2006/relationships/hyperlink" Target="http://www.ecb.int/ecb/orga/tasks/html/beyond-the-eu.cs.html" TargetMode="External"/><Relationship Id="rId141" Type="http://schemas.openxmlformats.org/officeDocument/2006/relationships/hyperlink" Target="http://cs.wikipedia.org/wiki/Angli%C4%8Dtina" TargetMode="External"/><Relationship Id="rId146" Type="http://schemas.openxmlformats.org/officeDocument/2006/relationships/hyperlink" Target="http://www.cnb.cz" TargetMode="Externa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6.wmf"/><Relationship Id="rId40" Type="http://schemas.openxmlformats.org/officeDocument/2006/relationships/oleObject" Target="embeddings/oleObject11.bin"/><Relationship Id="rId45" Type="http://schemas.openxmlformats.org/officeDocument/2006/relationships/image" Target="media/image16.wmf"/><Relationship Id="rId66" Type="http://schemas.openxmlformats.org/officeDocument/2006/relationships/oleObject" Target="embeddings/oleObject21.bin"/><Relationship Id="rId87" Type="http://schemas.openxmlformats.org/officeDocument/2006/relationships/image" Target="media/image38.wmf"/><Relationship Id="rId110" Type="http://schemas.openxmlformats.org/officeDocument/2006/relationships/oleObject" Target="embeddings/oleObject41.bin"/><Relationship Id="rId115" Type="http://schemas.openxmlformats.org/officeDocument/2006/relationships/hyperlink" Target="http://www.ecb.int" TargetMode="External"/><Relationship Id="rId131" Type="http://schemas.openxmlformats.org/officeDocument/2006/relationships/image" Target="media/image54.png"/><Relationship Id="rId136" Type="http://schemas.openxmlformats.org/officeDocument/2006/relationships/oleObject" Target="embeddings/oleObject46.bin"/><Relationship Id="rId157" Type="http://schemas.openxmlformats.org/officeDocument/2006/relationships/hyperlink" Target="http://www.cnb.cz" TargetMode="External"/><Relationship Id="rId61" Type="http://schemas.openxmlformats.org/officeDocument/2006/relationships/oleObject" Target="embeddings/oleObject19.bin"/><Relationship Id="rId82" Type="http://schemas.openxmlformats.org/officeDocument/2006/relationships/oleObject" Target="embeddings/oleObject29.bin"/><Relationship Id="rId152" Type="http://schemas.openxmlformats.org/officeDocument/2006/relationships/hyperlink" Target="http://cs.wikipedia.org/wiki/HDP" TargetMode="External"/><Relationship Id="rId19" Type="http://schemas.openxmlformats.org/officeDocument/2006/relationships/oleObject" Target="embeddings/oleObject2.bin"/><Relationship Id="rId14" Type="http://schemas.openxmlformats.org/officeDocument/2006/relationships/footer" Target="footer3.xml"/><Relationship Id="rId30" Type="http://schemas.openxmlformats.org/officeDocument/2006/relationships/image" Target="media/image8.png"/><Relationship Id="rId35" Type="http://schemas.openxmlformats.org/officeDocument/2006/relationships/image" Target="media/image11.wmf"/><Relationship Id="rId56" Type="http://schemas.openxmlformats.org/officeDocument/2006/relationships/image" Target="media/image22.png"/><Relationship Id="rId77" Type="http://schemas.openxmlformats.org/officeDocument/2006/relationships/image" Target="media/image33.wmf"/><Relationship Id="rId100" Type="http://schemas.openxmlformats.org/officeDocument/2006/relationships/image" Target="media/image45.png"/><Relationship Id="rId105" Type="http://schemas.openxmlformats.org/officeDocument/2006/relationships/image" Target="media/image47.wmf"/><Relationship Id="rId126" Type="http://schemas.openxmlformats.org/officeDocument/2006/relationships/hyperlink" Target="http://www.ecb.int/ecb/orga/tasks/html/within-the-eu.cs.html" TargetMode="External"/><Relationship Id="rId147" Type="http://schemas.openxmlformats.org/officeDocument/2006/relationships/hyperlink" Target="http://www.ecb.int" TargetMode="External"/><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oleObject" Target="embeddings/oleObject24.bin"/><Relationship Id="rId93" Type="http://schemas.openxmlformats.org/officeDocument/2006/relationships/image" Target="media/image41.wmf"/><Relationship Id="rId98" Type="http://schemas.openxmlformats.org/officeDocument/2006/relationships/oleObject" Target="embeddings/oleObject37.bin"/><Relationship Id="rId121" Type="http://schemas.openxmlformats.org/officeDocument/2006/relationships/hyperlink" Target="http://www.ecb.int/ecb/orga/tasks/html/index.cs.html" TargetMode="External"/><Relationship Id="rId142" Type="http://schemas.openxmlformats.org/officeDocument/2006/relationships/hyperlink" Target="http://cs.wikipedia.org/wiki/Inflace" TargetMode="External"/><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oleObject" Target="embeddings/oleObject14.bin"/><Relationship Id="rId67" Type="http://schemas.openxmlformats.org/officeDocument/2006/relationships/image" Target="media/image28.wmf"/><Relationship Id="rId116" Type="http://schemas.openxmlformats.org/officeDocument/2006/relationships/hyperlink" Target="http://www.ecb.int/ecb/orga/tasks/html/index.cs.html" TargetMode="External"/><Relationship Id="rId137" Type="http://schemas.openxmlformats.org/officeDocument/2006/relationships/oleObject" Target="embeddings/oleObject47.bin"/><Relationship Id="rId158" Type="http://schemas.openxmlformats.org/officeDocument/2006/relationships/hyperlink" Target="http://www.fgn.unisg.ch/eurmacro/Tuto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e.wikipedia.org/wiki/New_York_(Bundesstaat)" TargetMode="External"/><Relationship Id="rId3" Type="http://schemas.openxmlformats.org/officeDocument/2006/relationships/hyperlink" Target="http://de.wikipedia.org/wiki/Cape_May" TargetMode="External"/><Relationship Id="rId7" Type="http://schemas.openxmlformats.org/officeDocument/2006/relationships/hyperlink" Target="http://de.wikipedia.org/wiki/Yonkers" TargetMode="External"/><Relationship Id="rId2" Type="http://schemas.openxmlformats.org/officeDocument/2006/relationships/hyperlink" Target="http://de.wikipedia.org/wiki/1927" TargetMode="External"/><Relationship Id="rId1" Type="http://schemas.openxmlformats.org/officeDocument/2006/relationships/hyperlink" Target="http://de.wikipedia.org/wiki/5._September" TargetMode="External"/><Relationship Id="rId6" Type="http://schemas.openxmlformats.org/officeDocument/2006/relationships/hyperlink" Target="http://de.wikipedia.org/wiki/1946" TargetMode="External"/><Relationship Id="rId5" Type="http://schemas.openxmlformats.org/officeDocument/2006/relationships/hyperlink" Target="http://de.wikipedia.org/wiki/8._Dezember" TargetMode="External"/><Relationship Id="rId4" Type="http://schemas.openxmlformats.org/officeDocument/2006/relationships/hyperlink" Target="http://de.wikipedia.org/wiki/New_Jerse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98C541-A983-4AA6-95A5-32CC88D7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19142</Words>
  <Characters>116092</Characters>
  <Application>Microsoft Office Word</Application>
  <DocSecurity>0</DocSecurity>
  <Lines>967</Lines>
  <Paragraphs>269</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MAKROEKONOMIKA – obsah přednášek</vt:lpstr>
      <vt:lpstr>MAKROEKONOMIKA – obsah přednášek</vt:lpstr>
    </vt:vector>
  </TitlesOfParts>
  <Company>ATC</Company>
  <LinksUpToDate>false</LinksUpToDate>
  <CharactersWithSpaces>134965</CharactersWithSpaces>
  <SharedDoc>false</SharedDoc>
  <HLinks>
    <vt:vector size="522" baseType="variant">
      <vt:variant>
        <vt:i4>7929906</vt:i4>
      </vt:variant>
      <vt:variant>
        <vt:i4>852</vt:i4>
      </vt:variant>
      <vt:variant>
        <vt:i4>0</vt:i4>
      </vt:variant>
      <vt:variant>
        <vt:i4>5</vt:i4>
      </vt:variant>
      <vt:variant>
        <vt:lpwstr>http://www.ceed.cz/</vt:lpwstr>
      </vt:variant>
      <vt:variant>
        <vt:lpwstr/>
      </vt:variant>
      <vt:variant>
        <vt:i4>6684778</vt:i4>
      </vt:variant>
      <vt:variant>
        <vt:i4>849</vt:i4>
      </vt:variant>
      <vt:variant>
        <vt:i4>0</vt:i4>
      </vt:variant>
      <vt:variant>
        <vt:i4>5</vt:i4>
      </vt:variant>
      <vt:variant>
        <vt:lpwstr>http://www.cnb.cz/</vt:lpwstr>
      </vt:variant>
      <vt:variant>
        <vt:lpwstr/>
      </vt:variant>
      <vt:variant>
        <vt:i4>7405607</vt:i4>
      </vt:variant>
      <vt:variant>
        <vt:i4>843</vt:i4>
      </vt:variant>
      <vt:variant>
        <vt:i4>0</vt:i4>
      </vt:variant>
      <vt:variant>
        <vt:i4>5</vt:i4>
      </vt:variant>
      <vt:variant>
        <vt:lpwstr>http://www.mfcr.cz/</vt:lpwstr>
      </vt:variant>
      <vt:variant>
        <vt:lpwstr/>
      </vt:variant>
      <vt:variant>
        <vt:i4>720964</vt:i4>
      </vt:variant>
      <vt:variant>
        <vt:i4>840</vt:i4>
      </vt:variant>
      <vt:variant>
        <vt:i4>0</vt:i4>
      </vt:variant>
      <vt:variant>
        <vt:i4>5</vt:i4>
      </vt:variant>
      <vt:variant>
        <vt:lpwstr>http://cs.wikipedia.org/wiki/Wikipedie:Ov%C4%9B%C5%99itelnost</vt:lpwstr>
      </vt:variant>
      <vt:variant>
        <vt:lpwstr/>
      </vt:variant>
      <vt:variant>
        <vt:i4>65612</vt:i4>
      </vt:variant>
      <vt:variant>
        <vt:i4>837</vt:i4>
      </vt:variant>
      <vt:variant>
        <vt:i4>0</vt:i4>
      </vt:variant>
      <vt:variant>
        <vt:i4>5</vt:i4>
      </vt:variant>
      <vt:variant>
        <vt:lpwstr>http://cs.wikipedia.org/wiki/HDP</vt:lpwstr>
      </vt:variant>
      <vt:variant>
        <vt:lpwstr/>
      </vt:variant>
      <vt:variant>
        <vt:i4>589847</vt:i4>
      </vt:variant>
      <vt:variant>
        <vt:i4>834</vt:i4>
      </vt:variant>
      <vt:variant>
        <vt:i4>0</vt:i4>
      </vt:variant>
      <vt:variant>
        <vt:i4>5</vt:i4>
      </vt:variant>
      <vt:variant>
        <vt:lpwstr>http://cs.wikipedia.org/wiki/Smlouva_o_zalo%C5%BEen%C3%AD_Evropsk%C3%A9ho_spole%C4%8Denstv%C3%AD</vt:lpwstr>
      </vt:variant>
      <vt:variant>
        <vt:lpwstr/>
      </vt:variant>
      <vt:variant>
        <vt:i4>917597</vt:i4>
      </vt:variant>
      <vt:variant>
        <vt:i4>831</vt:i4>
      </vt:variant>
      <vt:variant>
        <vt:i4>0</vt:i4>
      </vt:variant>
      <vt:variant>
        <vt:i4>5</vt:i4>
      </vt:variant>
      <vt:variant>
        <vt:lpwstr>http://cs.wikipedia.org/wiki/Euro</vt:lpwstr>
      </vt:variant>
      <vt:variant>
        <vt:lpwstr/>
      </vt:variant>
      <vt:variant>
        <vt:i4>6750257</vt:i4>
      </vt:variant>
      <vt:variant>
        <vt:i4>828</vt:i4>
      </vt:variant>
      <vt:variant>
        <vt:i4>0</vt:i4>
      </vt:variant>
      <vt:variant>
        <vt:i4>5</vt:i4>
      </vt:variant>
      <vt:variant>
        <vt:lpwstr>http://cs.wikipedia.org/wiki/Evropsk%C3%A1_m%C4%9Bnov%C3%A1_unie</vt:lpwstr>
      </vt:variant>
      <vt:variant>
        <vt:lpwstr/>
      </vt:variant>
      <vt:variant>
        <vt:i4>8257540</vt:i4>
      </vt:variant>
      <vt:variant>
        <vt:i4>825</vt:i4>
      </vt:variant>
      <vt:variant>
        <vt:i4>0</vt:i4>
      </vt:variant>
      <vt:variant>
        <vt:i4>5</vt:i4>
      </vt:variant>
      <vt:variant>
        <vt:lpwstr>http://cs.wikipedia.org/wiki/Evropsk%C3%A1_unie</vt:lpwstr>
      </vt:variant>
      <vt:variant>
        <vt:lpwstr/>
      </vt:variant>
      <vt:variant>
        <vt:i4>3211379</vt:i4>
      </vt:variant>
      <vt:variant>
        <vt:i4>822</vt:i4>
      </vt:variant>
      <vt:variant>
        <vt:i4>0</vt:i4>
      </vt:variant>
      <vt:variant>
        <vt:i4>5</vt:i4>
      </vt:variant>
      <vt:variant>
        <vt:lpwstr>http://www.ecb.int/</vt:lpwstr>
      </vt:variant>
      <vt:variant>
        <vt:lpwstr/>
      </vt:variant>
      <vt:variant>
        <vt:i4>6684778</vt:i4>
      </vt:variant>
      <vt:variant>
        <vt:i4>819</vt:i4>
      </vt:variant>
      <vt:variant>
        <vt:i4>0</vt:i4>
      </vt:variant>
      <vt:variant>
        <vt:i4>5</vt:i4>
      </vt:variant>
      <vt:variant>
        <vt:lpwstr>http://www.cnb.cz/</vt:lpwstr>
      </vt:variant>
      <vt:variant>
        <vt:lpwstr/>
      </vt:variant>
      <vt:variant>
        <vt:i4>5701706</vt:i4>
      </vt:variant>
      <vt:variant>
        <vt:i4>816</vt:i4>
      </vt:variant>
      <vt:variant>
        <vt:i4>0</vt:i4>
      </vt:variant>
      <vt:variant>
        <vt:i4>5</vt:i4>
      </vt:variant>
      <vt:variant>
        <vt:lpwstr>http://cs.wikipedia.org/wiki/Keynesi%C3%A1nstv%C3%AD</vt:lpwstr>
      </vt:variant>
      <vt:variant>
        <vt:lpwstr/>
      </vt:variant>
      <vt:variant>
        <vt:i4>4915207</vt:i4>
      </vt:variant>
      <vt:variant>
        <vt:i4>813</vt:i4>
      </vt:variant>
      <vt:variant>
        <vt:i4>0</vt:i4>
      </vt:variant>
      <vt:variant>
        <vt:i4>5</vt:i4>
      </vt:variant>
      <vt:variant>
        <vt:lpwstr>http://cs.wikipedia.org/wiki/Spojen%C3%A9_st%C3%A1ty_americk%C3%A9</vt:lpwstr>
      </vt:variant>
      <vt:variant>
        <vt:lpwstr/>
      </vt:variant>
      <vt:variant>
        <vt:i4>4849668</vt:i4>
      </vt:variant>
      <vt:variant>
        <vt:i4>810</vt:i4>
      </vt:variant>
      <vt:variant>
        <vt:i4>0</vt:i4>
      </vt:variant>
      <vt:variant>
        <vt:i4>5</vt:i4>
      </vt:variant>
      <vt:variant>
        <vt:lpwstr>http://cs.wikipedia.org/wiki/Nezam%C4%9Bstnanost</vt:lpwstr>
      </vt:variant>
      <vt:variant>
        <vt:lpwstr/>
      </vt:variant>
      <vt:variant>
        <vt:i4>7602219</vt:i4>
      </vt:variant>
      <vt:variant>
        <vt:i4>807</vt:i4>
      </vt:variant>
      <vt:variant>
        <vt:i4>0</vt:i4>
      </vt:variant>
      <vt:variant>
        <vt:i4>5</vt:i4>
      </vt:variant>
      <vt:variant>
        <vt:lpwstr>http://cs.wikipedia.org/wiki/Ekonomika</vt:lpwstr>
      </vt:variant>
      <vt:variant>
        <vt:lpwstr/>
      </vt:variant>
      <vt:variant>
        <vt:i4>1179721</vt:i4>
      </vt:variant>
      <vt:variant>
        <vt:i4>804</vt:i4>
      </vt:variant>
      <vt:variant>
        <vt:i4>0</vt:i4>
      </vt:variant>
      <vt:variant>
        <vt:i4>5</vt:i4>
      </vt:variant>
      <vt:variant>
        <vt:lpwstr>http://cs.wikipedia.org/wiki/Inflace</vt:lpwstr>
      </vt:variant>
      <vt:variant>
        <vt:lpwstr/>
      </vt:variant>
      <vt:variant>
        <vt:i4>6029337</vt:i4>
      </vt:variant>
      <vt:variant>
        <vt:i4>801</vt:i4>
      </vt:variant>
      <vt:variant>
        <vt:i4>0</vt:i4>
      </vt:variant>
      <vt:variant>
        <vt:i4>5</vt:i4>
      </vt:variant>
      <vt:variant>
        <vt:lpwstr>http://cs.wikipedia.org/wiki/Angli%C4%8Dtina</vt:lpwstr>
      </vt:variant>
      <vt:variant>
        <vt:lpwstr/>
      </vt:variant>
      <vt:variant>
        <vt:i4>4849724</vt:i4>
      </vt:variant>
      <vt:variant>
        <vt:i4>774</vt:i4>
      </vt:variant>
      <vt:variant>
        <vt:i4>0</vt:i4>
      </vt:variant>
      <vt:variant>
        <vt:i4>5</vt:i4>
      </vt:variant>
      <vt:variant>
        <vt:lpwstr>http://en.wikipedia.org/wiki/United_States</vt:lpwstr>
      </vt:variant>
      <vt:variant>
        <vt:lpwstr/>
      </vt:variant>
      <vt:variant>
        <vt:i4>917534</vt:i4>
      </vt:variant>
      <vt:variant>
        <vt:i4>768</vt:i4>
      </vt:variant>
      <vt:variant>
        <vt:i4>0</vt:i4>
      </vt:variant>
      <vt:variant>
        <vt:i4>5</vt:i4>
      </vt:variant>
      <vt:variant>
        <vt:lpwstr>http://www.ecb.int/ecb/orga/tasks/html/within-the-eu.cs.html</vt:lpwstr>
      </vt:variant>
      <vt:variant>
        <vt:lpwstr/>
      </vt:variant>
      <vt:variant>
        <vt:i4>1114143</vt:i4>
      </vt:variant>
      <vt:variant>
        <vt:i4>765</vt:i4>
      </vt:variant>
      <vt:variant>
        <vt:i4>0</vt:i4>
      </vt:variant>
      <vt:variant>
        <vt:i4>5</vt:i4>
      </vt:variant>
      <vt:variant>
        <vt:lpwstr>http://www.ecb.int/ecb/orga/tasks/html/beyond-the-eu.cs.html</vt:lpwstr>
      </vt:variant>
      <vt:variant>
        <vt:lpwstr/>
      </vt:variant>
      <vt:variant>
        <vt:i4>7798833</vt:i4>
      </vt:variant>
      <vt:variant>
        <vt:i4>762</vt:i4>
      </vt:variant>
      <vt:variant>
        <vt:i4>0</vt:i4>
      </vt:variant>
      <vt:variant>
        <vt:i4>5</vt:i4>
      </vt:variant>
      <vt:variant>
        <vt:lpwstr>http://www.ecb.int/ecb/orga/tasks/html/financial-stability.en.html</vt:lpwstr>
      </vt:variant>
      <vt:variant>
        <vt:lpwstr/>
      </vt:variant>
      <vt:variant>
        <vt:i4>4587538</vt:i4>
      </vt:variant>
      <vt:variant>
        <vt:i4>759</vt:i4>
      </vt:variant>
      <vt:variant>
        <vt:i4>0</vt:i4>
      </vt:variant>
      <vt:variant>
        <vt:i4>5</vt:i4>
      </vt:variant>
      <vt:variant>
        <vt:lpwstr>http://www.ecb.int/stats/intro/html/index.en.html</vt:lpwstr>
      </vt:variant>
      <vt:variant>
        <vt:lpwstr/>
      </vt:variant>
      <vt:variant>
        <vt:i4>131149</vt:i4>
      </vt:variant>
      <vt:variant>
        <vt:i4>756</vt:i4>
      </vt:variant>
      <vt:variant>
        <vt:i4>0</vt:i4>
      </vt:variant>
      <vt:variant>
        <vt:i4>5</vt:i4>
      </vt:variant>
      <vt:variant>
        <vt:lpwstr>http://www.ecb.int/euro/intro/html/index.cs.html</vt:lpwstr>
      </vt:variant>
      <vt:variant>
        <vt:lpwstr/>
      </vt:variant>
      <vt:variant>
        <vt:i4>7929968</vt:i4>
      </vt:variant>
      <vt:variant>
        <vt:i4>753</vt:i4>
      </vt:variant>
      <vt:variant>
        <vt:i4>0</vt:i4>
      </vt:variant>
      <vt:variant>
        <vt:i4>5</vt:i4>
      </vt:variant>
      <vt:variant>
        <vt:lpwstr>http://www.ecb.int/ecb/orga/tasks/html/index.cs.html</vt:lpwstr>
      </vt:variant>
      <vt:variant>
        <vt:lpwstr>skipnavigation</vt:lpwstr>
      </vt:variant>
      <vt:variant>
        <vt:i4>1704006</vt:i4>
      </vt:variant>
      <vt:variant>
        <vt:i4>750</vt:i4>
      </vt:variant>
      <vt:variant>
        <vt:i4>0</vt:i4>
      </vt:variant>
      <vt:variant>
        <vt:i4>5</vt:i4>
      </vt:variant>
      <vt:variant>
        <vt:lpwstr>http://www.ecb.int/paym/intro/html/index.en.html</vt:lpwstr>
      </vt:variant>
      <vt:variant>
        <vt:lpwstr/>
      </vt:variant>
      <vt:variant>
        <vt:i4>7602208</vt:i4>
      </vt:variant>
      <vt:variant>
        <vt:i4>747</vt:i4>
      </vt:variant>
      <vt:variant>
        <vt:i4>0</vt:i4>
      </vt:variant>
      <vt:variant>
        <vt:i4>5</vt:i4>
      </vt:variant>
      <vt:variant>
        <vt:lpwstr>http://www.ecb.int/ecb/orga/tasks/html/portfolio-management.cs.html</vt:lpwstr>
      </vt:variant>
      <vt:variant>
        <vt:lpwstr/>
      </vt:variant>
      <vt:variant>
        <vt:i4>6750271</vt:i4>
      </vt:variant>
      <vt:variant>
        <vt:i4>744</vt:i4>
      </vt:variant>
      <vt:variant>
        <vt:i4>0</vt:i4>
      </vt:variant>
      <vt:variant>
        <vt:i4>5</vt:i4>
      </vt:variant>
      <vt:variant>
        <vt:lpwstr>http://www.ecb.int/ecb/orga/tasks/html/foreign-exchange.cs.html</vt:lpwstr>
      </vt:variant>
      <vt:variant>
        <vt:lpwstr/>
      </vt:variant>
      <vt:variant>
        <vt:i4>917578</vt:i4>
      </vt:variant>
      <vt:variant>
        <vt:i4>741</vt:i4>
      </vt:variant>
      <vt:variant>
        <vt:i4>0</vt:i4>
      </vt:variant>
      <vt:variant>
        <vt:i4>5</vt:i4>
      </vt:variant>
      <vt:variant>
        <vt:lpwstr>http://www.ecb.int/mopo/intro/html/index.en.html</vt:lpwstr>
      </vt:variant>
      <vt:variant>
        <vt:lpwstr/>
      </vt:variant>
      <vt:variant>
        <vt:i4>7929968</vt:i4>
      </vt:variant>
      <vt:variant>
        <vt:i4>738</vt:i4>
      </vt:variant>
      <vt:variant>
        <vt:i4>0</vt:i4>
      </vt:variant>
      <vt:variant>
        <vt:i4>5</vt:i4>
      </vt:variant>
      <vt:variant>
        <vt:lpwstr>http://www.ecb.int/ecb/orga/tasks/html/index.cs.html</vt:lpwstr>
      </vt:variant>
      <vt:variant>
        <vt:lpwstr>skipnavigation</vt:lpwstr>
      </vt:variant>
      <vt:variant>
        <vt:i4>3211379</vt:i4>
      </vt:variant>
      <vt:variant>
        <vt:i4>735</vt:i4>
      </vt:variant>
      <vt:variant>
        <vt:i4>0</vt:i4>
      </vt:variant>
      <vt:variant>
        <vt:i4>5</vt:i4>
      </vt:variant>
      <vt:variant>
        <vt:lpwstr>http://www.ecb.int/</vt:lpwstr>
      </vt:variant>
      <vt:variant>
        <vt:lpwstr/>
      </vt:variant>
      <vt:variant>
        <vt:i4>6684778</vt:i4>
      </vt:variant>
      <vt:variant>
        <vt:i4>714</vt:i4>
      </vt:variant>
      <vt:variant>
        <vt:i4>0</vt:i4>
      </vt:variant>
      <vt:variant>
        <vt:i4>5</vt:i4>
      </vt:variant>
      <vt:variant>
        <vt:lpwstr>http://www.cnb.cz/</vt:lpwstr>
      </vt:variant>
      <vt:variant>
        <vt:lpwstr/>
      </vt:variant>
      <vt:variant>
        <vt:i4>6684778</vt:i4>
      </vt:variant>
      <vt:variant>
        <vt:i4>708</vt:i4>
      </vt:variant>
      <vt:variant>
        <vt:i4>0</vt:i4>
      </vt:variant>
      <vt:variant>
        <vt:i4>5</vt:i4>
      </vt:variant>
      <vt:variant>
        <vt:lpwstr>http://www.cnb.cz/</vt:lpwstr>
      </vt:variant>
      <vt:variant>
        <vt:lpwstr/>
      </vt:variant>
      <vt:variant>
        <vt:i4>852022</vt:i4>
      </vt:variant>
      <vt:variant>
        <vt:i4>333</vt:i4>
      </vt:variant>
      <vt:variant>
        <vt:i4>0</vt:i4>
      </vt:variant>
      <vt:variant>
        <vt:i4>5</vt:i4>
      </vt:variant>
      <vt:variant>
        <vt:lpwstr>http://cs.wikipedia.org/wiki/Giffen%C5%AFv_statek</vt:lpwstr>
      </vt:variant>
      <vt:variant>
        <vt:lpwstr/>
      </vt:variant>
      <vt:variant>
        <vt:i4>4784153</vt:i4>
      </vt:variant>
      <vt:variant>
        <vt:i4>276</vt:i4>
      </vt:variant>
      <vt:variant>
        <vt:i4>0</vt:i4>
      </vt:variant>
      <vt:variant>
        <vt:i4>5</vt:i4>
      </vt:variant>
      <vt:variant>
        <vt:lpwstr>http://cs.wikipedia.org/w/index.php?title=Z%C3%A1m%C4%9Bry&amp;action=edit&amp;redlink=1</vt:lpwstr>
      </vt:variant>
      <vt:variant>
        <vt:lpwstr/>
      </vt:variant>
      <vt:variant>
        <vt:i4>6881337</vt:i4>
      </vt:variant>
      <vt:variant>
        <vt:i4>273</vt:i4>
      </vt:variant>
      <vt:variant>
        <vt:i4>0</vt:i4>
      </vt:variant>
      <vt:variant>
        <vt:i4>5</vt:i4>
      </vt:variant>
      <vt:variant>
        <vt:lpwstr>http://cs.wikipedia.org/wiki/Schopnosti</vt:lpwstr>
      </vt:variant>
      <vt:variant>
        <vt:lpwstr/>
      </vt:variant>
      <vt:variant>
        <vt:i4>6160464</vt:i4>
      </vt:variant>
      <vt:variant>
        <vt:i4>270</vt:i4>
      </vt:variant>
      <vt:variant>
        <vt:i4>0</vt:i4>
      </vt:variant>
      <vt:variant>
        <vt:i4>5</vt:i4>
      </vt:variant>
      <vt:variant>
        <vt:lpwstr>http://cs.wikipedia.org/w/index.php?title=Seberealizace&amp;action=edit&amp;redlink=1</vt:lpwstr>
      </vt:variant>
      <vt:variant>
        <vt:lpwstr/>
      </vt:variant>
      <vt:variant>
        <vt:i4>5373985</vt:i4>
      </vt:variant>
      <vt:variant>
        <vt:i4>267</vt:i4>
      </vt:variant>
      <vt:variant>
        <vt:i4>0</vt:i4>
      </vt:variant>
      <vt:variant>
        <vt:i4>5</vt:i4>
      </vt:variant>
      <vt:variant>
        <vt:lpwstr>http://cs.wikipedia.org/wiki/Konrad_Lorenz</vt:lpwstr>
      </vt:variant>
      <vt:variant>
        <vt:lpwstr/>
      </vt:variant>
      <vt:variant>
        <vt:i4>4456491</vt:i4>
      </vt:variant>
      <vt:variant>
        <vt:i4>264</vt:i4>
      </vt:variant>
      <vt:variant>
        <vt:i4>0</vt:i4>
      </vt:variant>
      <vt:variant>
        <vt:i4>5</vt:i4>
      </vt:variant>
      <vt:variant>
        <vt:lpwstr>http://cs.wikipedia.org/wiki/Viktor_Frankl</vt:lpwstr>
      </vt:variant>
      <vt:variant>
        <vt:lpwstr/>
      </vt:variant>
      <vt:variant>
        <vt:i4>65585</vt:i4>
      </vt:variant>
      <vt:variant>
        <vt:i4>261</vt:i4>
      </vt:variant>
      <vt:variant>
        <vt:i4>0</vt:i4>
      </vt:variant>
      <vt:variant>
        <vt:i4>5</vt:i4>
      </vt:variant>
      <vt:variant>
        <vt:lpwstr>http://cs.wikipedia.org/wiki/Koncentra%C4%8Dn%C3%AD_t%C3%A1bor</vt:lpwstr>
      </vt:variant>
      <vt:variant>
        <vt:lpwstr/>
      </vt:variant>
      <vt:variant>
        <vt:i4>11</vt:i4>
      </vt:variant>
      <vt:variant>
        <vt:i4>258</vt:i4>
      </vt:variant>
      <vt:variant>
        <vt:i4>0</vt:i4>
      </vt:variant>
      <vt:variant>
        <vt:i4>5</vt:i4>
      </vt:variant>
      <vt:variant>
        <vt:lpwstr>http://cs.wikipedia.org/wiki/Pot%C5%99eba</vt:lpwstr>
      </vt:variant>
      <vt:variant>
        <vt:lpwstr/>
      </vt:variant>
      <vt:variant>
        <vt:i4>917578</vt:i4>
      </vt:variant>
      <vt:variant>
        <vt:i4>255</vt:i4>
      </vt:variant>
      <vt:variant>
        <vt:i4>0</vt:i4>
      </vt:variant>
      <vt:variant>
        <vt:i4>5</vt:i4>
      </vt:variant>
      <vt:variant>
        <vt:lpwstr>http://cs.wikipedia.org/wiki/%C4%8Clov%C4%9Bk</vt:lpwstr>
      </vt:variant>
      <vt:variant>
        <vt:lpwstr/>
      </vt:variant>
      <vt:variant>
        <vt:i4>5898246</vt:i4>
      </vt:variant>
      <vt:variant>
        <vt:i4>252</vt:i4>
      </vt:variant>
      <vt:variant>
        <vt:i4>0</vt:i4>
      </vt:variant>
      <vt:variant>
        <vt:i4>5</vt:i4>
      </vt:variant>
      <vt:variant>
        <vt:lpwstr>http://cs.wikipedia.org/w/index.php?title=Hierarchie_lidsk%C3%BDch_pot%C5%99eb&amp;action=edit&amp;redlink=1</vt:lpwstr>
      </vt:variant>
      <vt:variant>
        <vt:lpwstr/>
      </vt:variant>
      <vt:variant>
        <vt:i4>7667805</vt:i4>
      </vt:variant>
      <vt:variant>
        <vt:i4>249</vt:i4>
      </vt:variant>
      <vt:variant>
        <vt:i4>0</vt:i4>
      </vt:variant>
      <vt:variant>
        <vt:i4>5</vt:i4>
      </vt:variant>
      <vt:variant>
        <vt:lpwstr>http://cs.wikipedia.org/w/index.php?title=Humanistick%C3%A1_psychologie&amp;action=edit&amp;redlink=1</vt:lpwstr>
      </vt:variant>
      <vt:variant>
        <vt:lpwstr/>
      </vt:variant>
      <vt:variant>
        <vt:i4>7536696</vt:i4>
      </vt:variant>
      <vt:variant>
        <vt:i4>246</vt:i4>
      </vt:variant>
      <vt:variant>
        <vt:i4>0</vt:i4>
      </vt:variant>
      <vt:variant>
        <vt:i4>5</vt:i4>
      </vt:variant>
      <vt:variant>
        <vt:lpwstr>http://cs.wikipedia.org/wiki/Psycholog</vt:lpwstr>
      </vt:variant>
      <vt:variant>
        <vt:lpwstr/>
      </vt:variant>
      <vt:variant>
        <vt:i4>4915207</vt:i4>
      </vt:variant>
      <vt:variant>
        <vt:i4>243</vt:i4>
      </vt:variant>
      <vt:variant>
        <vt:i4>0</vt:i4>
      </vt:variant>
      <vt:variant>
        <vt:i4>5</vt:i4>
      </vt:variant>
      <vt:variant>
        <vt:lpwstr>http://cs.wikipedia.org/wiki/Spojen%C3%A9_st%C3%A1ty_americk%C3%A9</vt:lpwstr>
      </vt:variant>
      <vt:variant>
        <vt:lpwstr/>
      </vt:variant>
      <vt:variant>
        <vt:i4>2031633</vt:i4>
      </vt:variant>
      <vt:variant>
        <vt:i4>240</vt:i4>
      </vt:variant>
      <vt:variant>
        <vt:i4>0</vt:i4>
      </vt:variant>
      <vt:variant>
        <vt:i4>5</vt:i4>
      </vt:variant>
      <vt:variant>
        <vt:lpwstr>http://cs.wikipedia.org/wiki/1970</vt:lpwstr>
      </vt:variant>
      <vt:variant>
        <vt:lpwstr/>
      </vt:variant>
      <vt:variant>
        <vt:i4>1572881</vt:i4>
      </vt:variant>
      <vt:variant>
        <vt:i4>237</vt:i4>
      </vt:variant>
      <vt:variant>
        <vt:i4>0</vt:i4>
      </vt:variant>
      <vt:variant>
        <vt:i4>5</vt:i4>
      </vt:variant>
      <vt:variant>
        <vt:lpwstr>http://cs.wikipedia.org/wiki/1908</vt:lpwstr>
      </vt:variant>
      <vt:variant>
        <vt:lpwstr/>
      </vt:variant>
      <vt:variant>
        <vt:i4>1507382</vt:i4>
      </vt:variant>
      <vt:variant>
        <vt:i4>230</vt:i4>
      </vt:variant>
      <vt:variant>
        <vt:i4>0</vt:i4>
      </vt:variant>
      <vt:variant>
        <vt:i4>5</vt:i4>
      </vt:variant>
      <vt:variant>
        <vt:lpwstr/>
      </vt:variant>
      <vt:variant>
        <vt:lpwstr>_Toc240775365</vt:lpwstr>
      </vt:variant>
      <vt:variant>
        <vt:i4>1507382</vt:i4>
      </vt:variant>
      <vt:variant>
        <vt:i4>224</vt:i4>
      </vt:variant>
      <vt:variant>
        <vt:i4>0</vt:i4>
      </vt:variant>
      <vt:variant>
        <vt:i4>5</vt:i4>
      </vt:variant>
      <vt:variant>
        <vt:lpwstr/>
      </vt:variant>
      <vt:variant>
        <vt:lpwstr>_Toc240775364</vt:lpwstr>
      </vt:variant>
      <vt:variant>
        <vt:i4>1507382</vt:i4>
      </vt:variant>
      <vt:variant>
        <vt:i4>218</vt:i4>
      </vt:variant>
      <vt:variant>
        <vt:i4>0</vt:i4>
      </vt:variant>
      <vt:variant>
        <vt:i4>5</vt:i4>
      </vt:variant>
      <vt:variant>
        <vt:lpwstr/>
      </vt:variant>
      <vt:variant>
        <vt:lpwstr>_Toc240775363</vt:lpwstr>
      </vt:variant>
      <vt:variant>
        <vt:i4>1507382</vt:i4>
      </vt:variant>
      <vt:variant>
        <vt:i4>212</vt:i4>
      </vt:variant>
      <vt:variant>
        <vt:i4>0</vt:i4>
      </vt:variant>
      <vt:variant>
        <vt:i4>5</vt:i4>
      </vt:variant>
      <vt:variant>
        <vt:lpwstr/>
      </vt:variant>
      <vt:variant>
        <vt:lpwstr>_Toc240775362</vt:lpwstr>
      </vt:variant>
      <vt:variant>
        <vt:i4>1507382</vt:i4>
      </vt:variant>
      <vt:variant>
        <vt:i4>206</vt:i4>
      </vt:variant>
      <vt:variant>
        <vt:i4>0</vt:i4>
      </vt:variant>
      <vt:variant>
        <vt:i4>5</vt:i4>
      </vt:variant>
      <vt:variant>
        <vt:lpwstr/>
      </vt:variant>
      <vt:variant>
        <vt:lpwstr>_Toc240775361</vt:lpwstr>
      </vt:variant>
      <vt:variant>
        <vt:i4>1507382</vt:i4>
      </vt:variant>
      <vt:variant>
        <vt:i4>200</vt:i4>
      </vt:variant>
      <vt:variant>
        <vt:i4>0</vt:i4>
      </vt:variant>
      <vt:variant>
        <vt:i4>5</vt:i4>
      </vt:variant>
      <vt:variant>
        <vt:lpwstr/>
      </vt:variant>
      <vt:variant>
        <vt:lpwstr>_Toc240775360</vt:lpwstr>
      </vt:variant>
      <vt:variant>
        <vt:i4>1310774</vt:i4>
      </vt:variant>
      <vt:variant>
        <vt:i4>194</vt:i4>
      </vt:variant>
      <vt:variant>
        <vt:i4>0</vt:i4>
      </vt:variant>
      <vt:variant>
        <vt:i4>5</vt:i4>
      </vt:variant>
      <vt:variant>
        <vt:lpwstr/>
      </vt:variant>
      <vt:variant>
        <vt:lpwstr>_Toc240775359</vt:lpwstr>
      </vt:variant>
      <vt:variant>
        <vt:i4>1310774</vt:i4>
      </vt:variant>
      <vt:variant>
        <vt:i4>188</vt:i4>
      </vt:variant>
      <vt:variant>
        <vt:i4>0</vt:i4>
      </vt:variant>
      <vt:variant>
        <vt:i4>5</vt:i4>
      </vt:variant>
      <vt:variant>
        <vt:lpwstr/>
      </vt:variant>
      <vt:variant>
        <vt:lpwstr>_Toc240775358</vt:lpwstr>
      </vt:variant>
      <vt:variant>
        <vt:i4>1310774</vt:i4>
      </vt:variant>
      <vt:variant>
        <vt:i4>182</vt:i4>
      </vt:variant>
      <vt:variant>
        <vt:i4>0</vt:i4>
      </vt:variant>
      <vt:variant>
        <vt:i4>5</vt:i4>
      </vt:variant>
      <vt:variant>
        <vt:lpwstr/>
      </vt:variant>
      <vt:variant>
        <vt:lpwstr>_Toc240775357</vt:lpwstr>
      </vt:variant>
      <vt:variant>
        <vt:i4>1310774</vt:i4>
      </vt:variant>
      <vt:variant>
        <vt:i4>176</vt:i4>
      </vt:variant>
      <vt:variant>
        <vt:i4>0</vt:i4>
      </vt:variant>
      <vt:variant>
        <vt:i4>5</vt:i4>
      </vt:variant>
      <vt:variant>
        <vt:lpwstr/>
      </vt:variant>
      <vt:variant>
        <vt:lpwstr>_Toc240775356</vt:lpwstr>
      </vt:variant>
      <vt:variant>
        <vt:i4>1310774</vt:i4>
      </vt:variant>
      <vt:variant>
        <vt:i4>170</vt:i4>
      </vt:variant>
      <vt:variant>
        <vt:i4>0</vt:i4>
      </vt:variant>
      <vt:variant>
        <vt:i4>5</vt:i4>
      </vt:variant>
      <vt:variant>
        <vt:lpwstr/>
      </vt:variant>
      <vt:variant>
        <vt:lpwstr>_Toc240775355</vt:lpwstr>
      </vt:variant>
      <vt:variant>
        <vt:i4>1310774</vt:i4>
      </vt:variant>
      <vt:variant>
        <vt:i4>164</vt:i4>
      </vt:variant>
      <vt:variant>
        <vt:i4>0</vt:i4>
      </vt:variant>
      <vt:variant>
        <vt:i4>5</vt:i4>
      </vt:variant>
      <vt:variant>
        <vt:lpwstr/>
      </vt:variant>
      <vt:variant>
        <vt:lpwstr>_Toc240775354</vt:lpwstr>
      </vt:variant>
      <vt:variant>
        <vt:i4>1310774</vt:i4>
      </vt:variant>
      <vt:variant>
        <vt:i4>158</vt:i4>
      </vt:variant>
      <vt:variant>
        <vt:i4>0</vt:i4>
      </vt:variant>
      <vt:variant>
        <vt:i4>5</vt:i4>
      </vt:variant>
      <vt:variant>
        <vt:lpwstr/>
      </vt:variant>
      <vt:variant>
        <vt:lpwstr>_Toc240775353</vt:lpwstr>
      </vt:variant>
      <vt:variant>
        <vt:i4>1310774</vt:i4>
      </vt:variant>
      <vt:variant>
        <vt:i4>152</vt:i4>
      </vt:variant>
      <vt:variant>
        <vt:i4>0</vt:i4>
      </vt:variant>
      <vt:variant>
        <vt:i4>5</vt:i4>
      </vt:variant>
      <vt:variant>
        <vt:lpwstr/>
      </vt:variant>
      <vt:variant>
        <vt:lpwstr>_Toc240775352</vt:lpwstr>
      </vt:variant>
      <vt:variant>
        <vt:i4>1310774</vt:i4>
      </vt:variant>
      <vt:variant>
        <vt:i4>146</vt:i4>
      </vt:variant>
      <vt:variant>
        <vt:i4>0</vt:i4>
      </vt:variant>
      <vt:variant>
        <vt:i4>5</vt:i4>
      </vt:variant>
      <vt:variant>
        <vt:lpwstr/>
      </vt:variant>
      <vt:variant>
        <vt:lpwstr>_Toc240775351</vt:lpwstr>
      </vt:variant>
      <vt:variant>
        <vt:i4>1310774</vt:i4>
      </vt:variant>
      <vt:variant>
        <vt:i4>140</vt:i4>
      </vt:variant>
      <vt:variant>
        <vt:i4>0</vt:i4>
      </vt:variant>
      <vt:variant>
        <vt:i4>5</vt:i4>
      </vt:variant>
      <vt:variant>
        <vt:lpwstr/>
      </vt:variant>
      <vt:variant>
        <vt:lpwstr>_Toc240775350</vt:lpwstr>
      </vt:variant>
      <vt:variant>
        <vt:i4>1376310</vt:i4>
      </vt:variant>
      <vt:variant>
        <vt:i4>134</vt:i4>
      </vt:variant>
      <vt:variant>
        <vt:i4>0</vt:i4>
      </vt:variant>
      <vt:variant>
        <vt:i4>5</vt:i4>
      </vt:variant>
      <vt:variant>
        <vt:lpwstr/>
      </vt:variant>
      <vt:variant>
        <vt:lpwstr>_Toc240775349</vt:lpwstr>
      </vt:variant>
      <vt:variant>
        <vt:i4>1376310</vt:i4>
      </vt:variant>
      <vt:variant>
        <vt:i4>128</vt:i4>
      </vt:variant>
      <vt:variant>
        <vt:i4>0</vt:i4>
      </vt:variant>
      <vt:variant>
        <vt:i4>5</vt:i4>
      </vt:variant>
      <vt:variant>
        <vt:lpwstr/>
      </vt:variant>
      <vt:variant>
        <vt:lpwstr>_Toc240775348</vt:lpwstr>
      </vt:variant>
      <vt:variant>
        <vt:i4>1376310</vt:i4>
      </vt:variant>
      <vt:variant>
        <vt:i4>122</vt:i4>
      </vt:variant>
      <vt:variant>
        <vt:i4>0</vt:i4>
      </vt:variant>
      <vt:variant>
        <vt:i4>5</vt:i4>
      </vt:variant>
      <vt:variant>
        <vt:lpwstr/>
      </vt:variant>
      <vt:variant>
        <vt:lpwstr>_Toc240775347</vt:lpwstr>
      </vt:variant>
      <vt:variant>
        <vt:i4>1376310</vt:i4>
      </vt:variant>
      <vt:variant>
        <vt:i4>116</vt:i4>
      </vt:variant>
      <vt:variant>
        <vt:i4>0</vt:i4>
      </vt:variant>
      <vt:variant>
        <vt:i4>5</vt:i4>
      </vt:variant>
      <vt:variant>
        <vt:lpwstr/>
      </vt:variant>
      <vt:variant>
        <vt:lpwstr>_Toc240775346</vt:lpwstr>
      </vt:variant>
      <vt:variant>
        <vt:i4>1376310</vt:i4>
      </vt:variant>
      <vt:variant>
        <vt:i4>110</vt:i4>
      </vt:variant>
      <vt:variant>
        <vt:i4>0</vt:i4>
      </vt:variant>
      <vt:variant>
        <vt:i4>5</vt:i4>
      </vt:variant>
      <vt:variant>
        <vt:lpwstr/>
      </vt:variant>
      <vt:variant>
        <vt:lpwstr>_Toc240775345</vt:lpwstr>
      </vt:variant>
      <vt:variant>
        <vt:i4>1376310</vt:i4>
      </vt:variant>
      <vt:variant>
        <vt:i4>104</vt:i4>
      </vt:variant>
      <vt:variant>
        <vt:i4>0</vt:i4>
      </vt:variant>
      <vt:variant>
        <vt:i4>5</vt:i4>
      </vt:variant>
      <vt:variant>
        <vt:lpwstr/>
      </vt:variant>
      <vt:variant>
        <vt:lpwstr>_Toc240775344</vt:lpwstr>
      </vt:variant>
      <vt:variant>
        <vt:i4>1376310</vt:i4>
      </vt:variant>
      <vt:variant>
        <vt:i4>98</vt:i4>
      </vt:variant>
      <vt:variant>
        <vt:i4>0</vt:i4>
      </vt:variant>
      <vt:variant>
        <vt:i4>5</vt:i4>
      </vt:variant>
      <vt:variant>
        <vt:lpwstr/>
      </vt:variant>
      <vt:variant>
        <vt:lpwstr>_Toc240775343</vt:lpwstr>
      </vt:variant>
      <vt:variant>
        <vt:i4>1376310</vt:i4>
      </vt:variant>
      <vt:variant>
        <vt:i4>92</vt:i4>
      </vt:variant>
      <vt:variant>
        <vt:i4>0</vt:i4>
      </vt:variant>
      <vt:variant>
        <vt:i4>5</vt:i4>
      </vt:variant>
      <vt:variant>
        <vt:lpwstr/>
      </vt:variant>
      <vt:variant>
        <vt:lpwstr>_Toc240775342</vt:lpwstr>
      </vt:variant>
      <vt:variant>
        <vt:i4>1376310</vt:i4>
      </vt:variant>
      <vt:variant>
        <vt:i4>86</vt:i4>
      </vt:variant>
      <vt:variant>
        <vt:i4>0</vt:i4>
      </vt:variant>
      <vt:variant>
        <vt:i4>5</vt:i4>
      </vt:variant>
      <vt:variant>
        <vt:lpwstr/>
      </vt:variant>
      <vt:variant>
        <vt:lpwstr>_Toc240775341</vt:lpwstr>
      </vt:variant>
      <vt:variant>
        <vt:i4>1376310</vt:i4>
      </vt:variant>
      <vt:variant>
        <vt:i4>80</vt:i4>
      </vt:variant>
      <vt:variant>
        <vt:i4>0</vt:i4>
      </vt:variant>
      <vt:variant>
        <vt:i4>5</vt:i4>
      </vt:variant>
      <vt:variant>
        <vt:lpwstr/>
      </vt:variant>
      <vt:variant>
        <vt:lpwstr>_Toc240775340</vt:lpwstr>
      </vt:variant>
      <vt:variant>
        <vt:i4>1179702</vt:i4>
      </vt:variant>
      <vt:variant>
        <vt:i4>74</vt:i4>
      </vt:variant>
      <vt:variant>
        <vt:i4>0</vt:i4>
      </vt:variant>
      <vt:variant>
        <vt:i4>5</vt:i4>
      </vt:variant>
      <vt:variant>
        <vt:lpwstr/>
      </vt:variant>
      <vt:variant>
        <vt:lpwstr>_Toc240775339</vt:lpwstr>
      </vt:variant>
      <vt:variant>
        <vt:i4>1179702</vt:i4>
      </vt:variant>
      <vt:variant>
        <vt:i4>68</vt:i4>
      </vt:variant>
      <vt:variant>
        <vt:i4>0</vt:i4>
      </vt:variant>
      <vt:variant>
        <vt:i4>5</vt:i4>
      </vt:variant>
      <vt:variant>
        <vt:lpwstr/>
      </vt:variant>
      <vt:variant>
        <vt:lpwstr>_Toc240775338</vt:lpwstr>
      </vt:variant>
      <vt:variant>
        <vt:i4>1179702</vt:i4>
      </vt:variant>
      <vt:variant>
        <vt:i4>62</vt:i4>
      </vt:variant>
      <vt:variant>
        <vt:i4>0</vt:i4>
      </vt:variant>
      <vt:variant>
        <vt:i4>5</vt:i4>
      </vt:variant>
      <vt:variant>
        <vt:lpwstr/>
      </vt:variant>
      <vt:variant>
        <vt:lpwstr>_Toc240775337</vt:lpwstr>
      </vt:variant>
      <vt:variant>
        <vt:i4>1179702</vt:i4>
      </vt:variant>
      <vt:variant>
        <vt:i4>56</vt:i4>
      </vt:variant>
      <vt:variant>
        <vt:i4>0</vt:i4>
      </vt:variant>
      <vt:variant>
        <vt:i4>5</vt:i4>
      </vt:variant>
      <vt:variant>
        <vt:lpwstr/>
      </vt:variant>
      <vt:variant>
        <vt:lpwstr>_Toc240775336</vt:lpwstr>
      </vt:variant>
      <vt:variant>
        <vt:i4>1179702</vt:i4>
      </vt:variant>
      <vt:variant>
        <vt:i4>50</vt:i4>
      </vt:variant>
      <vt:variant>
        <vt:i4>0</vt:i4>
      </vt:variant>
      <vt:variant>
        <vt:i4>5</vt:i4>
      </vt:variant>
      <vt:variant>
        <vt:lpwstr/>
      </vt:variant>
      <vt:variant>
        <vt:lpwstr>_Toc240775335</vt:lpwstr>
      </vt:variant>
      <vt:variant>
        <vt:i4>1179702</vt:i4>
      </vt:variant>
      <vt:variant>
        <vt:i4>44</vt:i4>
      </vt:variant>
      <vt:variant>
        <vt:i4>0</vt:i4>
      </vt:variant>
      <vt:variant>
        <vt:i4>5</vt:i4>
      </vt:variant>
      <vt:variant>
        <vt:lpwstr/>
      </vt:variant>
      <vt:variant>
        <vt:lpwstr>_Toc240775334</vt:lpwstr>
      </vt:variant>
      <vt:variant>
        <vt:i4>1179702</vt:i4>
      </vt:variant>
      <vt:variant>
        <vt:i4>38</vt:i4>
      </vt:variant>
      <vt:variant>
        <vt:i4>0</vt:i4>
      </vt:variant>
      <vt:variant>
        <vt:i4>5</vt:i4>
      </vt:variant>
      <vt:variant>
        <vt:lpwstr/>
      </vt:variant>
      <vt:variant>
        <vt:lpwstr>_Toc240775333</vt:lpwstr>
      </vt:variant>
      <vt:variant>
        <vt:i4>1179702</vt:i4>
      </vt:variant>
      <vt:variant>
        <vt:i4>32</vt:i4>
      </vt:variant>
      <vt:variant>
        <vt:i4>0</vt:i4>
      </vt:variant>
      <vt:variant>
        <vt:i4>5</vt:i4>
      </vt:variant>
      <vt:variant>
        <vt:lpwstr/>
      </vt:variant>
      <vt:variant>
        <vt:lpwstr>_Toc240775332</vt:lpwstr>
      </vt:variant>
      <vt:variant>
        <vt:i4>1179702</vt:i4>
      </vt:variant>
      <vt:variant>
        <vt:i4>26</vt:i4>
      </vt:variant>
      <vt:variant>
        <vt:i4>0</vt:i4>
      </vt:variant>
      <vt:variant>
        <vt:i4>5</vt:i4>
      </vt:variant>
      <vt:variant>
        <vt:lpwstr/>
      </vt:variant>
      <vt:variant>
        <vt:lpwstr>_Toc240775331</vt:lpwstr>
      </vt:variant>
      <vt:variant>
        <vt:i4>1179702</vt:i4>
      </vt:variant>
      <vt:variant>
        <vt:i4>20</vt:i4>
      </vt:variant>
      <vt:variant>
        <vt:i4>0</vt:i4>
      </vt:variant>
      <vt:variant>
        <vt:i4>5</vt:i4>
      </vt:variant>
      <vt:variant>
        <vt:lpwstr/>
      </vt:variant>
      <vt:variant>
        <vt:lpwstr>_Toc240775330</vt:lpwstr>
      </vt:variant>
      <vt:variant>
        <vt:i4>1245238</vt:i4>
      </vt:variant>
      <vt:variant>
        <vt:i4>14</vt:i4>
      </vt:variant>
      <vt:variant>
        <vt:i4>0</vt:i4>
      </vt:variant>
      <vt:variant>
        <vt:i4>5</vt:i4>
      </vt:variant>
      <vt:variant>
        <vt:lpwstr/>
      </vt:variant>
      <vt:variant>
        <vt:lpwstr>_Toc240775329</vt:lpwstr>
      </vt:variant>
      <vt:variant>
        <vt:i4>1245238</vt:i4>
      </vt:variant>
      <vt:variant>
        <vt:i4>8</vt:i4>
      </vt:variant>
      <vt:variant>
        <vt:i4>0</vt:i4>
      </vt:variant>
      <vt:variant>
        <vt:i4>5</vt:i4>
      </vt:variant>
      <vt:variant>
        <vt:lpwstr/>
      </vt:variant>
      <vt:variant>
        <vt:lpwstr>_Toc240775328</vt:lpwstr>
      </vt:variant>
      <vt:variant>
        <vt:i4>1245238</vt:i4>
      </vt:variant>
      <vt:variant>
        <vt:i4>2</vt:i4>
      </vt:variant>
      <vt:variant>
        <vt:i4>0</vt:i4>
      </vt:variant>
      <vt:variant>
        <vt:i4>5</vt:i4>
      </vt:variant>
      <vt:variant>
        <vt:lpwstr/>
      </vt:variant>
      <vt:variant>
        <vt:lpwstr>_Toc240775327</vt:lpwstr>
      </vt:variant>
      <vt:variant>
        <vt:i4>8257560</vt:i4>
      </vt:variant>
      <vt:variant>
        <vt:i4>0</vt:i4>
      </vt:variant>
      <vt:variant>
        <vt:i4>0</vt:i4>
      </vt:variant>
      <vt:variant>
        <vt:i4>5</vt:i4>
      </vt:variant>
      <vt:variant>
        <vt:lpwstr>http://cs.wikipedia.org/wiki/Abraham_Maslow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MAKROEKONOMIKA – obsah přednášek</dc:title>
  <dc:subject/>
  <dc:creator>Standard</dc:creator>
  <cp:keywords/>
  <dc:description/>
  <cp:lastModifiedBy>Richard Neugebauer</cp:lastModifiedBy>
  <cp:revision>10</cp:revision>
  <cp:lastPrinted>2014-03-12T12:18:00Z</cp:lastPrinted>
  <dcterms:created xsi:type="dcterms:W3CDTF">2019-02-20T07:54:00Z</dcterms:created>
  <dcterms:modified xsi:type="dcterms:W3CDTF">2021-02-13T12:39:00Z</dcterms:modified>
</cp:coreProperties>
</file>