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30785878" w:displacedByCustomXml="next"/>
    <w:bookmarkEnd w:id="0" w:displacedByCustomXml="next"/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701521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53D9077B" w14:textId="198163DD" w:rsidR="00521034" w:rsidRDefault="00521034" w:rsidP="002F1467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 xml:space="preserve">Základní ošetřovatelské postupy – </w:t>
          </w:r>
        </w:p>
        <w:p w14:paraId="153D92CD" w14:textId="2014AA61" w:rsidR="0041362C" w:rsidRPr="001531DD" w:rsidRDefault="000A59F5" w:rsidP="002F1467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Aplikace infuze cestou PŽK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2F5E5899" w:rsidR="00B60DC8" w:rsidRDefault="00490177" w:rsidP="00C244DE">
          <w:pPr>
            <w:pStyle w:val="autoi"/>
          </w:pPr>
          <w:r>
            <w:rPr>
              <w:rStyle w:val="autoiChar"/>
            </w:rPr>
            <w:t>Petra Šimánková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A162A70" w:rsidR="00B60DC8" w:rsidRDefault="00701521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0037">
            <w:rPr>
              <w:b/>
              <w:bCs/>
              <w:sz w:val="27"/>
              <w:szCs w:val="27"/>
            </w:rPr>
            <w:t>21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701521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0E469DF2" w14:textId="36E4F1BB" w:rsidR="00D84756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4587057" w:history="1">
                <w:r w:rsidR="00D84756" w:rsidRPr="005B3162">
                  <w:rPr>
                    <w:rStyle w:val="Hypertextovodkaz"/>
                    <w:noProof/>
                  </w:rPr>
                  <w:t>1</w:t>
                </w:r>
                <w:r w:rsidR="00D84756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D84756" w:rsidRPr="005B3162">
                  <w:rPr>
                    <w:rStyle w:val="Hypertextovodkaz"/>
                    <w:noProof/>
                  </w:rPr>
                  <w:t>Aplikace infuze cestou PŽK</w:t>
                </w:r>
                <w:r w:rsidR="00D84756">
                  <w:rPr>
                    <w:noProof/>
                    <w:webHidden/>
                  </w:rPr>
                  <w:tab/>
                </w:r>
                <w:r w:rsidR="00D84756">
                  <w:rPr>
                    <w:noProof/>
                    <w:webHidden/>
                  </w:rPr>
                  <w:fldChar w:fldCharType="begin"/>
                </w:r>
                <w:r w:rsidR="00D84756">
                  <w:rPr>
                    <w:noProof/>
                    <w:webHidden/>
                  </w:rPr>
                  <w:instrText xml:space="preserve"> PAGEREF _Toc64587057 \h </w:instrText>
                </w:r>
                <w:r w:rsidR="00D84756">
                  <w:rPr>
                    <w:noProof/>
                    <w:webHidden/>
                  </w:rPr>
                </w:r>
                <w:r w:rsidR="00D84756">
                  <w:rPr>
                    <w:noProof/>
                    <w:webHidden/>
                  </w:rPr>
                  <w:fldChar w:fldCharType="separate"/>
                </w:r>
                <w:r w:rsidR="00D84756">
                  <w:rPr>
                    <w:noProof/>
                    <w:webHidden/>
                  </w:rPr>
                  <w:t>3</w:t>
                </w:r>
                <w:r w:rsidR="00D84756">
                  <w:rPr>
                    <w:noProof/>
                    <w:webHidden/>
                  </w:rPr>
                  <w:fldChar w:fldCharType="end"/>
                </w:r>
              </w:hyperlink>
            </w:p>
            <w:p w14:paraId="46260FC0" w14:textId="3C94175D" w:rsidR="00D84756" w:rsidRDefault="00701521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587058" w:history="1">
                <w:r w:rsidR="00D84756" w:rsidRPr="005B3162">
                  <w:rPr>
                    <w:rStyle w:val="Hypertextovodkaz"/>
                    <w:noProof/>
                  </w:rPr>
                  <w:t>2</w:t>
                </w:r>
                <w:r w:rsidR="00D84756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D84756" w:rsidRPr="005B3162">
                  <w:rPr>
                    <w:rStyle w:val="Hypertextovodkaz"/>
                    <w:noProof/>
                  </w:rPr>
                  <w:t>Pedagogicko didaktické poznámky</w:t>
                </w:r>
                <w:r w:rsidR="00D84756">
                  <w:rPr>
                    <w:noProof/>
                    <w:webHidden/>
                  </w:rPr>
                  <w:tab/>
                </w:r>
                <w:r w:rsidR="00D84756">
                  <w:rPr>
                    <w:noProof/>
                    <w:webHidden/>
                  </w:rPr>
                  <w:fldChar w:fldCharType="begin"/>
                </w:r>
                <w:r w:rsidR="00D84756">
                  <w:rPr>
                    <w:noProof/>
                    <w:webHidden/>
                  </w:rPr>
                  <w:instrText xml:space="preserve"> PAGEREF _Toc64587058 \h </w:instrText>
                </w:r>
                <w:r w:rsidR="00D84756">
                  <w:rPr>
                    <w:noProof/>
                    <w:webHidden/>
                  </w:rPr>
                </w:r>
                <w:r w:rsidR="00D84756">
                  <w:rPr>
                    <w:noProof/>
                    <w:webHidden/>
                  </w:rPr>
                  <w:fldChar w:fldCharType="separate"/>
                </w:r>
                <w:r w:rsidR="00D84756">
                  <w:rPr>
                    <w:noProof/>
                    <w:webHidden/>
                  </w:rPr>
                  <w:t>7</w:t>
                </w:r>
                <w:r w:rsidR="00D84756">
                  <w:rPr>
                    <w:noProof/>
                    <w:webHidden/>
                  </w:rPr>
                  <w:fldChar w:fldCharType="end"/>
                </w:r>
              </w:hyperlink>
            </w:p>
            <w:p w14:paraId="3D37137D" w14:textId="0FD0F654" w:rsidR="00D84756" w:rsidRDefault="00701521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587059" w:history="1">
                <w:r w:rsidR="00D84756" w:rsidRPr="005B3162">
                  <w:rPr>
                    <w:rStyle w:val="Hypertextovodkaz"/>
                    <w:noProof/>
                  </w:rPr>
                  <w:t>Použitá Literatura</w:t>
                </w:r>
                <w:r w:rsidR="00D84756">
                  <w:rPr>
                    <w:noProof/>
                    <w:webHidden/>
                  </w:rPr>
                  <w:tab/>
                </w:r>
                <w:r w:rsidR="00D84756">
                  <w:rPr>
                    <w:noProof/>
                    <w:webHidden/>
                  </w:rPr>
                  <w:fldChar w:fldCharType="begin"/>
                </w:r>
                <w:r w:rsidR="00D84756">
                  <w:rPr>
                    <w:noProof/>
                    <w:webHidden/>
                  </w:rPr>
                  <w:instrText xml:space="preserve"> PAGEREF _Toc64587059 \h </w:instrText>
                </w:r>
                <w:r w:rsidR="00D84756">
                  <w:rPr>
                    <w:noProof/>
                    <w:webHidden/>
                  </w:rPr>
                </w:r>
                <w:r w:rsidR="00D84756">
                  <w:rPr>
                    <w:noProof/>
                    <w:webHidden/>
                  </w:rPr>
                  <w:fldChar w:fldCharType="separate"/>
                </w:r>
                <w:r w:rsidR="00D84756">
                  <w:rPr>
                    <w:noProof/>
                    <w:webHidden/>
                  </w:rPr>
                  <w:t>9</w:t>
                </w:r>
                <w:r w:rsidR="00D84756">
                  <w:rPr>
                    <w:noProof/>
                    <w:webHidden/>
                  </w:rPr>
                  <w:fldChar w:fldCharType="end"/>
                </w:r>
              </w:hyperlink>
            </w:p>
            <w:p w14:paraId="04F37AFB" w14:textId="373BD038" w:rsidR="00D84756" w:rsidRDefault="00701521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587060" w:history="1">
                <w:r w:rsidR="00D84756" w:rsidRPr="005B3162">
                  <w:rPr>
                    <w:rStyle w:val="Hypertextovodkaz"/>
                    <w:noProof/>
                  </w:rPr>
                  <w:t>Přehled dostupných ikon</w:t>
                </w:r>
                <w:r w:rsidR="00D84756">
                  <w:rPr>
                    <w:noProof/>
                    <w:webHidden/>
                  </w:rPr>
                  <w:tab/>
                </w:r>
                <w:r w:rsidR="00D84756">
                  <w:rPr>
                    <w:noProof/>
                    <w:webHidden/>
                  </w:rPr>
                  <w:fldChar w:fldCharType="begin"/>
                </w:r>
                <w:r w:rsidR="00D84756">
                  <w:rPr>
                    <w:noProof/>
                    <w:webHidden/>
                  </w:rPr>
                  <w:instrText xml:space="preserve"> PAGEREF _Toc64587060 \h </w:instrText>
                </w:r>
                <w:r w:rsidR="00D84756">
                  <w:rPr>
                    <w:noProof/>
                    <w:webHidden/>
                  </w:rPr>
                </w:r>
                <w:r w:rsidR="00D84756">
                  <w:rPr>
                    <w:noProof/>
                    <w:webHidden/>
                  </w:rPr>
                  <w:fldChar w:fldCharType="separate"/>
                </w:r>
                <w:r w:rsidR="00D84756">
                  <w:rPr>
                    <w:noProof/>
                    <w:webHidden/>
                  </w:rPr>
                  <w:t>10</w:t>
                </w:r>
                <w:r w:rsidR="00D84756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0EDEA402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701521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7B114C37" w14:textId="77777777" w:rsidR="000A59F5" w:rsidRDefault="000A59F5" w:rsidP="000A59F5">
      <w:pPr>
        <w:pStyle w:val="Nadpis1"/>
      </w:pPr>
      <w:bookmarkStart w:id="1" w:name="_Toc59124713"/>
      <w:bookmarkStart w:id="2" w:name="_Toc64587057"/>
      <w:r>
        <w:rPr>
          <w:noProof/>
        </w:rPr>
        <w:lastRenderedPageBreak/>
        <w:t>Aplikace infuze cestou PŽK</w:t>
      </w:r>
      <w:bookmarkEnd w:id="1"/>
      <w:bookmarkEnd w:id="2"/>
      <w:r>
        <w:rPr>
          <w:noProof/>
        </w:rPr>
        <w:t xml:space="preserve"> </w:t>
      </w:r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C455E" w14:textId="68E04145" w:rsidR="00802FE3" w:rsidRDefault="000A59F5" w:rsidP="00802FE3">
      <w:pPr>
        <w:pStyle w:val="Tlotextu"/>
      </w:pPr>
      <w:r>
        <w:t xml:space="preserve">Tento materiál je určen studentům FVP, Ústavu </w:t>
      </w:r>
      <w:r w:rsidR="005D2DE8">
        <w:t>nelékařských zdravotnických studií –</w:t>
      </w:r>
      <w:r>
        <w:t xml:space="preserve"> </w:t>
      </w:r>
      <w:r w:rsidR="00802FE3">
        <w:t>oboru Všeobecná sestra nebo porodní asistentka a to jak prezenčního</w:t>
      </w:r>
      <w:r w:rsidR="001F7A2A">
        <w:t>,</w:t>
      </w:r>
      <w:r w:rsidR="00802FE3">
        <w:t xml:space="preserve"> tak kombinovaného studia Slezské univerzity v Opavě v prostředí IS SLU.</w:t>
      </w:r>
      <w:r w:rsidR="00802FE3" w:rsidRPr="00DC720A">
        <w:t xml:space="preserve"> </w:t>
      </w:r>
    </w:p>
    <w:p w14:paraId="42A964B0" w14:textId="6E8A20B0" w:rsidR="000A59F5" w:rsidRPr="00060811" w:rsidRDefault="000A59F5" w:rsidP="000A59F5">
      <w:pPr>
        <w:pStyle w:val="Tlotextu"/>
        <w:rPr>
          <w:b/>
        </w:rPr>
      </w:pPr>
      <w:r>
        <w:t xml:space="preserve">Video s krátkou teoretickou vsuvkou a ukázkou praktického postupu zavedení infuze cestou PŽK lze využít pro výuku prakticko – teoretických znalostí a dovedností studentů. </w:t>
      </w:r>
    </w:p>
    <w:p w14:paraId="36A79D02" w14:textId="77777777" w:rsidR="00213E90" w:rsidRDefault="00213E90" w:rsidP="00213E90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9ADD" w14:textId="36B6DF60" w:rsidR="000A59F5" w:rsidRDefault="000A59F5" w:rsidP="00F00CAC">
      <w:pPr>
        <w:pStyle w:val="Tlotextu"/>
      </w:pPr>
      <w:r>
        <w:t>Infuze je podání většího množství tekutiny do organismu parenterální cestou. Podávání infuzí je neoddělitelnou a často podstatnou složkou léčby a znalost sestry o postupu podání infuze hraje důležitou roli v ošetřovatelské péči o nemocného. Možnosti přístupu a způsoby aplikace infuzní terapie jsou různé. Infuzní léčbu, její rychlost a délku indikuje lékař a její aplikace je dle dané legislativy plně v kompetenci sestry</w:t>
      </w:r>
      <w:r w:rsidR="001F7A2A">
        <w:t xml:space="preserve"> s příslušnou kvalifikací dle zákona. </w:t>
      </w:r>
      <w:r>
        <w:t>Video je pojato jako teoreticko – praktické. V krátké teoretické části se dotýká oblasti obecné znalosti infuzních roztoků, přístupu podání infuze, účel infuzní terapie, komponent</w:t>
      </w:r>
      <w:r w:rsidR="001F7A2A">
        <w:t>ů</w:t>
      </w:r>
      <w:r>
        <w:t xml:space="preserve"> jako j</w:t>
      </w:r>
      <w:r w:rsidR="001F7A2A">
        <w:t>sou</w:t>
      </w:r>
      <w:r>
        <w:t xml:space="preserve"> infuzní set, spojovací hadička, proplach PŽK, kohouty. Dále se věnuje přípravě sestry, pomůcek a přípravě pacienta před výkonem samotným. V praktické části je reálná ukázka aplikace infuze cestou PŽK.     </w:t>
      </w:r>
    </w:p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39F7" w14:textId="77777777" w:rsidR="000A59F5" w:rsidRDefault="000A59F5" w:rsidP="000A59F5">
      <w:pPr>
        <w:pStyle w:val="parOdrazky01"/>
      </w:pPr>
      <w:r>
        <w:t>Student zná možné přístupy aplikace roztoků</w:t>
      </w:r>
    </w:p>
    <w:p w14:paraId="460CAED1" w14:textId="77777777" w:rsidR="000A59F5" w:rsidRDefault="000A59F5" w:rsidP="000A59F5">
      <w:pPr>
        <w:pStyle w:val="parOdrazky01"/>
      </w:pPr>
      <w:r>
        <w:t>Student vysvětlí význam aplikace infuzní terapie</w:t>
      </w:r>
    </w:p>
    <w:p w14:paraId="6F9B6BF4" w14:textId="77777777" w:rsidR="000A59F5" w:rsidRDefault="000A59F5" w:rsidP="000A59F5">
      <w:pPr>
        <w:pStyle w:val="parOdrazky01"/>
      </w:pPr>
      <w:r>
        <w:t xml:space="preserve">Student zná základní druhy infuzních roztoků a rozdíly mezi nimi </w:t>
      </w:r>
    </w:p>
    <w:p w14:paraId="38895C4A" w14:textId="77777777" w:rsidR="000A59F5" w:rsidRDefault="000A59F5" w:rsidP="000A59F5">
      <w:pPr>
        <w:pStyle w:val="parOdrazky01"/>
      </w:pPr>
      <w:r>
        <w:t>Student popíše úlohu sestry v procesu podání infuze</w:t>
      </w:r>
    </w:p>
    <w:p w14:paraId="08A644E6" w14:textId="77777777" w:rsidR="000A59F5" w:rsidRDefault="000A59F5" w:rsidP="000A59F5">
      <w:pPr>
        <w:pStyle w:val="parOdrazky01"/>
      </w:pPr>
      <w:r>
        <w:t xml:space="preserve">Student používá správné metodické postupy při aplikaci infuze cestou PŽK </w:t>
      </w:r>
    </w:p>
    <w:p w14:paraId="6DADE001" w14:textId="77777777" w:rsidR="000A59F5" w:rsidRPr="000C1890" w:rsidRDefault="000A59F5" w:rsidP="000A59F5">
      <w:pPr>
        <w:pStyle w:val="parOdrazky01"/>
        <w:rPr>
          <w:b/>
        </w:rPr>
      </w:pPr>
      <w:r>
        <w:t>Student zná postup přípravy sestry, pacienta</w:t>
      </w:r>
    </w:p>
    <w:p w14:paraId="427765E6" w14:textId="77777777" w:rsidR="000A59F5" w:rsidRPr="000A59F5" w:rsidRDefault="000A59F5" w:rsidP="000A59F5">
      <w:pPr>
        <w:pStyle w:val="parOdrazky01"/>
        <w:rPr>
          <w:b/>
        </w:rPr>
      </w:pPr>
      <w:r>
        <w:t>Pojmenuje pomůcky připravené pro aplikace infuze</w:t>
      </w:r>
    </w:p>
    <w:p w14:paraId="0974F5EC" w14:textId="77777777" w:rsidR="000A59F5" w:rsidRPr="000C1890" w:rsidRDefault="000A59F5" w:rsidP="000A59F5">
      <w:pPr>
        <w:pStyle w:val="parOdrazky01"/>
      </w:pPr>
      <w:r w:rsidRPr="000C1890">
        <w:t>Student pracuje dle bezpečnostních a hygienických požadavků</w:t>
      </w:r>
    </w:p>
    <w:p w14:paraId="297D33AD" w14:textId="7E1404A3" w:rsidR="00CF098A" w:rsidRDefault="00CF098A" w:rsidP="00CF098A">
      <w:pPr>
        <w:pStyle w:val="parUkonceniPrvku"/>
      </w:pPr>
    </w:p>
    <w:p w14:paraId="7BE7C309" w14:textId="77777777" w:rsidR="00B17174" w:rsidRPr="004B005B" w:rsidRDefault="00B17174" w:rsidP="00B17174">
      <w:pPr>
        <w:pStyle w:val="parNadpisPrvkuCerveny"/>
      </w:pPr>
      <w:r w:rsidRPr="004B005B">
        <w:t xml:space="preserve">Klíčová </w:t>
      </w:r>
      <w:r w:rsidRPr="008F55D1">
        <w:t>STUDIJNÍHO MATERIÁLU</w:t>
      </w:r>
    </w:p>
    <w:p w14:paraId="053235F2" w14:textId="77777777" w:rsidR="00B17174" w:rsidRDefault="00B17174" w:rsidP="00B17174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68494EB" wp14:editId="1751BA3D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3A2F" w14:textId="55574EAD" w:rsidR="00B17174" w:rsidRPr="00CF098A" w:rsidRDefault="00B17174" w:rsidP="00B17174">
      <w:pPr>
        <w:pStyle w:val="Tlotextu"/>
        <w:rPr>
          <w:b/>
        </w:rPr>
      </w:pPr>
      <w:r w:rsidRPr="00B17174">
        <w:t>Infuze, roztoky, PŽK, infuzní set, pomůcky, spojovací hadičky, koncovky, kohouty</w:t>
      </w:r>
    </w:p>
    <w:p w14:paraId="716122E5" w14:textId="77777777" w:rsidR="00B17174" w:rsidRDefault="00B17174" w:rsidP="00B1717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0AB0" w14:textId="3376294C" w:rsidR="000A59F5" w:rsidRDefault="000A59F5" w:rsidP="000A59F5">
      <w:pPr>
        <w:pStyle w:val="Tlotextu"/>
      </w:pPr>
      <w:r>
        <w:t>Stopáž studijního materiálu: 0</w:t>
      </w:r>
      <w:r w:rsidR="00F00CAC">
        <w:t>0</w:t>
      </w:r>
      <w:r>
        <w:t>:</w:t>
      </w:r>
      <w:r w:rsidR="00F00CAC">
        <w:t>31</w:t>
      </w:r>
      <w:r>
        <w:t>:</w:t>
      </w:r>
      <w:r w:rsidR="00F00CAC">
        <w:t>58</w:t>
      </w:r>
      <w:r>
        <w:t xml:space="preserve"> </w:t>
      </w:r>
    </w:p>
    <w:p w14:paraId="1E60C7FF" w14:textId="77777777" w:rsidR="000A59F5" w:rsidRDefault="000A59F5" w:rsidP="000A59F5">
      <w:pPr>
        <w:pStyle w:val="Tlotextu"/>
      </w:pPr>
      <w:r>
        <w:t>Doporučený čas ke studiu: cca 60 minut</w:t>
      </w:r>
    </w:p>
    <w:p w14:paraId="1B114916" w14:textId="273E7480" w:rsidR="008F55D1" w:rsidRDefault="008F55D1" w:rsidP="008F55D1">
      <w:pPr>
        <w:pStyle w:val="parUkonceniPrvku"/>
      </w:pPr>
    </w:p>
    <w:p w14:paraId="251697D2" w14:textId="77777777" w:rsidR="00B17174" w:rsidRPr="004B005B" w:rsidRDefault="00B17174" w:rsidP="00B17174">
      <w:pPr>
        <w:pStyle w:val="parNadpisPrvkuOranzovy"/>
      </w:pPr>
      <w:r>
        <w:t>doporučená literatura</w:t>
      </w:r>
    </w:p>
    <w:p w14:paraId="6ECB0EC8" w14:textId="77777777" w:rsidR="00B17174" w:rsidRDefault="00B17174" w:rsidP="00B17174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1E2751E" wp14:editId="17B3E654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F109" w14:textId="77777777" w:rsidR="00B17174" w:rsidRPr="00D45B4A" w:rsidRDefault="00B17174" w:rsidP="00B17174">
      <w:pPr>
        <w:pStyle w:val="Tlotextu"/>
        <w:ind w:firstLine="0"/>
        <w:rPr>
          <w:b/>
        </w:rPr>
      </w:pPr>
      <w:r w:rsidRPr="00D45B4A">
        <w:t xml:space="preserve">JIRKOVSKÝ, D. a kol. </w:t>
      </w:r>
      <w:r w:rsidRPr="00D45B4A">
        <w:rPr>
          <w:iCs/>
        </w:rPr>
        <w:t>Ošetřovatelské postupy a intervence</w:t>
      </w:r>
      <w:r w:rsidRPr="00D45B4A">
        <w:t>. 1. vyd. Praha: Fakultní [3]nemocnice v Motole, 2012. 411 s. ISBN 978-80-87347-13-3</w:t>
      </w:r>
      <w:r w:rsidRPr="00D45B4A">
        <w:rPr>
          <w:b/>
        </w:rPr>
        <w:t>.</w:t>
      </w:r>
    </w:p>
    <w:p w14:paraId="2EE5D324" w14:textId="77777777" w:rsidR="00B17174" w:rsidRDefault="00B17174" w:rsidP="00B17174">
      <w:pPr>
        <w:pStyle w:val="parUkonceniPrvku"/>
      </w:pPr>
    </w:p>
    <w:p w14:paraId="41E1E312" w14:textId="77777777" w:rsidR="00B17174" w:rsidRPr="004B005B" w:rsidRDefault="00B17174" w:rsidP="00B17174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11D0FEF6" w14:textId="77777777" w:rsidR="00B17174" w:rsidRDefault="00B17174" w:rsidP="00B17174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B97E3AE" wp14:editId="3D0668C5">
            <wp:extent cx="381635" cy="38163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1D98B" w14:textId="77777777" w:rsidR="00B17174" w:rsidRPr="00D45B4A" w:rsidRDefault="00B17174" w:rsidP="00B17174">
      <w:pPr>
        <w:pStyle w:val="Tlotextu"/>
        <w:ind w:firstLine="0"/>
        <w:rPr>
          <w:rFonts w:cs="Times New Roman"/>
          <w:shd w:val="clear" w:color="auto" w:fill="FFFFFF"/>
        </w:rPr>
      </w:pPr>
      <w:r w:rsidRPr="00D45B4A">
        <w:rPr>
          <w:rFonts w:cs="Times New Roman"/>
          <w:shd w:val="clear" w:color="auto" w:fill="FFFFFF"/>
        </w:rPr>
        <w:t>VYTEJČKOVÁ, R. </w:t>
      </w:r>
      <w:r w:rsidRPr="00D45B4A">
        <w:rPr>
          <w:rFonts w:cs="Times New Roman"/>
          <w:iCs/>
          <w:shd w:val="clear" w:color="auto" w:fill="FFFFFF"/>
        </w:rPr>
        <w:t>Ošetřovatelské postupy v péči o nemocné I: obecná část</w:t>
      </w:r>
      <w:r w:rsidRPr="00D45B4A">
        <w:rPr>
          <w:rFonts w:cs="Times New Roman"/>
          <w:shd w:val="clear" w:color="auto" w:fill="FFFFFF"/>
        </w:rPr>
        <w:t>. Praha: Grada, 2011. Sestra (Grada). ISBN 978-80-247-3419-4.</w:t>
      </w:r>
    </w:p>
    <w:p w14:paraId="0B3A4ADF" w14:textId="74298D65" w:rsidR="00B17174" w:rsidRPr="00D45B4A" w:rsidRDefault="00B17174" w:rsidP="00B17174">
      <w:pPr>
        <w:pStyle w:val="Tlotextu"/>
        <w:ind w:firstLine="0"/>
        <w:rPr>
          <w:b/>
        </w:rPr>
      </w:pPr>
      <w:r w:rsidRPr="00D45B4A">
        <w:rPr>
          <w:rFonts w:cs="Times New Roman"/>
          <w:shd w:val="clear" w:color="auto" w:fill="FFFFFF"/>
        </w:rPr>
        <w:t>VYTEJČKOVÁ, R</w:t>
      </w:r>
      <w:r>
        <w:rPr>
          <w:rFonts w:cs="Times New Roman"/>
          <w:shd w:val="clear" w:color="auto" w:fill="FFFFFF"/>
        </w:rPr>
        <w:t>.</w:t>
      </w:r>
      <w:r w:rsidRPr="00D45B4A">
        <w:rPr>
          <w:rFonts w:cs="Times New Roman"/>
          <w:shd w:val="clear" w:color="auto" w:fill="FFFFFF"/>
        </w:rPr>
        <w:t> </w:t>
      </w:r>
      <w:r w:rsidRPr="00D45B4A">
        <w:rPr>
          <w:rFonts w:cs="Times New Roman"/>
          <w:iCs/>
          <w:shd w:val="clear" w:color="auto" w:fill="FFFFFF"/>
        </w:rPr>
        <w:t>Ošetřovatelské postupy v péči o nemocné II: speciální část</w:t>
      </w:r>
      <w:r w:rsidRPr="00D45B4A">
        <w:rPr>
          <w:rFonts w:cs="Times New Roman"/>
          <w:shd w:val="clear" w:color="auto" w:fill="FFFFFF"/>
        </w:rPr>
        <w:t>. Praha: Grada, 2013. Sestra (Grada). ISBN 978-80-247-3420-0.</w:t>
      </w:r>
    </w:p>
    <w:p w14:paraId="56570967" w14:textId="77777777" w:rsidR="00B17174" w:rsidRDefault="00B17174" w:rsidP="00B17174">
      <w:pPr>
        <w:pStyle w:val="parUkonceniPrvku"/>
      </w:pPr>
    </w:p>
    <w:p w14:paraId="0C429889" w14:textId="77777777" w:rsidR="00B17174" w:rsidRDefault="00B17174" w:rsidP="00B17174">
      <w:pPr>
        <w:pStyle w:val="Tlotextu"/>
      </w:pPr>
    </w:p>
    <w:p w14:paraId="35C3EC5D" w14:textId="419C3DEE" w:rsidR="003B726B" w:rsidRPr="00D054E2" w:rsidRDefault="003B726B" w:rsidP="003B72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054E2">
        <w:rPr>
          <w:rFonts w:ascii="Times New Roman" w:hAnsi="Times New Roman" w:cs="Times New Roman"/>
          <w:b/>
          <w:sz w:val="24"/>
          <w:szCs w:val="24"/>
        </w:rPr>
        <w:t xml:space="preserve">Aplikace léčiva formou infuze znamená vpravení léčiva, tekutiny, </w:t>
      </w:r>
      <w:r w:rsidR="00040F80">
        <w:rPr>
          <w:rFonts w:ascii="Times New Roman" w:hAnsi="Times New Roman" w:cs="Times New Roman"/>
          <w:b/>
          <w:sz w:val="24"/>
          <w:szCs w:val="24"/>
        </w:rPr>
        <w:t xml:space="preserve">výživy </w:t>
      </w:r>
      <w:r w:rsidRPr="00D054E2">
        <w:rPr>
          <w:rFonts w:ascii="Times New Roman" w:hAnsi="Times New Roman" w:cs="Times New Roman"/>
          <w:b/>
          <w:sz w:val="24"/>
          <w:szCs w:val="24"/>
        </w:rPr>
        <w:t xml:space="preserve">do organizmu cestou jinou než perorální a to cestou: </w:t>
      </w:r>
    </w:p>
    <w:p w14:paraId="384F70DF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A9E09E" w14:textId="77777777" w:rsidR="003B726B" w:rsidRPr="00D054E2" w:rsidRDefault="003B726B" w:rsidP="007F5EB1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 xml:space="preserve">i.v. (intravenózní) PŽK, CŽK </w:t>
      </w:r>
    </w:p>
    <w:p w14:paraId="421B03C9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6D0F90" w14:textId="77777777" w:rsidR="003B726B" w:rsidRPr="00D054E2" w:rsidRDefault="003B726B" w:rsidP="007F5EB1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s.c. (subkutánní) – paliativní medicína, senioři -  porušená trofika (křídlo)</w:t>
      </w:r>
    </w:p>
    <w:p w14:paraId="6FFABD1C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35C50D" w14:textId="7084B306" w:rsidR="003B726B" w:rsidRPr="00D054E2" w:rsidRDefault="003B726B" w:rsidP="007F5EB1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i.o. (intraoseální )– do kosti, touto cestou lze podávat všechny léky, i.v. roztoky a krevní deriváty. Rychlost nástupu účinku je srovnatelná s CŽ přístupem. Využívá se nejčastěji v přednemocniční péči. Místa vstupu - proximální část tibie</w:t>
      </w:r>
      <w:r w:rsidR="00040F80">
        <w:rPr>
          <w:rFonts w:ascii="Times New Roman" w:hAnsi="Times New Roman" w:cs="Times New Roman"/>
          <w:sz w:val="24"/>
          <w:szCs w:val="24"/>
        </w:rPr>
        <w:t>,</w:t>
      </w:r>
      <w:r w:rsidRPr="00D054E2">
        <w:rPr>
          <w:rFonts w:ascii="Times New Roman" w:hAnsi="Times New Roman" w:cs="Times New Roman"/>
          <w:sz w:val="24"/>
          <w:szCs w:val="24"/>
        </w:rPr>
        <w:t xml:space="preserve"> distální femur, patní kost (novorozenci a děti &lt; 6 měsíců)</w:t>
      </w:r>
    </w:p>
    <w:p w14:paraId="06D52A2A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BF47B4" w14:textId="7198D297" w:rsidR="003B726B" w:rsidRDefault="003B726B" w:rsidP="007F5EB1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i.a. (intraarteriálně)</w:t>
      </w:r>
      <w:r w:rsidR="00040F80">
        <w:rPr>
          <w:rFonts w:ascii="Times New Roman" w:hAnsi="Times New Roman" w:cs="Times New Roman"/>
          <w:sz w:val="24"/>
          <w:szCs w:val="24"/>
        </w:rPr>
        <w:t xml:space="preserve"> – katetrizace tepny</w:t>
      </w:r>
    </w:p>
    <w:p w14:paraId="5A6D53C0" w14:textId="77777777" w:rsidR="00040F80" w:rsidRPr="00D054E2" w:rsidRDefault="00040F80" w:rsidP="00040F8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1022D835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054E2">
        <w:rPr>
          <w:rFonts w:ascii="Times New Roman" w:hAnsi="Times New Roman" w:cs="Times New Roman"/>
          <w:b/>
          <w:sz w:val="24"/>
          <w:szCs w:val="24"/>
        </w:rPr>
        <w:t>Účel:</w:t>
      </w:r>
    </w:p>
    <w:p w14:paraId="23CD183C" w14:textId="77777777" w:rsidR="003B726B" w:rsidRPr="00D054E2" w:rsidRDefault="003B726B" w:rsidP="00BE068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Diagnostický- roztok je nosičem např. kontrastní látky</w:t>
      </w:r>
    </w:p>
    <w:p w14:paraId="0E278B5E" w14:textId="0CB708E1" w:rsidR="003B726B" w:rsidRPr="00D054E2" w:rsidRDefault="003B726B" w:rsidP="00BE068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Terapeutický</w:t>
      </w:r>
      <w:r w:rsidR="00BE068D">
        <w:rPr>
          <w:rFonts w:ascii="Times New Roman" w:hAnsi="Times New Roman" w:cs="Times New Roman"/>
          <w:sz w:val="24"/>
          <w:szCs w:val="24"/>
        </w:rPr>
        <w:t xml:space="preserve"> - léčebný</w:t>
      </w:r>
    </w:p>
    <w:p w14:paraId="1E1A5943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F1715" w14:textId="77777777" w:rsidR="003B726B" w:rsidRDefault="003B726B" w:rsidP="00BE068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Dodáni tekutin – senioři</w:t>
      </w:r>
    </w:p>
    <w:p w14:paraId="2D7B33D1" w14:textId="77777777" w:rsidR="003B726B" w:rsidRDefault="003B726B" w:rsidP="00BE068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726B">
        <w:rPr>
          <w:rFonts w:ascii="Times New Roman" w:hAnsi="Times New Roman" w:cs="Times New Roman"/>
          <w:sz w:val="24"/>
          <w:szCs w:val="24"/>
        </w:rPr>
        <w:t>Infuzní roztok je nosičem léčivé látky – ATB, diuretika, cytostatika..</w:t>
      </w:r>
    </w:p>
    <w:p w14:paraId="71D1125C" w14:textId="64DC53D0" w:rsidR="003B726B" w:rsidRDefault="003B726B" w:rsidP="00BE068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726B">
        <w:rPr>
          <w:rFonts w:ascii="Times New Roman" w:hAnsi="Times New Roman" w:cs="Times New Roman"/>
          <w:sz w:val="24"/>
          <w:szCs w:val="24"/>
        </w:rPr>
        <w:t>Náhrada ztrát při onemocnění – průjmy, zvracení, popáleniny</w:t>
      </w:r>
      <w:r w:rsidR="00BE068D">
        <w:rPr>
          <w:rFonts w:ascii="Times New Roman" w:hAnsi="Times New Roman" w:cs="Times New Roman"/>
          <w:sz w:val="24"/>
          <w:szCs w:val="24"/>
        </w:rPr>
        <w:t>..</w:t>
      </w:r>
    </w:p>
    <w:p w14:paraId="7CBA4ED3" w14:textId="77777777" w:rsidR="003B726B" w:rsidRDefault="003B726B" w:rsidP="00BE068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726B">
        <w:rPr>
          <w:rFonts w:ascii="Times New Roman" w:hAnsi="Times New Roman" w:cs="Times New Roman"/>
          <w:sz w:val="24"/>
          <w:szCs w:val="24"/>
        </w:rPr>
        <w:t>Dodávka energetické potřeby organizmu a saturace minerálních látek, vitamínů, výživy, tuků, cukrů, bílkovin – parenterální výživa</w:t>
      </w:r>
    </w:p>
    <w:p w14:paraId="5E95EF84" w14:textId="77777777" w:rsidR="003B726B" w:rsidRDefault="003B726B" w:rsidP="00BE068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726B">
        <w:rPr>
          <w:rFonts w:ascii="Times New Roman" w:hAnsi="Times New Roman" w:cs="Times New Roman"/>
          <w:sz w:val="24"/>
          <w:szCs w:val="24"/>
        </w:rPr>
        <w:t>Náhrada krevní plazmy</w:t>
      </w:r>
    </w:p>
    <w:p w14:paraId="7974D6CC" w14:textId="32AB3A6B" w:rsidR="003B726B" w:rsidRDefault="003B726B" w:rsidP="00BE068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726B">
        <w:rPr>
          <w:rFonts w:ascii="Times New Roman" w:hAnsi="Times New Roman" w:cs="Times New Roman"/>
          <w:sz w:val="24"/>
          <w:szCs w:val="24"/>
        </w:rPr>
        <w:t xml:space="preserve">Perioperační náhrady ztrát </w:t>
      </w:r>
    </w:p>
    <w:p w14:paraId="12614DB1" w14:textId="77777777" w:rsidR="003B726B" w:rsidRDefault="003B726B" w:rsidP="00BE068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726B">
        <w:rPr>
          <w:rFonts w:ascii="Times New Roman" w:hAnsi="Times New Roman" w:cs="Times New Roman"/>
          <w:sz w:val="24"/>
          <w:szCs w:val="24"/>
        </w:rPr>
        <w:t>Rychlé podání léků</w:t>
      </w:r>
    </w:p>
    <w:p w14:paraId="544BEF0C" w14:textId="04973184" w:rsidR="00E74D43" w:rsidRDefault="003B726B" w:rsidP="00BE068D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B726B">
        <w:rPr>
          <w:rFonts w:ascii="Times New Roman" w:hAnsi="Times New Roman" w:cs="Times New Roman"/>
          <w:sz w:val="24"/>
          <w:szCs w:val="24"/>
        </w:rPr>
        <w:t>Omezení příjmu potravy při bezvědomí, obstrukce GIT</w:t>
      </w:r>
    </w:p>
    <w:p w14:paraId="512E95B1" w14:textId="77777777" w:rsidR="003B726B" w:rsidRDefault="003B726B" w:rsidP="003B726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1BAD30CE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054E2">
        <w:rPr>
          <w:rFonts w:ascii="Times New Roman" w:hAnsi="Times New Roman" w:cs="Times New Roman"/>
          <w:b/>
          <w:sz w:val="24"/>
          <w:szCs w:val="24"/>
        </w:rPr>
        <w:t>Infuzní roztoky jsou připravovány mimo nemocniční zařízení - ve farmaceutických firmách</w:t>
      </w:r>
    </w:p>
    <w:p w14:paraId="5E361139" w14:textId="77777777" w:rsidR="003B726B" w:rsidRPr="00D054E2" w:rsidRDefault="003B726B" w:rsidP="007F5EB1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Infuzní roztoky mohou být ve skleněných lahvích – již méně často</w:t>
      </w:r>
    </w:p>
    <w:p w14:paraId="5B3FA600" w14:textId="10395947" w:rsidR="003B726B" w:rsidRPr="00D054E2" w:rsidRDefault="003B726B" w:rsidP="007F5EB1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Plastových, řádně označených vacích, nebo</w:t>
      </w:r>
      <w:r w:rsidR="008D661F">
        <w:rPr>
          <w:rFonts w:ascii="Times New Roman" w:hAnsi="Times New Roman" w:cs="Times New Roman"/>
          <w:sz w:val="24"/>
          <w:szCs w:val="24"/>
        </w:rPr>
        <w:t xml:space="preserve"> plastových</w:t>
      </w:r>
      <w:r w:rsidRPr="00D054E2">
        <w:rPr>
          <w:rFonts w:ascii="Times New Roman" w:hAnsi="Times New Roman" w:cs="Times New Roman"/>
          <w:sz w:val="24"/>
          <w:szCs w:val="24"/>
        </w:rPr>
        <w:t xml:space="preserve"> lahvích </w:t>
      </w:r>
    </w:p>
    <w:p w14:paraId="33D0363A" w14:textId="77777777" w:rsidR="003B726B" w:rsidRPr="00D054E2" w:rsidRDefault="003B726B" w:rsidP="007F5EB1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Všechny obaly pro infuzní roztoky jsou kalibrované a označené názvem roztoku, složením roztoku a datem expirace, množstvím (100 ml, 500 ml..), výrobcem</w:t>
      </w:r>
    </w:p>
    <w:p w14:paraId="55BD1BF2" w14:textId="77777777" w:rsidR="003B726B" w:rsidRDefault="003B726B" w:rsidP="007F5EB1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Základem infuzních roztoků je destilovaná, sterilní a bezpyrogení voda</w:t>
      </w:r>
    </w:p>
    <w:p w14:paraId="52E5FAB0" w14:textId="77777777" w:rsidR="003B726B" w:rsidRDefault="003B726B" w:rsidP="003B726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2C2CDADF" w14:textId="77777777" w:rsidR="003B726B" w:rsidRDefault="003B726B" w:rsidP="003B72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054E2">
        <w:rPr>
          <w:rFonts w:ascii="Times New Roman" w:hAnsi="Times New Roman" w:cs="Times New Roman"/>
          <w:b/>
          <w:sz w:val="24"/>
          <w:szCs w:val="24"/>
        </w:rPr>
        <w:t>Druhy infuzních roztoků</w:t>
      </w:r>
    </w:p>
    <w:p w14:paraId="3B341288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FD56398" w14:textId="77777777" w:rsidR="003B726B" w:rsidRDefault="003B726B" w:rsidP="007F5EB1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054E2">
        <w:rPr>
          <w:rFonts w:ascii="Times New Roman" w:hAnsi="Times New Roman" w:cs="Times New Roman"/>
          <w:b/>
          <w:sz w:val="24"/>
          <w:szCs w:val="24"/>
        </w:rPr>
        <w:t xml:space="preserve">Krystaloidy  </w:t>
      </w:r>
    </w:p>
    <w:p w14:paraId="3A6476F3" w14:textId="77777777" w:rsidR="003B726B" w:rsidRPr="00D054E2" w:rsidRDefault="003B726B" w:rsidP="003B726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5A9C1B" w14:textId="0322B843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Rychle zásobují organizmus vodou a elektrolyty, obsahují malé molekuly</w:t>
      </w:r>
      <w:r w:rsidR="008D661F">
        <w:rPr>
          <w:rFonts w:ascii="Times New Roman" w:hAnsi="Times New Roman" w:cs="Times New Roman"/>
          <w:sz w:val="24"/>
          <w:szCs w:val="24"/>
        </w:rPr>
        <w:t>.</w:t>
      </w:r>
    </w:p>
    <w:p w14:paraId="57238223" w14:textId="6603900B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 xml:space="preserve">Rychle odcházejí z oběhu, jsou snadno vstřebatelné – FR 1/1 , RR1/1, G 5%, Plazmalyte </w:t>
      </w:r>
      <w:r w:rsidR="008D661F">
        <w:rPr>
          <w:rFonts w:ascii="Times New Roman" w:hAnsi="Times New Roman" w:cs="Times New Roman"/>
          <w:sz w:val="24"/>
          <w:szCs w:val="24"/>
        </w:rPr>
        <w:t>.</w:t>
      </w:r>
      <w:r w:rsidRPr="00D054E2">
        <w:rPr>
          <w:rFonts w:ascii="Times New Roman" w:hAnsi="Times New Roman" w:cs="Times New Roman"/>
          <w:sz w:val="24"/>
          <w:szCs w:val="24"/>
        </w:rPr>
        <w:t>..</w:t>
      </w:r>
    </w:p>
    <w:p w14:paraId="084459C0" w14:textId="77777777" w:rsidR="003B726B" w:rsidRPr="00D054E2" w:rsidRDefault="003B726B" w:rsidP="007F5EB1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054E2">
        <w:rPr>
          <w:rFonts w:ascii="Times New Roman" w:hAnsi="Times New Roman" w:cs="Times New Roman"/>
          <w:b/>
          <w:sz w:val="24"/>
          <w:szCs w:val="24"/>
        </w:rPr>
        <w:t xml:space="preserve">Koloidy </w:t>
      </w:r>
    </w:p>
    <w:p w14:paraId="4133D6D8" w14:textId="31B9EE8F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Vydrží v krevním řečišti dlouhou dobu</w:t>
      </w:r>
      <w:r w:rsidR="008D661F">
        <w:rPr>
          <w:rFonts w:ascii="Times New Roman" w:hAnsi="Times New Roman" w:cs="Times New Roman"/>
          <w:sz w:val="24"/>
          <w:szCs w:val="24"/>
        </w:rPr>
        <w:t>.</w:t>
      </w:r>
    </w:p>
    <w:p w14:paraId="7CC5E9DE" w14:textId="4501B865" w:rsidR="003B726B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 xml:space="preserve">Jsou vysokomolekulární, při hypovolémickém šoku popáleninách.. – Dextran, Haemacel, Hydroxyetylované škroby (HES), bílkoviny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054E2">
        <w:rPr>
          <w:rFonts w:ascii="Times New Roman" w:hAnsi="Times New Roman" w:cs="Times New Roman"/>
          <w:sz w:val="24"/>
          <w:szCs w:val="24"/>
        </w:rPr>
        <w:t xml:space="preserve"> Albumin</w:t>
      </w:r>
      <w:r w:rsidR="008D661F">
        <w:rPr>
          <w:rFonts w:ascii="Times New Roman" w:hAnsi="Times New Roman" w:cs="Times New Roman"/>
          <w:sz w:val="24"/>
          <w:szCs w:val="24"/>
        </w:rPr>
        <w:t>.</w:t>
      </w:r>
    </w:p>
    <w:p w14:paraId="57B7C578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A9DBD7" w14:textId="77777777" w:rsidR="003B726B" w:rsidRPr="00D054E2" w:rsidRDefault="003B726B" w:rsidP="007F5EB1">
      <w:pPr>
        <w:pStyle w:val="Bezmezer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054E2">
        <w:rPr>
          <w:rFonts w:ascii="Times New Roman" w:hAnsi="Times New Roman" w:cs="Times New Roman"/>
          <w:b/>
          <w:sz w:val="24"/>
          <w:szCs w:val="24"/>
        </w:rPr>
        <w:t xml:space="preserve">Osmoterapeutika </w:t>
      </w:r>
    </w:p>
    <w:p w14:paraId="42639A0D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Manitol 10%, 20%  při otocích, výpotku, selhání ledvin, edémů mozku ...</w:t>
      </w:r>
    </w:p>
    <w:p w14:paraId="304D9A80" w14:textId="705C9D0C" w:rsidR="003B726B" w:rsidRDefault="003B726B" w:rsidP="003B726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Vyvolávají vzestup osmotického tlaku – přesun vody do krevního řečiště a přestup do</w:t>
      </w:r>
      <w:r>
        <w:rPr>
          <w:rFonts w:ascii="Times New Roman" w:hAnsi="Times New Roman" w:cs="Times New Roman"/>
          <w:sz w:val="24"/>
          <w:szCs w:val="24"/>
        </w:rPr>
        <w:t xml:space="preserve"> moči</w:t>
      </w:r>
    </w:p>
    <w:p w14:paraId="70FB363C" w14:textId="77777777" w:rsidR="003B726B" w:rsidRDefault="003B726B" w:rsidP="003B726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2599B1F1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D054E2">
        <w:rPr>
          <w:rFonts w:ascii="Times New Roman" w:hAnsi="Times New Roman" w:cs="Times New Roman"/>
          <w:sz w:val="24"/>
          <w:szCs w:val="24"/>
          <w:u w:val="single"/>
        </w:rPr>
        <w:t>Roztoky k úpravě elektrolytové dysbalance</w:t>
      </w:r>
    </w:p>
    <w:p w14:paraId="144C2C7E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538B41" w14:textId="77777777" w:rsidR="003B726B" w:rsidRPr="00D054E2" w:rsidRDefault="003B726B" w:rsidP="007F5EB1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Udržují stálou hladinu acidobazické rovnováhy a elektrolytovou rovnováhu – KCL 7,4%, NaCl 10%, MgSO4 10%, 20%..</w:t>
      </w:r>
    </w:p>
    <w:p w14:paraId="25122045" w14:textId="77777777" w:rsidR="003B726B" w:rsidRPr="00D054E2" w:rsidRDefault="003B726B" w:rsidP="003B726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436CC0DF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D054E2">
        <w:rPr>
          <w:rFonts w:ascii="Times New Roman" w:hAnsi="Times New Roman" w:cs="Times New Roman"/>
          <w:sz w:val="24"/>
          <w:szCs w:val="24"/>
          <w:u w:val="single"/>
        </w:rPr>
        <w:t xml:space="preserve">Roztoky k parenterální výživě podávané mimo GIT </w:t>
      </w:r>
    </w:p>
    <w:p w14:paraId="3E3001A1" w14:textId="77777777" w:rsidR="003B726B" w:rsidRPr="00D054E2" w:rsidRDefault="003B726B" w:rsidP="003B72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BB566D" w14:textId="77777777" w:rsidR="003B726B" w:rsidRPr="00D054E2" w:rsidRDefault="003B726B" w:rsidP="007F5EB1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 xml:space="preserve">Náhrada cukrů, tuků, aminokyselin, stopových prvků a vitamínů </w:t>
      </w:r>
    </w:p>
    <w:p w14:paraId="77EF84BC" w14:textId="77777777" w:rsidR="003B726B" w:rsidRPr="00D054E2" w:rsidRDefault="003B726B" w:rsidP="007F5EB1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54E2">
        <w:rPr>
          <w:rFonts w:ascii="Times New Roman" w:hAnsi="Times New Roman" w:cs="Times New Roman"/>
          <w:sz w:val="24"/>
          <w:szCs w:val="24"/>
        </w:rPr>
        <w:t>Vaky All-in- One – vše v jednom - všechny složky výživy v jednom vaku, připraveny na 24 hodin přímo pro nemocného</w:t>
      </w:r>
    </w:p>
    <w:p w14:paraId="3AC42B24" w14:textId="77777777" w:rsidR="003B726B" w:rsidRPr="008D661F" w:rsidRDefault="003B726B" w:rsidP="007F5EB1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661F">
        <w:rPr>
          <w:rFonts w:ascii="Times New Roman" w:hAnsi="Times New Roman" w:cs="Times New Roman"/>
          <w:sz w:val="24"/>
          <w:szCs w:val="24"/>
        </w:rPr>
        <w:t>Náhrady tuků – zdroj esenciálních mastných kyselin – Intralipid</w:t>
      </w:r>
    </w:p>
    <w:p w14:paraId="33CB9ED9" w14:textId="77777777" w:rsidR="003B726B" w:rsidRPr="008D661F" w:rsidRDefault="003B726B" w:rsidP="003B726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576A3314" w14:textId="77777777" w:rsidR="004D5CA8" w:rsidRPr="004D5CA8" w:rsidRDefault="004D5CA8" w:rsidP="004D5C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D5CA8">
        <w:rPr>
          <w:rFonts w:ascii="Times New Roman" w:hAnsi="Times New Roman" w:cs="Times New Roman"/>
          <w:b/>
          <w:sz w:val="24"/>
          <w:szCs w:val="24"/>
        </w:rPr>
        <w:t>Základní pomůcky jsou téměř shodné s aplikací i.v injekcí a také se zaváděním PŽK</w:t>
      </w:r>
    </w:p>
    <w:p w14:paraId="20367456" w14:textId="77777777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Podnos, pojízdný vozík</w:t>
      </w:r>
    </w:p>
    <w:p w14:paraId="6419DA90" w14:textId="35DE49E2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Dezinfekce</w:t>
      </w:r>
      <w:r w:rsidR="008D661F">
        <w:rPr>
          <w:rFonts w:ascii="Times New Roman" w:hAnsi="Times New Roman" w:cs="Times New Roman"/>
          <w:sz w:val="24"/>
          <w:szCs w:val="24"/>
        </w:rPr>
        <w:t xml:space="preserve"> na ruce</w:t>
      </w:r>
      <w:r w:rsidRPr="004D5CA8">
        <w:rPr>
          <w:rFonts w:ascii="Times New Roman" w:hAnsi="Times New Roman" w:cs="Times New Roman"/>
          <w:sz w:val="24"/>
          <w:szCs w:val="24"/>
        </w:rPr>
        <w:t>, nesterilní rukavice</w:t>
      </w:r>
    </w:p>
    <w:p w14:paraId="466C407B" w14:textId="77777777" w:rsidR="008D661F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Podložení končetiny, pomůcky k imobilizaci končetiny – dle potřeby</w:t>
      </w:r>
      <w:r w:rsidR="008D661F">
        <w:rPr>
          <w:rFonts w:ascii="Times New Roman" w:hAnsi="Times New Roman" w:cs="Times New Roman"/>
          <w:sz w:val="24"/>
          <w:szCs w:val="24"/>
        </w:rPr>
        <w:t xml:space="preserve">, věku, stavu </w:t>
      </w:r>
    </w:p>
    <w:p w14:paraId="4EE29F8D" w14:textId="0E80C478" w:rsidR="0016251F" w:rsidRPr="004D5CA8" w:rsidRDefault="008D661F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nemocného </w:t>
      </w:r>
    </w:p>
    <w:p w14:paraId="670FCADF" w14:textId="350B038C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Dezinfekci na kůži, buničité čtverečky, škrtidlo, obinadlo</w:t>
      </w:r>
      <w:r w:rsidR="008D661F">
        <w:rPr>
          <w:rFonts w:ascii="Times New Roman" w:hAnsi="Times New Roman" w:cs="Times New Roman"/>
          <w:sz w:val="24"/>
          <w:szCs w:val="24"/>
        </w:rPr>
        <w:t xml:space="preserve"> nebo</w:t>
      </w:r>
      <w:r w:rsidRPr="004D5CA8">
        <w:rPr>
          <w:rFonts w:ascii="Times New Roman" w:hAnsi="Times New Roman" w:cs="Times New Roman"/>
          <w:sz w:val="24"/>
          <w:szCs w:val="24"/>
        </w:rPr>
        <w:t xml:space="preserve"> pruban, emitní miska</w:t>
      </w:r>
    </w:p>
    <w:p w14:paraId="63E6C75E" w14:textId="77777777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Transparentní lepení</w:t>
      </w:r>
    </w:p>
    <w:p w14:paraId="277B52BE" w14:textId="0293D214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Kanyla, k sc. přístupu křídlo</w:t>
      </w:r>
    </w:p>
    <w:p w14:paraId="2C9AB77F" w14:textId="77777777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Infuzní set, spojovací hadička – k prodloužení infuze</w:t>
      </w:r>
    </w:p>
    <w:p w14:paraId="467E5FAC" w14:textId="77777777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Stříkačka s proplachem – aqua pro in., FR1/1</w:t>
      </w:r>
    </w:p>
    <w:p w14:paraId="79292FD5" w14:textId="77777777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 xml:space="preserve">Infuzní vak s popisem – pokoj, lůžko, jméno, příjmení, rok narození druh a množství infuzního roztoku, cesta aplikace, název a množství léčiva do inf. podaných, datum, čas podání </w:t>
      </w:r>
    </w:p>
    <w:p w14:paraId="3C1D033A" w14:textId="77777777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>Infuzní stojan – pokud není součástí lůžka</w:t>
      </w:r>
    </w:p>
    <w:p w14:paraId="4011A3DC" w14:textId="77777777" w:rsidR="0016251F" w:rsidRPr="004D5CA8" w:rsidRDefault="007F5EB1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5CA8">
        <w:rPr>
          <w:rFonts w:ascii="Times New Roman" w:hAnsi="Times New Roman" w:cs="Times New Roman"/>
          <w:sz w:val="24"/>
          <w:szCs w:val="24"/>
        </w:rPr>
        <w:t xml:space="preserve">Kontejner na ostrý a infekční odpad  </w:t>
      </w:r>
    </w:p>
    <w:p w14:paraId="79A7ECBB" w14:textId="77777777" w:rsidR="004D5CA8" w:rsidRPr="004D5CA8" w:rsidRDefault="004D5CA8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70D65E" w14:textId="77777777" w:rsidR="003B726B" w:rsidRPr="004D5CA8" w:rsidRDefault="003B726B" w:rsidP="004D5C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23D5E2" w14:textId="77777777" w:rsidR="003B726B" w:rsidRDefault="003B726B" w:rsidP="003B726B">
      <w:pPr>
        <w:pStyle w:val="Nadpis1"/>
      </w:pPr>
      <w:bookmarkStart w:id="3" w:name="_Toc2426295"/>
      <w:bookmarkStart w:id="4" w:name="_Toc59124715"/>
      <w:bookmarkStart w:id="5" w:name="_Toc64587058"/>
      <w:r>
        <w:t>Pedagogicko didaktické poznámky</w:t>
      </w:r>
      <w:bookmarkEnd w:id="3"/>
      <w:bookmarkEnd w:id="4"/>
      <w:bookmarkEnd w:id="5"/>
    </w:p>
    <w:p w14:paraId="2C0832C5" w14:textId="77777777" w:rsidR="00D84756" w:rsidRPr="004B005B" w:rsidRDefault="00D84756" w:rsidP="00D84756">
      <w:pPr>
        <w:pStyle w:val="parNadpisPrvkuCerveny"/>
      </w:pPr>
      <w:r w:rsidRPr="004B005B">
        <w:t>Průvodce studiem</w:t>
      </w:r>
    </w:p>
    <w:p w14:paraId="51907014" w14:textId="77777777" w:rsidR="00D84756" w:rsidRDefault="00D84756" w:rsidP="00D84756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962687D" wp14:editId="1F4F4619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0D1E0" w14:textId="24552378" w:rsidR="003B726B" w:rsidRPr="00D84756" w:rsidRDefault="003B726B" w:rsidP="00D84756">
      <w:pPr>
        <w:pStyle w:val="Tlotextu"/>
      </w:pPr>
      <w:r w:rsidRPr="00D84756">
        <w:t>Obor: Studijní text spadá tematicky pro studijní programy, které jsou akreditovány v rámci klasifikace oborů vzdělání CZ-ISCED-F 2013: 091 Zdravotní péče, 0913 Ošetřovatelství a porodní asistentství, 0922 Péče o děti a mládež, 0921 Péče o seniory a zdravotně postižené dospělé osoby</w:t>
      </w:r>
    </w:p>
    <w:p w14:paraId="71979CCD" w14:textId="77777777" w:rsidR="003B726B" w:rsidRPr="00D84756" w:rsidRDefault="003B726B" w:rsidP="00D84756">
      <w:pPr>
        <w:pStyle w:val="Tlotextu"/>
      </w:pPr>
      <w:r w:rsidRPr="00D84756">
        <w:t>Studenti se v rámci obecné výuky připravují na práci v týmu, která je zaměřena na prevenci, diagnostiku, léčbu, ošetřovatelskou, rehabilitační a dispenzární činnost v rozsahu své kvalifikace a odborné způsobilosti, poskytovanou dětem, dorostu, dospělým a seniorům.</w:t>
      </w:r>
    </w:p>
    <w:p w14:paraId="6B74304F" w14:textId="77777777" w:rsidR="00F00CAC" w:rsidRDefault="003B726B" w:rsidP="00D84756">
      <w:pPr>
        <w:pStyle w:val="Tlotextu"/>
      </w:pPr>
      <w:r w:rsidRPr="00D84756">
        <w:t>Profil studenta, mimo jiné, jednoznačně dotváří učivo předmětů teorie Ošetřovatelství a Ošetřování nemocných. Prakticko- teoretické předměty směřují studenty k poskytování aktivní a individuální ošetřovatelské péči a zaměřují se na holistické pojetí člověka.  Neopomenutelné ve výuce studentů musí být vyučovací metody a předměty, které vedou k aktivní bezpečnosti a ochraně zdraví při práci a osvojování si</w:t>
      </w:r>
      <w:r w:rsidR="00F00CAC">
        <w:t xml:space="preserve"> bezpečných pracovních postupů. </w:t>
      </w:r>
    </w:p>
    <w:p w14:paraId="24214B9E" w14:textId="4529B0E6" w:rsidR="00F00CAC" w:rsidRDefault="003B726B" w:rsidP="00D84756">
      <w:pPr>
        <w:pStyle w:val="Tlotextu"/>
      </w:pPr>
      <w:r w:rsidRPr="00D84756">
        <w:t>Učivo musí být soustavně a pravidelně doplňováno o praktická cvičení v odborných učebnách, jenž jsou žádoucí pro vstup do nemocničního nebo ambulantního prostředí. Je nutné vést studenty k iniciativnímu řešení modelových situací, získávání informací o nemocných tak, aby byli připraveni na aktivní účast na praktické výuce a k</w:t>
      </w:r>
      <w:r w:rsidR="00F00CAC">
        <w:t xml:space="preserve">linické praxi na pracovištích. </w:t>
      </w:r>
    </w:p>
    <w:p w14:paraId="7F9A995F" w14:textId="07A01A65" w:rsidR="003B726B" w:rsidRPr="00D84756" w:rsidRDefault="003B726B" w:rsidP="00D84756">
      <w:pPr>
        <w:pStyle w:val="Tlotextu"/>
      </w:pPr>
      <w:r w:rsidRPr="00D84756">
        <w:t>Studenti se budou ve výuce připravovat na schopnost efektivního sběru dat o nemocném, na základě kterých lze vhodně poskytovat ošetřovatelskou péči s důrazem na respektování osobnostních a kulturních specifik. Pozornost v teoreticko - praktické výuce musí být věnována ošetřovatelské péči založené na nejnovějších vědeckých poznatcích.</w:t>
      </w:r>
      <w:r w:rsidRPr="00D84756">
        <w:cr/>
        <w:t>Důležité pro studium a studenty je efektivní aplikace didaktických informačně receptivních metod jako jsou - vysvětlení, ilustrace, instruktáž, ale také problémových metod, kdy vyučující předloží studentům „problém“. Každou praktickou činnost je podstatné vždy studentům předvést, než budou činnost provádět samostatně. Důraz je kladen na aktivní účast studentů s akcentací na rozvoj kritického myšlení. Od studentů je vyžadováno aktivní samostudium odborné literatury, časopisů a knih.</w:t>
      </w:r>
    </w:p>
    <w:p w14:paraId="7CD1254D" w14:textId="0B218352" w:rsidR="003B726B" w:rsidRPr="003B726B" w:rsidRDefault="003B726B" w:rsidP="003B726B">
      <w:pPr>
        <w:pStyle w:val="Tlotextu"/>
      </w:pPr>
      <w:r w:rsidRPr="00D84756">
        <w:t xml:space="preserve">Na výuku Ošetřovatelství a přiléhavých oborů navazuje klinická praxe, která probíhá v podmínkách zdravotnických zařízení. Primárním cílem této praxe pro studenty je další získávání a aplikace nabytých praktických i teoretických znalostí a dovedností a jejich uplatnění v přirozených podmínkách nemocničních a ambulantních zařízení. V klinických podmínkách dochází u studentů k postupnému zautomatizování výkonů, což představuje nejvyšší formu psychomotorických dovedností. </w:t>
      </w:r>
    </w:p>
    <w:p w14:paraId="6E16E8E6" w14:textId="738953E5" w:rsidR="00984E4F" w:rsidRDefault="00984E4F" w:rsidP="00984E4F">
      <w:pPr>
        <w:pStyle w:val="parUkonceniPrvku"/>
      </w:pPr>
    </w:p>
    <w:p w14:paraId="3B28D39B" w14:textId="77777777" w:rsidR="00D84756" w:rsidRPr="004B005B" w:rsidRDefault="00D84756" w:rsidP="00D84756">
      <w:pPr>
        <w:pStyle w:val="parNadpisPrvkuOranzovy"/>
      </w:pPr>
      <w:r w:rsidRPr="004B005B">
        <w:t>Úkol k zamyšlení</w:t>
      </w:r>
    </w:p>
    <w:p w14:paraId="284ABED2" w14:textId="77777777" w:rsidR="00D84756" w:rsidRDefault="00D84756" w:rsidP="00D84756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C5ED48" wp14:editId="632C9BCD">
            <wp:extent cx="381635" cy="3816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4C23" w14:textId="576BC8AF" w:rsidR="00D84756" w:rsidRDefault="00701521" w:rsidP="00D84756">
      <w:pPr>
        <w:pStyle w:val="Tlotextu"/>
      </w:pPr>
      <w:r w:rsidRPr="00701521">
        <w:t>Jakou cestou lze aplikovat infuzi při nemožnosti zavedení PŽK?</w:t>
      </w:r>
      <w:bookmarkStart w:id="6" w:name="_GoBack"/>
      <w:bookmarkEnd w:id="6"/>
    </w:p>
    <w:p w14:paraId="1F80D05B" w14:textId="77777777" w:rsidR="00D84756" w:rsidRDefault="00D84756" w:rsidP="00D84756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DCDF4" w14:textId="77777777" w:rsidR="000A59F5" w:rsidRDefault="000A59F5" w:rsidP="00D84756">
      <w:pPr>
        <w:pStyle w:val="Tlotextu"/>
        <w:numPr>
          <w:ilvl w:val="0"/>
          <w:numId w:val="11"/>
        </w:numPr>
        <w:ind w:left="0" w:firstLine="284"/>
      </w:pPr>
      <w:r>
        <w:t>Vysvětlete význam infuzní terapie – účely infuze</w:t>
      </w:r>
    </w:p>
    <w:p w14:paraId="3FB2BBC5" w14:textId="77777777" w:rsidR="000A59F5" w:rsidRDefault="000A59F5" w:rsidP="00D84756">
      <w:pPr>
        <w:pStyle w:val="Tlotextu"/>
        <w:numPr>
          <w:ilvl w:val="0"/>
          <w:numId w:val="11"/>
        </w:numPr>
        <w:ind w:left="0" w:firstLine="284"/>
      </w:pPr>
      <w:r>
        <w:t xml:space="preserve">Jaké infuzní roztoky rozeznáváme dle velikosti molekul a délce udržení v oběhu </w:t>
      </w:r>
    </w:p>
    <w:p w14:paraId="46DA3BE6" w14:textId="77777777" w:rsidR="000A59F5" w:rsidRDefault="000A59F5" w:rsidP="00D84756">
      <w:pPr>
        <w:pStyle w:val="Tlotextu"/>
        <w:numPr>
          <w:ilvl w:val="0"/>
          <w:numId w:val="11"/>
        </w:numPr>
        <w:ind w:left="0" w:firstLine="284"/>
      </w:pPr>
      <w:r>
        <w:t xml:space="preserve">Popište hlavní a přídatné komponenty k infuzi </w:t>
      </w:r>
    </w:p>
    <w:p w14:paraId="11C3D796" w14:textId="77777777" w:rsidR="00CF098A" w:rsidRDefault="00CF098A" w:rsidP="00CF098A">
      <w:pPr>
        <w:pStyle w:val="parUkonceniPrvku"/>
      </w:pPr>
    </w:p>
    <w:p w14:paraId="21324B71" w14:textId="1F105D66" w:rsidR="00CF098A" w:rsidRPr="004B005B" w:rsidRDefault="000A59F5" w:rsidP="00CF098A">
      <w:pPr>
        <w:pStyle w:val="parNadpisPrvkuModry"/>
      </w:pPr>
      <w:r>
        <w:t>Samostatný úkol</w:t>
      </w:r>
    </w:p>
    <w:p w14:paraId="2184FF80" w14:textId="20AA1408" w:rsidR="00CF098A" w:rsidRDefault="000A59F5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7CF4AFA" wp14:editId="267C2B05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98A"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C0819" w14:textId="11DE9832" w:rsidR="00D84756" w:rsidRPr="00D84756" w:rsidRDefault="000A59F5" w:rsidP="00D84756">
      <w:pPr>
        <w:pStyle w:val="Tlotextu"/>
        <w:rPr>
          <w:rFonts w:cs="Times New Roman"/>
          <w:szCs w:val="24"/>
        </w:rPr>
      </w:pPr>
      <w:r w:rsidRPr="00FB1413">
        <w:rPr>
          <w:rFonts w:cs="Times New Roman"/>
          <w:szCs w:val="24"/>
        </w:rPr>
        <w:t>Nachystejte pomůcky k</w:t>
      </w:r>
      <w:r>
        <w:rPr>
          <w:rFonts w:cs="Times New Roman"/>
          <w:szCs w:val="24"/>
        </w:rPr>
        <w:t> infuzi cestou PŽK a aplikujte na modelu.</w:t>
      </w:r>
    </w:p>
    <w:p w14:paraId="56AF7DEC" w14:textId="77777777" w:rsidR="00D84756" w:rsidRDefault="00D84756" w:rsidP="00D84756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1EB3B3E3" w:rsidR="00CC3B3A" w:rsidRDefault="00CC3B3A" w:rsidP="00CC3B3A">
          <w:pPr>
            <w:pStyle w:val="Tlotextu"/>
          </w:pPr>
        </w:p>
        <w:p w14:paraId="4D05AFB2" w14:textId="77777777" w:rsidR="00CC3B3A" w:rsidRDefault="00701521" w:rsidP="00CC3B3A">
          <w:pPr>
            <w:pStyle w:val="Tlotextu"/>
            <w:sectPr w:rsidR="00CC3B3A" w:rsidSect="006A4C4F">
              <w:headerReference w:type="even" r:id="rId31"/>
              <w:headerReference w:type="default" r:id="rId32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7" w:name="_Toc64587059" w:displacedByCustomXml="next"/>
    <w:sdt>
      <w:sdtPr>
        <w:id w:val="-2071345065"/>
        <w:lock w:val="contentLocked"/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7" w:displacedByCustomXml="prev"/>
    <w:p w14:paraId="5A9FD705" w14:textId="7F7D38CD" w:rsidR="007D7E71" w:rsidRDefault="003B726B" w:rsidP="00D84756">
      <w:pPr>
        <w:pStyle w:val="Tlotextu"/>
        <w:ind w:firstLine="0"/>
      </w:pPr>
      <w:r w:rsidRPr="0030366A">
        <w:t>CICHÁ, M., DORKOVÁ, Z. Didaktika praktického vyučování zdravotnických předmětů 2. Olomouc: Pedagogická fakulta UP, 2006. 57s. ISBN 80-244-1418-X.</w:t>
      </w:r>
    </w:p>
    <w:p w14:paraId="6819355A" w14:textId="58410B45" w:rsidR="003B726B" w:rsidRDefault="003B726B" w:rsidP="00D84756">
      <w:pPr>
        <w:pStyle w:val="Tlotextu"/>
        <w:ind w:firstLine="0"/>
      </w:pPr>
      <w:r w:rsidRPr="006567D6">
        <w:t xml:space="preserve">HEČKOVÁ, G. </w:t>
      </w:r>
      <w:r w:rsidR="008D661F" w:rsidRPr="006567D6">
        <w:t>Didaktické prostředky ve výuce ošetřovatelství na</w:t>
      </w:r>
      <w:r w:rsidR="008D661F">
        <w:t xml:space="preserve"> </w:t>
      </w:r>
      <w:r w:rsidRPr="006567D6">
        <w:t>SZŠ</w:t>
      </w:r>
      <w:r>
        <w:t>.</w:t>
      </w:r>
      <w:r w:rsidRPr="006567D6">
        <w:t xml:space="preserve"> [online]. Olomouc, 2010 [cit. 2020-12-17]. Dostupné z: &lt;https://theses.cz/id/c5uf5r/&gt;. Diplomová práce. Univerzita Palackého v Olomouci, Pedagogická fakulta. Vedoucí práce Lubomír Krejčovský.</w:t>
      </w:r>
    </w:p>
    <w:p w14:paraId="58DFA4BC" w14:textId="7945A2A3" w:rsidR="007D7E71" w:rsidRDefault="007D7E71" w:rsidP="00D84756">
      <w:pPr>
        <w:pStyle w:val="Tlotextu"/>
        <w:ind w:firstLine="0"/>
      </w:pPr>
      <w:r w:rsidRPr="007D7E71">
        <w:t>HLUBKOVÁ, Z. Vybrané kapitoly z ošetřovatelských postupů I., 2014. 1. vyd. Opava: Slezský univerzita v Opavě, 153 s. ISBN 987-80-7510-102-0.</w:t>
      </w:r>
    </w:p>
    <w:p w14:paraId="2A20ACBE" w14:textId="77777777" w:rsidR="003B726B" w:rsidRPr="0030366A" w:rsidRDefault="003B726B" w:rsidP="00D84756">
      <w:pPr>
        <w:pStyle w:val="Tlotextu"/>
        <w:ind w:firstLine="0"/>
      </w:pPr>
      <w:r w:rsidRPr="0030366A">
        <w:t xml:space="preserve">JIRKOVSKÝ, D. a kol. </w:t>
      </w:r>
      <w:r w:rsidRPr="0030366A">
        <w:rPr>
          <w:iCs/>
        </w:rPr>
        <w:t>Ošetřovatelské postupy a intervence</w:t>
      </w:r>
      <w:r w:rsidRPr="0030366A">
        <w:t>. 1. vyd. Praha: Fakultní [3]nemocnice v Motole, 2012. 411 s. ISBN 978-80-87347-13-3.</w:t>
      </w:r>
    </w:p>
    <w:p w14:paraId="428FAFD8" w14:textId="77777777" w:rsidR="003B726B" w:rsidRPr="0030366A" w:rsidRDefault="003B726B" w:rsidP="00D84756">
      <w:pPr>
        <w:pStyle w:val="Tlotextu"/>
        <w:ind w:firstLine="0"/>
      </w:pPr>
      <w:r w:rsidRPr="0030366A">
        <w:t>KALHOUS, Z., OBST, O. a kolektiv. Školní didaktika. 1. vyd. Praha: Portál, 2002.</w:t>
      </w:r>
    </w:p>
    <w:p w14:paraId="1D59BB80" w14:textId="77777777" w:rsidR="003B726B" w:rsidRPr="0030366A" w:rsidRDefault="003B726B" w:rsidP="00D84756">
      <w:pPr>
        <w:pStyle w:val="Tlotextu"/>
        <w:ind w:firstLine="0"/>
        <w:rPr>
          <w:rFonts w:cs="Times New Roman"/>
          <w:szCs w:val="24"/>
        </w:rPr>
      </w:pPr>
      <w:r w:rsidRPr="0030366A">
        <w:rPr>
          <w:rFonts w:cs="Times New Roman"/>
          <w:szCs w:val="24"/>
        </w:rPr>
        <w:t>448 s. ISBN 80-7178-235-X</w:t>
      </w:r>
    </w:p>
    <w:p w14:paraId="167AE2A9" w14:textId="428A8C9C" w:rsidR="003B726B" w:rsidRPr="0030366A" w:rsidRDefault="003B726B" w:rsidP="00D84756">
      <w:pPr>
        <w:pStyle w:val="Tlotextu"/>
        <w:ind w:firstLine="0"/>
        <w:rPr>
          <w:rFonts w:cs="Times New Roman"/>
          <w:szCs w:val="24"/>
        </w:rPr>
      </w:pPr>
      <w:r w:rsidRPr="0030366A">
        <w:rPr>
          <w:rFonts w:cs="Times New Roman"/>
          <w:color w:val="000000"/>
          <w:szCs w:val="24"/>
          <w:shd w:val="clear" w:color="auto" w:fill="FFFFFF"/>
        </w:rPr>
        <w:t>NCCLS Document H3-A3 Vol.</w:t>
      </w:r>
      <w:r w:rsidR="001F7A2A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30366A">
        <w:rPr>
          <w:rFonts w:cs="Times New Roman"/>
          <w:color w:val="000000"/>
          <w:szCs w:val="24"/>
          <w:shd w:val="clear" w:color="auto" w:fill="FFFFFF"/>
        </w:rPr>
        <w:t>11, No. 10, July 1991 - Procedures for the Collection of Diagnostic Blood Specimens by Venipuncture - Third Edition.</w:t>
      </w:r>
    </w:p>
    <w:p w14:paraId="035639FA" w14:textId="2B0D9143" w:rsidR="003B726B" w:rsidRPr="001C7F8E" w:rsidRDefault="003B726B" w:rsidP="00D84756">
      <w:pPr>
        <w:pStyle w:val="Tlotextu"/>
        <w:ind w:firstLine="0"/>
        <w:rPr>
          <w:rFonts w:cs="Times New Roman"/>
          <w:szCs w:val="24"/>
        </w:rPr>
      </w:pPr>
      <w:r w:rsidRPr="001C7F8E">
        <w:rPr>
          <w:rFonts w:cs="Times New Roman"/>
          <w:shd w:val="clear" w:color="auto" w:fill="FFFFFF"/>
        </w:rPr>
        <w:t>VYTEJČKOVÁ, R</w:t>
      </w:r>
      <w:r w:rsidR="001F7A2A">
        <w:rPr>
          <w:rFonts w:cs="Times New Roman"/>
          <w:shd w:val="clear" w:color="auto" w:fill="FFFFFF"/>
        </w:rPr>
        <w:t>.,</w:t>
      </w:r>
      <w:r w:rsidRPr="001C7F8E">
        <w:rPr>
          <w:rFonts w:cs="Times New Roman"/>
          <w:shd w:val="clear" w:color="auto" w:fill="FFFFFF"/>
        </w:rPr>
        <w:t xml:space="preserve"> SEDLÁŘOVÁ</w:t>
      </w:r>
      <w:r w:rsidR="001F7A2A">
        <w:rPr>
          <w:rFonts w:cs="Times New Roman"/>
          <w:shd w:val="clear" w:color="auto" w:fill="FFFFFF"/>
        </w:rPr>
        <w:t>, P.,</w:t>
      </w:r>
      <w:r w:rsidRPr="001C7F8E">
        <w:rPr>
          <w:rFonts w:cs="Times New Roman"/>
          <w:shd w:val="clear" w:color="auto" w:fill="FFFFFF"/>
        </w:rPr>
        <w:t xml:space="preserve"> WIRTHOVÁ,</w:t>
      </w:r>
      <w:r w:rsidR="001F7A2A">
        <w:rPr>
          <w:rFonts w:cs="Times New Roman"/>
          <w:shd w:val="clear" w:color="auto" w:fill="FFFFFF"/>
        </w:rPr>
        <w:t xml:space="preserve"> V.,</w:t>
      </w:r>
      <w:r w:rsidRPr="001C7F8E">
        <w:rPr>
          <w:rFonts w:cs="Times New Roman"/>
          <w:shd w:val="clear" w:color="auto" w:fill="FFFFFF"/>
        </w:rPr>
        <w:t xml:space="preserve"> OTRADOVCOVÁ</w:t>
      </w:r>
      <w:r w:rsidR="001F7A2A">
        <w:rPr>
          <w:rFonts w:cs="Times New Roman"/>
          <w:shd w:val="clear" w:color="auto" w:fill="FFFFFF"/>
        </w:rPr>
        <w:t xml:space="preserve">, I. </w:t>
      </w:r>
      <w:r w:rsidRPr="001C7F8E">
        <w:rPr>
          <w:rFonts w:cs="Times New Roman"/>
          <w:iCs/>
          <w:shd w:val="clear" w:color="auto" w:fill="FFFFFF"/>
        </w:rPr>
        <w:t>Ošetřovatelské postupy v péči o nemocné III: speciální část</w:t>
      </w:r>
      <w:r w:rsidRPr="001C7F8E">
        <w:rPr>
          <w:rFonts w:cs="Times New Roman"/>
          <w:shd w:val="clear" w:color="auto" w:fill="FFFFFF"/>
        </w:rPr>
        <w:t>. Praha: Grada Publishing, 2015. Sestra (Grada). ISBN 978-80-247-3421-7.</w:t>
      </w:r>
    </w:p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3"/>
          <w:headerReference w:type="default" r:id="rId34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8" w:name="_Toc64587060"/>
      <w:r w:rsidRPr="004E2697">
        <w:t>Přehled dostupných ikon</w:t>
      </w:r>
      <w:bookmarkEnd w:id="8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88"/>
        <w:gridCol w:w="3552"/>
        <w:gridCol w:w="890"/>
        <w:gridCol w:w="3550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9" w:name="frmCas" w:colFirst="0" w:colLast="0"/>
            <w:bookmarkStart w:id="10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1" w:name="frmKlicovaSlova" w:colFirst="0" w:colLast="0"/>
            <w:bookmarkStart w:id="12" w:name="frmOdpocinek" w:colFirst="2" w:colLast="2"/>
            <w:bookmarkEnd w:id="9"/>
            <w:bookmarkEnd w:id="10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3" w:name="frmPruvodceStudiem" w:colFirst="0" w:colLast="0"/>
            <w:bookmarkStart w:id="14" w:name="frmPruvodceTextem" w:colFirst="2" w:colLast="2"/>
            <w:bookmarkEnd w:id="11"/>
            <w:bookmarkEnd w:id="12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5" w:name="frmRychlyNahled" w:colFirst="0" w:colLast="0"/>
            <w:bookmarkStart w:id="16" w:name="frmShrnuti" w:colFirst="2" w:colLast="2"/>
            <w:bookmarkEnd w:id="13"/>
            <w:bookmarkEnd w:id="14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17" w:name="frmTutorialy" w:colFirst="0" w:colLast="0"/>
            <w:bookmarkStart w:id="18" w:name="frmDefinice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19" w:name="frmKZapamatovani" w:colFirst="0" w:colLast="0"/>
            <w:bookmarkStart w:id="20" w:name="frmPripadovaStudie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1" w:name="frmResenaUloha" w:colFirst="0" w:colLast="0"/>
            <w:bookmarkStart w:id="22" w:name="frmVeta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3" w:name="frmKontrolniOtazka" w:colFirst="0" w:colLast="0"/>
            <w:bookmarkStart w:id="24" w:name="frmKorespondencniUkol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5" w:name="frmOdpovedi" w:colFirst="0" w:colLast="0"/>
            <w:bookmarkStart w:id="26" w:name="frmOtazky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27" w:name="frmSamostatnyUkol" w:colFirst="0" w:colLast="0"/>
            <w:bookmarkStart w:id="28" w:name="frmLiteratura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29" w:name="frmProZajemce" w:colFirst="0" w:colLast="0"/>
            <w:bookmarkStart w:id="30" w:name="frmUkolKZamysleni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29"/>
      <w:bookmarkEnd w:id="30"/>
    </w:tbl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34D184D9" w:rsidR="007C7BE5" w:rsidRPr="00627170" w:rsidRDefault="00701521" w:rsidP="007C7BE5">
      <w:pPr>
        <w:pStyle w:val="Tlotextu"/>
        <w:rPr>
          <w:b/>
        </w:rPr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rPr>
            <w:b/>
          </w:r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D84756">
            <w:rPr>
              <w:b/>
            </w:rPr>
            <w:t xml:space="preserve">Základní ošetřovatelské postupy - </w:t>
          </w:r>
          <w:r w:rsidR="00627170" w:rsidRPr="00627170">
            <w:rPr>
              <w:b/>
            </w:rPr>
            <w:t>Aplikace infuze cestou PŽK</w:t>
          </w:r>
        </w:sdtContent>
      </w:sdt>
    </w:p>
    <w:p w14:paraId="09474BAE" w14:textId="27E58E57" w:rsidR="007C7BE5" w:rsidRDefault="00701521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984E4F">
            <w:rPr>
              <w:b/>
            </w:rPr>
            <w:t xml:space="preserve">Mgr. </w:t>
          </w:r>
          <w:r w:rsidR="00627170">
            <w:rPr>
              <w:b/>
            </w:rPr>
            <w:t>Petra Šimánková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688DC6AC" w:rsidR="007C7BE5" w:rsidRDefault="00D84756" w:rsidP="007C7BE5">
          <w:pPr>
            <w:pStyle w:val="Tlotextu"/>
            <w:ind w:left="1416" w:firstLine="708"/>
          </w:pPr>
          <w:r>
            <w:t>Fakulta veřejných politik v Opavě</w:t>
          </w:r>
        </w:p>
        <w:p w14:paraId="67D90EC5" w14:textId="5A5050AE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226421">
            <w:t>pedagogickým zaměstnancům SU</w:t>
          </w:r>
        </w:p>
      </w:sdtContent>
    </w:sdt>
    <w:p w14:paraId="0D18933B" w14:textId="5A909A08" w:rsidR="007C7BE5" w:rsidRDefault="00701521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984E4F">
            <w:rPr>
              <w:noProof/>
            </w:rPr>
            <w:t>1</w:t>
          </w:r>
          <w:r w:rsidR="00D84756">
            <w:rPr>
              <w:noProof/>
            </w:rPr>
            <w:t>1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B465" w14:textId="77777777" w:rsidR="00BC5ABF" w:rsidRDefault="00BC5ABF" w:rsidP="00B60DC8">
      <w:pPr>
        <w:spacing w:after="0" w:line="240" w:lineRule="auto"/>
      </w:pPr>
      <w:r>
        <w:separator/>
      </w:r>
    </w:p>
  </w:endnote>
  <w:endnote w:type="continuationSeparator" w:id="0">
    <w:p w14:paraId="1DD85443" w14:textId="77777777" w:rsidR="00BC5ABF" w:rsidRDefault="00BC5ABF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2A24C130" w:rsidR="00512B9F" w:rsidRDefault="00512B9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512B9F" w:rsidRDefault="00512B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512B9F" w:rsidRDefault="00512B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512B9F" w:rsidRDefault="00512B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40C0632B" w:rsidR="00512B9F" w:rsidRDefault="00512B9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21"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512B9F" w:rsidRDefault="00512B9F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2C5D9D03" w:rsidR="00512B9F" w:rsidRDefault="00512B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21">
          <w:rPr>
            <w:noProof/>
          </w:rPr>
          <w:t>9</w:t>
        </w:r>
        <w:r>
          <w:fldChar w:fldCharType="end"/>
        </w:r>
      </w:p>
    </w:sdtContent>
  </w:sdt>
  <w:p w14:paraId="3EB9FB73" w14:textId="77777777" w:rsidR="00512B9F" w:rsidRDefault="00512B9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512B9F" w:rsidRDefault="00512B9F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512B9F" w:rsidRDefault="00512B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D37FD" w14:textId="77777777" w:rsidR="00BC5ABF" w:rsidRDefault="00BC5ABF" w:rsidP="00B60DC8">
      <w:pPr>
        <w:spacing w:after="0" w:line="240" w:lineRule="auto"/>
      </w:pPr>
      <w:r>
        <w:separator/>
      </w:r>
    </w:p>
  </w:footnote>
  <w:footnote w:type="continuationSeparator" w:id="0">
    <w:p w14:paraId="4DB36FAC" w14:textId="77777777" w:rsidR="00BC5ABF" w:rsidRDefault="00BC5ABF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512B9F" w:rsidRDefault="00512B9F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512B9F" w:rsidRDefault="00512B9F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342F2CD3" w:rsidR="00512B9F" w:rsidRPr="006A4C4F" w:rsidRDefault="00512B9F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01521">
      <w:rPr>
        <w:i/>
        <w:noProof/>
      </w:rPr>
      <w:t>Petra Šimánková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01521">
      <w:rPr>
        <w:i/>
        <w:noProof/>
      </w:rPr>
      <w:t>Aplikace infuze cestou PŽK</w:t>
    </w:r>
    <w:r w:rsidR="00701521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04133E12" w:rsidR="00512B9F" w:rsidRDefault="00512B9F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Robert Kempný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t>Šablona e-kurzu pro kombinované studium: Představení a základní dovednosti</w:t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48E9B43B" w:rsidR="00512B9F" w:rsidRPr="008F55D1" w:rsidRDefault="00512B9F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01521">
      <w:rPr>
        <w:i/>
        <w:noProof/>
      </w:rPr>
      <w:t>Petra Šimánková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01521">
      <w:rPr>
        <w:i/>
        <w:noProof/>
      </w:rPr>
      <w:t>Aplikace infuze cestou PŽK</w:t>
    </w:r>
    <w:r w:rsidR="00701521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7A025092" w:rsidR="00512B9F" w:rsidRDefault="00512B9F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01521">
      <w:rPr>
        <w:i/>
        <w:noProof/>
      </w:rPr>
      <w:t>Petra Šimánková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01521">
      <w:rPr>
        <w:i/>
        <w:noProof/>
      </w:rPr>
      <w:t>Aplikace infuze cestou PŽK</w:t>
    </w:r>
    <w:r w:rsidR="00701521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22B30269" w:rsidR="00512B9F" w:rsidRPr="00B37E40" w:rsidRDefault="00512B9F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17174">
      <w:rPr>
        <w:i/>
        <w:noProof/>
      </w:rPr>
      <w:t>Petra Šimánková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17174">
      <w:rPr>
        <w:i/>
        <w:noProof/>
      </w:rPr>
      <w:t>Aplikace infuze cestou PŽK</w:t>
    </w:r>
    <w:r w:rsidR="00B17174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5E7D8B21" w:rsidR="00512B9F" w:rsidRDefault="00512B9F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01521">
      <w:rPr>
        <w:i/>
        <w:noProof/>
      </w:rPr>
      <w:t>Petra Šimánková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01521">
      <w:rPr>
        <w:i/>
        <w:noProof/>
      </w:rPr>
      <w:t>Aplikace infuze cestou PŽK</w:t>
    </w:r>
    <w:r w:rsidR="00701521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512B9F" w:rsidRPr="00C87D9B" w:rsidRDefault="00512B9F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512B9F" w:rsidRPr="00C87D9B" w:rsidRDefault="00512B9F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B92F83"/>
    <w:multiLevelType w:val="hybridMultilevel"/>
    <w:tmpl w:val="B6C63EA0"/>
    <w:lvl w:ilvl="0" w:tplc="525C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06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0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AD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E2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C5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6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F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00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D3251C"/>
    <w:multiLevelType w:val="hybridMultilevel"/>
    <w:tmpl w:val="AD9A6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75629"/>
    <w:multiLevelType w:val="hybridMultilevel"/>
    <w:tmpl w:val="7E50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7478"/>
    <w:multiLevelType w:val="hybridMultilevel"/>
    <w:tmpl w:val="CEA2A7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22E4E"/>
    <w:multiLevelType w:val="hybridMultilevel"/>
    <w:tmpl w:val="311EC0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F0C56"/>
    <w:multiLevelType w:val="hybridMultilevel"/>
    <w:tmpl w:val="7F160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3A37"/>
    <w:multiLevelType w:val="hybridMultilevel"/>
    <w:tmpl w:val="1D1AF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B2843"/>
    <w:multiLevelType w:val="hybridMultilevel"/>
    <w:tmpl w:val="B35EB574"/>
    <w:lvl w:ilvl="0" w:tplc="AD12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E4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65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A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6D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E7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8E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5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2C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2F3A83"/>
    <w:multiLevelType w:val="hybridMultilevel"/>
    <w:tmpl w:val="77FC671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73874B7D"/>
    <w:multiLevelType w:val="hybridMultilevel"/>
    <w:tmpl w:val="6868FA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002D"/>
    <w:rsid w:val="00040F8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A59F5"/>
    <w:rsid w:val="000C0AEC"/>
    <w:rsid w:val="000C6359"/>
    <w:rsid w:val="000C6636"/>
    <w:rsid w:val="000D4534"/>
    <w:rsid w:val="000E408B"/>
    <w:rsid w:val="000F0EE0"/>
    <w:rsid w:val="000F3A0E"/>
    <w:rsid w:val="000F3E25"/>
    <w:rsid w:val="0010084E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0037"/>
    <w:rsid w:val="00160D8F"/>
    <w:rsid w:val="0016251F"/>
    <w:rsid w:val="00174C18"/>
    <w:rsid w:val="00174D53"/>
    <w:rsid w:val="001939E2"/>
    <w:rsid w:val="00193C24"/>
    <w:rsid w:val="00197302"/>
    <w:rsid w:val="00197B36"/>
    <w:rsid w:val="001A18A3"/>
    <w:rsid w:val="001A1FE5"/>
    <w:rsid w:val="001B16A5"/>
    <w:rsid w:val="001B4EEC"/>
    <w:rsid w:val="001B6225"/>
    <w:rsid w:val="001C0683"/>
    <w:rsid w:val="001C2D47"/>
    <w:rsid w:val="001C404D"/>
    <w:rsid w:val="001C73BA"/>
    <w:rsid w:val="001C7FD6"/>
    <w:rsid w:val="001D0D97"/>
    <w:rsid w:val="001E2B7F"/>
    <w:rsid w:val="001F6C64"/>
    <w:rsid w:val="001F7A2A"/>
    <w:rsid w:val="0021176E"/>
    <w:rsid w:val="00211F29"/>
    <w:rsid w:val="00213E90"/>
    <w:rsid w:val="00222B7D"/>
    <w:rsid w:val="00226421"/>
    <w:rsid w:val="0024438F"/>
    <w:rsid w:val="00253DF7"/>
    <w:rsid w:val="00260C30"/>
    <w:rsid w:val="00262122"/>
    <w:rsid w:val="0026453F"/>
    <w:rsid w:val="0027156A"/>
    <w:rsid w:val="00273C7E"/>
    <w:rsid w:val="00280F3E"/>
    <w:rsid w:val="002818EC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1467"/>
    <w:rsid w:val="002F7864"/>
    <w:rsid w:val="00307024"/>
    <w:rsid w:val="00320A5E"/>
    <w:rsid w:val="0032298B"/>
    <w:rsid w:val="00323932"/>
    <w:rsid w:val="0032499A"/>
    <w:rsid w:val="003265A0"/>
    <w:rsid w:val="0033481A"/>
    <w:rsid w:val="00340A79"/>
    <w:rsid w:val="00345C68"/>
    <w:rsid w:val="003479A6"/>
    <w:rsid w:val="003564F4"/>
    <w:rsid w:val="003633BF"/>
    <w:rsid w:val="00372FB9"/>
    <w:rsid w:val="00376F3B"/>
    <w:rsid w:val="00377D6B"/>
    <w:rsid w:val="003A2644"/>
    <w:rsid w:val="003A5D90"/>
    <w:rsid w:val="003B3945"/>
    <w:rsid w:val="003B726B"/>
    <w:rsid w:val="003C7FEE"/>
    <w:rsid w:val="003D0905"/>
    <w:rsid w:val="003D2134"/>
    <w:rsid w:val="003D250F"/>
    <w:rsid w:val="003D667E"/>
    <w:rsid w:val="003E3E94"/>
    <w:rsid w:val="003F65B2"/>
    <w:rsid w:val="00407651"/>
    <w:rsid w:val="00407C2A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0177"/>
    <w:rsid w:val="0049549D"/>
    <w:rsid w:val="004970D6"/>
    <w:rsid w:val="004A3356"/>
    <w:rsid w:val="004A407D"/>
    <w:rsid w:val="004A535F"/>
    <w:rsid w:val="004A5A84"/>
    <w:rsid w:val="004A6CC6"/>
    <w:rsid w:val="004B005B"/>
    <w:rsid w:val="004B1D9B"/>
    <w:rsid w:val="004B7409"/>
    <w:rsid w:val="004C14E4"/>
    <w:rsid w:val="004D0D56"/>
    <w:rsid w:val="004D0D67"/>
    <w:rsid w:val="004D5CA8"/>
    <w:rsid w:val="004E1C56"/>
    <w:rsid w:val="004E2697"/>
    <w:rsid w:val="004E6978"/>
    <w:rsid w:val="00502525"/>
    <w:rsid w:val="00512184"/>
    <w:rsid w:val="005122E6"/>
    <w:rsid w:val="00512B9F"/>
    <w:rsid w:val="00521034"/>
    <w:rsid w:val="0052225D"/>
    <w:rsid w:val="00532BF4"/>
    <w:rsid w:val="00532CD0"/>
    <w:rsid w:val="00541A5F"/>
    <w:rsid w:val="005439F8"/>
    <w:rsid w:val="005442E4"/>
    <w:rsid w:val="00554453"/>
    <w:rsid w:val="00560C25"/>
    <w:rsid w:val="00560D56"/>
    <w:rsid w:val="00563017"/>
    <w:rsid w:val="005633CC"/>
    <w:rsid w:val="00566B72"/>
    <w:rsid w:val="00576254"/>
    <w:rsid w:val="00584B36"/>
    <w:rsid w:val="005A3544"/>
    <w:rsid w:val="005B5F3E"/>
    <w:rsid w:val="005B6A7A"/>
    <w:rsid w:val="005C0D6E"/>
    <w:rsid w:val="005C29EA"/>
    <w:rsid w:val="005C3325"/>
    <w:rsid w:val="005C4BEF"/>
    <w:rsid w:val="005D2DE8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27170"/>
    <w:rsid w:val="00631A0C"/>
    <w:rsid w:val="0063253B"/>
    <w:rsid w:val="0063623F"/>
    <w:rsid w:val="00637ACE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1521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691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6BF"/>
    <w:rsid w:val="007C5AE8"/>
    <w:rsid w:val="007C7BE5"/>
    <w:rsid w:val="007D340A"/>
    <w:rsid w:val="007D7E71"/>
    <w:rsid w:val="007E01F7"/>
    <w:rsid w:val="007E1665"/>
    <w:rsid w:val="007E7C0A"/>
    <w:rsid w:val="007F5EB1"/>
    <w:rsid w:val="00802FE3"/>
    <w:rsid w:val="00810CD1"/>
    <w:rsid w:val="00812CCD"/>
    <w:rsid w:val="00813BCF"/>
    <w:rsid w:val="00814B7D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9741C"/>
    <w:rsid w:val="008A0D1B"/>
    <w:rsid w:val="008B059D"/>
    <w:rsid w:val="008B7B33"/>
    <w:rsid w:val="008C36F8"/>
    <w:rsid w:val="008C6708"/>
    <w:rsid w:val="008D281C"/>
    <w:rsid w:val="008D302D"/>
    <w:rsid w:val="008D46C2"/>
    <w:rsid w:val="008D661F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4E4F"/>
    <w:rsid w:val="00994405"/>
    <w:rsid w:val="009A37B3"/>
    <w:rsid w:val="009A5122"/>
    <w:rsid w:val="009A5CEE"/>
    <w:rsid w:val="009A7E7F"/>
    <w:rsid w:val="009B2FE1"/>
    <w:rsid w:val="009D17D8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35DBF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4672"/>
    <w:rsid w:val="00AB53D1"/>
    <w:rsid w:val="00AB57A5"/>
    <w:rsid w:val="00AC1475"/>
    <w:rsid w:val="00AC1E06"/>
    <w:rsid w:val="00AC2EC7"/>
    <w:rsid w:val="00AD1E20"/>
    <w:rsid w:val="00AD3D6E"/>
    <w:rsid w:val="00AE1F58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174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5ABF"/>
    <w:rsid w:val="00BC6C21"/>
    <w:rsid w:val="00BD4269"/>
    <w:rsid w:val="00BD5267"/>
    <w:rsid w:val="00BE068D"/>
    <w:rsid w:val="00BE72F3"/>
    <w:rsid w:val="00BF697F"/>
    <w:rsid w:val="00C07D62"/>
    <w:rsid w:val="00C10C2E"/>
    <w:rsid w:val="00C2242A"/>
    <w:rsid w:val="00C244DE"/>
    <w:rsid w:val="00C37391"/>
    <w:rsid w:val="00C53360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ABD"/>
    <w:rsid w:val="00D31C96"/>
    <w:rsid w:val="00D41016"/>
    <w:rsid w:val="00D46101"/>
    <w:rsid w:val="00D52DA6"/>
    <w:rsid w:val="00D70253"/>
    <w:rsid w:val="00D77C97"/>
    <w:rsid w:val="00D830FF"/>
    <w:rsid w:val="00D84756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04D5"/>
    <w:rsid w:val="00E01C82"/>
    <w:rsid w:val="00E1190B"/>
    <w:rsid w:val="00E23A72"/>
    <w:rsid w:val="00E339DB"/>
    <w:rsid w:val="00E3558F"/>
    <w:rsid w:val="00E3655F"/>
    <w:rsid w:val="00E37845"/>
    <w:rsid w:val="00E37D4F"/>
    <w:rsid w:val="00E4131E"/>
    <w:rsid w:val="00E4447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74D43"/>
    <w:rsid w:val="00E80D9E"/>
    <w:rsid w:val="00E82092"/>
    <w:rsid w:val="00E852A1"/>
    <w:rsid w:val="00E85FBA"/>
    <w:rsid w:val="00E902B5"/>
    <w:rsid w:val="00E90940"/>
    <w:rsid w:val="00E95668"/>
    <w:rsid w:val="00E9679B"/>
    <w:rsid w:val="00EA00A6"/>
    <w:rsid w:val="00EA58EE"/>
    <w:rsid w:val="00EA7DB5"/>
    <w:rsid w:val="00EB00AC"/>
    <w:rsid w:val="00EB0A73"/>
    <w:rsid w:val="00EC0A58"/>
    <w:rsid w:val="00EC0C5C"/>
    <w:rsid w:val="00ED00B2"/>
    <w:rsid w:val="00ED1058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0CAC"/>
    <w:rsid w:val="00F01639"/>
    <w:rsid w:val="00F05115"/>
    <w:rsid w:val="00F05E2D"/>
    <w:rsid w:val="00F20786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05D53F"/>
  <w15:docId w15:val="{B75EE58D-A590-4FE4-8635-4A361759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4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header" Target="header7.xml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5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4.xml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6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F0"/>
    <w:rsid w:val="00030F6B"/>
    <w:rsid w:val="000F32F1"/>
    <w:rsid w:val="000F3EBB"/>
    <w:rsid w:val="001934BC"/>
    <w:rsid w:val="001C54B4"/>
    <w:rsid w:val="0022418E"/>
    <w:rsid w:val="00231964"/>
    <w:rsid w:val="002525D1"/>
    <w:rsid w:val="002D48AB"/>
    <w:rsid w:val="002F0299"/>
    <w:rsid w:val="00324EF2"/>
    <w:rsid w:val="0033312D"/>
    <w:rsid w:val="003F677F"/>
    <w:rsid w:val="00422895"/>
    <w:rsid w:val="004B1D18"/>
    <w:rsid w:val="004B2106"/>
    <w:rsid w:val="004D243F"/>
    <w:rsid w:val="004F6A9E"/>
    <w:rsid w:val="005F5A46"/>
    <w:rsid w:val="00675418"/>
    <w:rsid w:val="006B0B42"/>
    <w:rsid w:val="007017D9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A00B55"/>
    <w:rsid w:val="00AF604B"/>
    <w:rsid w:val="00B76D21"/>
    <w:rsid w:val="00BB36DB"/>
    <w:rsid w:val="00C17660"/>
    <w:rsid w:val="00C51E8D"/>
    <w:rsid w:val="00C542F9"/>
    <w:rsid w:val="00C743CC"/>
    <w:rsid w:val="00D642F0"/>
    <w:rsid w:val="00DA3205"/>
    <w:rsid w:val="00DA4AC7"/>
    <w:rsid w:val="00DF6E01"/>
    <w:rsid w:val="00E82E6F"/>
    <w:rsid w:val="00EB60FA"/>
    <w:rsid w:val="00F82A18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44DD955-7E84-4F2E-B788-9B3C5B0BF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DCF662-4186-48BC-8C8A-7B0697C6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11</Pages>
  <Words>1650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kempny</dc:creator>
  <cp:lastModifiedBy>Jiří Zemánek</cp:lastModifiedBy>
  <cp:revision>24</cp:revision>
  <cp:lastPrinted>2015-04-15T12:20:00Z</cp:lastPrinted>
  <dcterms:created xsi:type="dcterms:W3CDTF">2020-01-22T13:56:00Z</dcterms:created>
  <dcterms:modified xsi:type="dcterms:W3CDTF">2021-02-20T22:05:00Z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