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516B65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478D7B00" w:rsidR="00445641" w:rsidRDefault="00445641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Komunikace ve zdravotnictví – </w:t>
          </w:r>
        </w:p>
        <w:p w14:paraId="153D92CD" w14:textId="3B663284" w:rsidR="0041362C" w:rsidRPr="001531DD" w:rsidRDefault="0099718C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Komunikace s pacienty s poruchou sluchu a zraku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516B65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516B65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35F5900C" w14:textId="6A4EAE9C" w:rsidR="00516B65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92412" w:history="1">
                <w:r w:rsidR="00516B65" w:rsidRPr="005E073A">
                  <w:rPr>
                    <w:rStyle w:val="Hypertextovodkaz"/>
                    <w:noProof/>
                  </w:rPr>
                  <w:t>1</w:t>
                </w:r>
                <w:r w:rsidR="00516B6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516B65" w:rsidRPr="005E073A">
                  <w:rPr>
                    <w:rStyle w:val="Hypertextovodkaz"/>
                    <w:noProof/>
                  </w:rPr>
                  <w:t>Komunikace s pacienty s poruchou sluchu a zraku</w:t>
                </w:r>
                <w:r w:rsidR="00516B65">
                  <w:rPr>
                    <w:noProof/>
                    <w:webHidden/>
                  </w:rPr>
                  <w:tab/>
                </w:r>
                <w:r w:rsidR="00516B65">
                  <w:rPr>
                    <w:noProof/>
                    <w:webHidden/>
                  </w:rPr>
                  <w:fldChar w:fldCharType="begin"/>
                </w:r>
                <w:r w:rsidR="00516B65">
                  <w:rPr>
                    <w:noProof/>
                    <w:webHidden/>
                  </w:rPr>
                  <w:instrText xml:space="preserve"> PAGEREF _Toc66692412 \h </w:instrText>
                </w:r>
                <w:r w:rsidR="00516B65">
                  <w:rPr>
                    <w:noProof/>
                    <w:webHidden/>
                  </w:rPr>
                </w:r>
                <w:r w:rsidR="00516B65">
                  <w:rPr>
                    <w:noProof/>
                    <w:webHidden/>
                  </w:rPr>
                  <w:fldChar w:fldCharType="separate"/>
                </w:r>
                <w:r w:rsidR="00516B65">
                  <w:rPr>
                    <w:noProof/>
                    <w:webHidden/>
                  </w:rPr>
                  <w:t>3</w:t>
                </w:r>
                <w:r w:rsidR="00516B65">
                  <w:rPr>
                    <w:noProof/>
                    <w:webHidden/>
                  </w:rPr>
                  <w:fldChar w:fldCharType="end"/>
                </w:r>
              </w:hyperlink>
            </w:p>
            <w:p w14:paraId="28A3F527" w14:textId="6B8B0BC2" w:rsidR="00516B65" w:rsidRDefault="00516B6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413" w:history="1">
                <w:r w:rsidRPr="005E073A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5E073A">
                  <w:rPr>
                    <w:rStyle w:val="Hypertextovodkaz"/>
                    <w:noProof/>
                  </w:rPr>
                  <w:t>Zrakové postižení: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_Toc66692413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5009603" w14:textId="74DFCE09" w:rsidR="00516B65" w:rsidRDefault="00516B6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414" w:history="1">
                <w:r w:rsidRPr="005E073A">
                  <w:rPr>
                    <w:rStyle w:val="Hypertextovodkaz"/>
                    <w:noProof/>
                  </w:rPr>
                  <w:t>1.2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5E073A">
                  <w:rPr>
                    <w:rStyle w:val="Hypertextovodkaz"/>
                    <w:noProof/>
                  </w:rPr>
                  <w:t>Poznávací schopnosti: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_Toc66692414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287B772" w14:textId="501D0EB3" w:rsidR="00516B65" w:rsidRDefault="00516B6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415" w:history="1">
                <w:r w:rsidRPr="005E073A">
                  <w:rPr>
                    <w:rStyle w:val="Hypertextovodkaz"/>
                    <w:noProof/>
                  </w:rPr>
                  <w:t>1.3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5E073A">
                  <w:rPr>
                    <w:rStyle w:val="Hypertextovodkaz"/>
                    <w:noProof/>
                  </w:rPr>
                  <w:t>Postižení sluchu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_Toc66692415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B957FC2" w14:textId="4987F8C1" w:rsidR="00516B65" w:rsidRDefault="00516B65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416" w:history="1">
                <w:r w:rsidRPr="005E073A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5E073A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_Toc66692416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1530C52" w14:textId="018380E5" w:rsidR="00516B65" w:rsidRDefault="00516B65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417" w:history="1">
                <w:r w:rsidRPr="005E073A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_Toc66692417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0C6D45" w14:textId="293CBF68" w:rsidR="00516B65" w:rsidRDefault="00516B65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418" w:history="1">
                <w:r w:rsidRPr="005E073A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_Toc66692418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06278A69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516B65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070FC8DB" w:rsidR="00F27CDE" w:rsidRDefault="0099718C" w:rsidP="008C7B7B">
      <w:pPr>
        <w:pStyle w:val="Nadpis1"/>
      </w:pPr>
      <w:bookmarkStart w:id="1" w:name="_Toc66692412"/>
      <w:r>
        <w:lastRenderedPageBreak/>
        <w:t>Komunikace s pacienty s poruchou sluchu a zraku</w:t>
      </w:r>
      <w:bookmarkEnd w:id="1"/>
    </w:p>
    <w:p w14:paraId="4FFEDAE0" w14:textId="77777777" w:rsidR="00171BC1" w:rsidRPr="004B005B" w:rsidRDefault="00171BC1" w:rsidP="00171BC1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7F1FA920" w14:textId="77777777" w:rsidR="00171BC1" w:rsidRDefault="00171BC1" w:rsidP="00171BC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CE3F969" wp14:editId="50E41F5D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2416" w14:textId="37960440" w:rsidR="00171BC1" w:rsidRDefault="00171BC1" w:rsidP="00171BC1">
      <w:pPr>
        <w:pStyle w:val="Tlotextu"/>
      </w:pPr>
      <w:r w:rsidRPr="00171BC1">
        <w:t>V této kapitole budete seznámeni s problematikou komunikace s jedinci se smyslovým postižením, a to se zrakovým a sluchovým. Najdete zde základní charakteristiky tohoto postižení včetně specifik pro komunikaci s těmito lidmi.</w:t>
      </w:r>
    </w:p>
    <w:p w14:paraId="395BF5DC" w14:textId="77777777" w:rsidR="00171BC1" w:rsidRDefault="00171BC1" w:rsidP="00171BC1">
      <w:pPr>
        <w:pStyle w:val="parUkonceniPrvku"/>
      </w:pPr>
    </w:p>
    <w:p w14:paraId="17F3D709" w14:textId="77777777" w:rsidR="00171BC1" w:rsidRPr="004B005B" w:rsidRDefault="00171BC1" w:rsidP="00171BC1">
      <w:pPr>
        <w:pStyle w:val="parNadpisPrvkuCerveny"/>
      </w:pPr>
      <w:r w:rsidRPr="004B005B">
        <w:t xml:space="preserve">Rychlý </w:t>
      </w:r>
      <w:r>
        <w:t>náhled studijního materiálu</w:t>
      </w:r>
    </w:p>
    <w:p w14:paraId="008D2D25" w14:textId="77777777" w:rsidR="00171BC1" w:rsidRDefault="00171BC1" w:rsidP="00171BC1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5A94141E" wp14:editId="7DD49AD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410B" w14:textId="301913C2" w:rsidR="00171BC1" w:rsidRDefault="005D53DB" w:rsidP="00171BC1">
      <w:pPr>
        <w:pStyle w:val="Tlotextu"/>
      </w:pPr>
      <w:r>
        <w:t xml:space="preserve">Komunikace s klienty a pacienty se sluchovým a zrakovým postižením je velmi specifická a vyžaduje kromě empatie a úcty ke člověku specifické znalosti ohledně forem postižení a speciálních technik, které slouží k dorozumívání. Také je důležité si uvědomit, že tito lidé jsou plně autonomní a mají právo a veškeré informace týkající se jejich zdravotního stavu a léčby. </w:t>
      </w:r>
    </w:p>
    <w:p w14:paraId="43DFD465" w14:textId="77777777" w:rsidR="00171BC1" w:rsidRDefault="00171BC1" w:rsidP="00171BC1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6366D552" w:rsidR="00A803C2" w:rsidRDefault="00F02B8D" w:rsidP="008F55D1">
      <w:pPr>
        <w:pStyle w:val="parOdrazky01"/>
      </w:pPr>
      <w:r>
        <w:t>Naučit se komunikaci s jedinci se sluchovým a zrakovým handicapem.</w:t>
      </w:r>
    </w:p>
    <w:p w14:paraId="087908F0" w14:textId="31E9806E" w:rsidR="00F02B8D" w:rsidRDefault="00F02B8D" w:rsidP="008F55D1">
      <w:pPr>
        <w:pStyle w:val="parOdrazky01"/>
      </w:pPr>
      <w:r>
        <w:t>Pochopit specifika komunikace.</w:t>
      </w:r>
    </w:p>
    <w:p w14:paraId="65F0D74C" w14:textId="4889EB3A" w:rsidR="00F02B8D" w:rsidRDefault="00F02B8D" w:rsidP="008F55D1">
      <w:pPr>
        <w:pStyle w:val="parOdrazky01"/>
      </w:pPr>
      <w:r>
        <w:t>Zajistit adekvátní typ komunikace</w:t>
      </w:r>
    </w:p>
    <w:p w14:paraId="6E11E5B6" w14:textId="63512C41" w:rsidR="00F02B8D" w:rsidRDefault="00F02B8D" w:rsidP="008F55D1">
      <w:pPr>
        <w:pStyle w:val="parOdrazky01"/>
      </w:pPr>
      <w:r>
        <w:t>Orientovat se v možnostech komunikace s jedincem se sluchovým postižení</w:t>
      </w:r>
      <w:r w:rsidR="00846317">
        <w:t>m</w:t>
      </w:r>
      <w:r>
        <w:t>, zajištění tlumočníka, využití online překladu</w:t>
      </w:r>
    </w:p>
    <w:p w14:paraId="73541F22" w14:textId="77777777" w:rsidR="00171BC1" w:rsidRDefault="00171BC1" w:rsidP="00171BC1">
      <w:pPr>
        <w:pStyle w:val="parOdrazky01"/>
      </w:pPr>
      <w:r>
        <w:t>Pochopit jednotlivé typy zrakového a sluchového postižení</w:t>
      </w:r>
    </w:p>
    <w:p w14:paraId="7D3B4E10" w14:textId="77777777" w:rsidR="00171BC1" w:rsidRDefault="00171BC1" w:rsidP="00171BC1">
      <w:pPr>
        <w:pStyle w:val="parOdrazky01"/>
      </w:pPr>
      <w:r>
        <w:t>Umět vyjmenovat jednotlivé zásady komunikace s lidmi se zrakovým a sluchovým postižením</w:t>
      </w:r>
    </w:p>
    <w:p w14:paraId="672EBF9C" w14:textId="77777777" w:rsidR="00171BC1" w:rsidRDefault="00171BC1" w:rsidP="00171BC1">
      <w:pPr>
        <w:pStyle w:val="parOdrazky01"/>
      </w:pPr>
      <w:r>
        <w:t>Znát praktické rady pro komunikaci s nevidomým pacientem</w:t>
      </w:r>
    </w:p>
    <w:p w14:paraId="0779B0FF" w14:textId="77777777" w:rsidR="00171BC1" w:rsidRDefault="00171BC1" w:rsidP="00171BC1">
      <w:pPr>
        <w:pStyle w:val="parOdrazky01"/>
      </w:pPr>
      <w:r>
        <w:t>Znát praktické rady pro komunikaci s neslyšícím pacientem</w:t>
      </w:r>
    </w:p>
    <w:p w14:paraId="6287DAA3" w14:textId="77777777" w:rsidR="00171BC1" w:rsidRDefault="00171BC1" w:rsidP="00171BC1">
      <w:pPr>
        <w:pStyle w:val="parOdrazky01"/>
      </w:pPr>
      <w:r>
        <w:t>Umět popsat a vyžít pomůcek pro daná postižení</w:t>
      </w:r>
    </w:p>
    <w:p w14:paraId="3C1BA0CA" w14:textId="0106E5C5" w:rsidR="00171BC1" w:rsidRPr="008F55D1" w:rsidRDefault="00171BC1" w:rsidP="00171BC1">
      <w:pPr>
        <w:pStyle w:val="parOdrazky01"/>
      </w:pPr>
      <w:r>
        <w:t>Charakterizovat chyby, kterých se můžeme dopustit v komunikaci s handicapovanými jedinci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0502754E" w:rsidR="00CF098A" w:rsidRPr="00171BC1" w:rsidRDefault="00F02B8D" w:rsidP="00171BC1">
      <w:pPr>
        <w:pStyle w:val="Tlotextu"/>
      </w:pPr>
      <w:r w:rsidRPr="00171BC1">
        <w:t>Handicap, postižení sluchu, neslyšící pacient, po</w:t>
      </w:r>
      <w:r w:rsidR="00171BC1">
        <w:t>stižení zraku, nevidomý pacient</w:t>
      </w:r>
      <w:r w:rsidRPr="00171BC1">
        <w:t xml:space="preserve"> 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3CF328B8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99718C">
        <w:t>19</w:t>
      </w:r>
      <w:r w:rsidR="009412CA">
        <w:t>:</w:t>
      </w:r>
      <w:r w:rsidR="0099718C">
        <w:t>52</w:t>
      </w:r>
    </w:p>
    <w:p w14:paraId="1161CAB1" w14:textId="0AB70530" w:rsidR="00B75879" w:rsidRDefault="00B75879" w:rsidP="008F55D1">
      <w:pPr>
        <w:pStyle w:val="Tlotextu"/>
      </w:pPr>
      <w:r>
        <w:t>Doporučený čas ke studiu:</w:t>
      </w:r>
      <w:r w:rsidR="00F02B8D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8975F" w14:textId="77777777" w:rsidR="00F02B8D" w:rsidRDefault="00F02B8D" w:rsidP="00171BC1">
      <w:pPr>
        <w:pStyle w:val="Tlotextu"/>
        <w:ind w:left="284" w:firstLine="0"/>
      </w:pPr>
      <w:r>
        <w:t xml:space="preserve">ŠPATÉNKOVÁ, N. KRÁLOVÁ, J. </w:t>
      </w:r>
      <w:r w:rsidRPr="00171BC1">
        <w:t>Základní otázky komunikace: komunikace (nejen) pro sestry</w:t>
      </w:r>
      <w:r>
        <w:t>. Praha, 2009.135. ISBN 978-80-7262-599-4.</w:t>
      </w:r>
    </w:p>
    <w:p w14:paraId="2CFCC988" w14:textId="77777777" w:rsidR="00213E90" w:rsidRDefault="00213E90" w:rsidP="00213E90">
      <w:pPr>
        <w:pStyle w:val="parUkonceniPrvku"/>
      </w:pPr>
    </w:p>
    <w:p w14:paraId="31569B26" w14:textId="05691F68" w:rsidR="00171BC1" w:rsidRDefault="00171BC1" w:rsidP="00171BC1">
      <w:pPr>
        <w:pStyle w:val="Tlotextu"/>
      </w:pPr>
    </w:p>
    <w:p w14:paraId="7D9A2ED8" w14:textId="77777777" w:rsidR="00171BC1" w:rsidRPr="00D35D42" w:rsidRDefault="00171BC1" w:rsidP="00171BC1">
      <w:pPr>
        <w:pStyle w:val="Nadpis2"/>
      </w:pPr>
      <w:bookmarkStart w:id="2" w:name="_Toc66692413"/>
      <w:r w:rsidRPr="003E6949">
        <w:t>Z</w:t>
      </w:r>
      <w:r w:rsidRPr="00D35D42">
        <w:t>rakové postižení:</w:t>
      </w:r>
      <w:bookmarkEnd w:id="2"/>
      <w:r w:rsidRPr="00D35D42">
        <w:t xml:space="preserve"> </w:t>
      </w:r>
    </w:p>
    <w:p w14:paraId="1F03FE1F" w14:textId="77777777" w:rsidR="00171BC1" w:rsidRPr="00D35D42" w:rsidRDefault="00171BC1" w:rsidP="00171B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D35D42">
        <w:rPr>
          <w:rFonts w:cs="Times New Roman"/>
          <w:b/>
          <w:bCs/>
          <w:color w:val="000000"/>
          <w:sz w:val="23"/>
          <w:szCs w:val="23"/>
        </w:rPr>
        <w:t xml:space="preserve">Slabozrakost - </w:t>
      </w:r>
      <w:r w:rsidRPr="00D35D42">
        <w:rPr>
          <w:rFonts w:cs="Times New Roman"/>
          <w:color w:val="000000"/>
          <w:sz w:val="23"/>
          <w:szCs w:val="23"/>
        </w:rPr>
        <w:t xml:space="preserve">omezení zrakových funkcí o 5-15%. Tito lidé jsou schopni běžné orientace a jejich psychický vývoj je v zásadě normální. </w:t>
      </w:r>
    </w:p>
    <w:p w14:paraId="7738A33B" w14:textId="77777777" w:rsidR="00171BC1" w:rsidRPr="00D35D42" w:rsidRDefault="00171BC1" w:rsidP="00171B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D35D42">
        <w:rPr>
          <w:rFonts w:cs="Times New Roman"/>
          <w:b/>
          <w:bCs/>
          <w:color w:val="000000"/>
          <w:sz w:val="23"/>
          <w:szCs w:val="23"/>
        </w:rPr>
        <w:t xml:space="preserve">Praktická nevidomost - </w:t>
      </w:r>
      <w:r w:rsidRPr="00D35D42">
        <w:rPr>
          <w:rFonts w:cs="Times New Roman"/>
          <w:color w:val="000000"/>
          <w:sz w:val="23"/>
          <w:szCs w:val="23"/>
        </w:rPr>
        <w:t xml:space="preserve">zbytky zraku znamená méně než 4% běžné kapacity zraku. Pokud jsou takto postiženi vrozeně, vyžadují speciální výchovnou péči. </w:t>
      </w:r>
    </w:p>
    <w:p w14:paraId="52DB0292" w14:textId="77777777" w:rsidR="00171BC1" w:rsidRDefault="00171BC1" w:rsidP="00171B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D35D42">
        <w:rPr>
          <w:rFonts w:cs="Times New Roman"/>
          <w:b/>
          <w:bCs/>
          <w:color w:val="000000"/>
          <w:sz w:val="23"/>
          <w:szCs w:val="23"/>
        </w:rPr>
        <w:t xml:space="preserve">Nevidomost - </w:t>
      </w:r>
      <w:r w:rsidRPr="00D35D42">
        <w:rPr>
          <w:rFonts w:cs="Times New Roman"/>
          <w:color w:val="000000"/>
          <w:sz w:val="23"/>
          <w:szCs w:val="23"/>
        </w:rPr>
        <w:t>znamená chybění tvarového vidění, ale rozlišuje světlo a tmu, někdy i směr světla. Úplná nevidomost je vzácná a je spíše následkem chybění oka (enukleace)</w:t>
      </w:r>
    </w:p>
    <w:p w14:paraId="5DFB8933" w14:textId="77777777" w:rsidR="00171BC1" w:rsidRPr="00D35D42" w:rsidRDefault="00171BC1" w:rsidP="00171BC1">
      <w:pPr>
        <w:pStyle w:val="Nadpis2"/>
      </w:pPr>
      <w:bookmarkStart w:id="3" w:name="_Toc66692414"/>
      <w:r w:rsidRPr="00D35D42">
        <w:t>Poznávací schopnosti:</w:t>
      </w:r>
      <w:bookmarkEnd w:id="3"/>
      <w:r w:rsidRPr="00D35D42">
        <w:t xml:space="preserve"> </w:t>
      </w:r>
    </w:p>
    <w:p w14:paraId="15CB3FEC" w14:textId="77777777" w:rsidR="00171BC1" w:rsidRPr="00D35D42" w:rsidRDefault="00171BC1" w:rsidP="00171BC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D35D42">
        <w:rPr>
          <w:rFonts w:cs="Times New Roman"/>
          <w:color w:val="000000"/>
          <w:sz w:val="23"/>
          <w:szCs w:val="23"/>
        </w:rPr>
        <w:t xml:space="preserve">Zrakové vnímání je hlavním zdrojem poznatků o okolním světě. Když je poškozen je nezbytné jej nahradit zbylými smysly. </w:t>
      </w:r>
    </w:p>
    <w:p w14:paraId="316004C5" w14:textId="77777777" w:rsidR="00171BC1" w:rsidRPr="00D35D42" w:rsidRDefault="00171BC1" w:rsidP="00171B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D35D42">
        <w:rPr>
          <w:rFonts w:cs="Times New Roman"/>
          <w:b/>
          <w:bCs/>
          <w:color w:val="000000"/>
          <w:sz w:val="23"/>
          <w:szCs w:val="23"/>
        </w:rPr>
        <w:t xml:space="preserve">Sluch </w:t>
      </w:r>
      <w:r w:rsidRPr="00D35D42">
        <w:rPr>
          <w:rFonts w:cs="Times New Roman"/>
          <w:color w:val="000000"/>
          <w:sz w:val="23"/>
          <w:szCs w:val="23"/>
        </w:rPr>
        <w:t>je jedním z nejdůležitějších náhradních způsobů vnímání</w:t>
      </w:r>
      <w:r w:rsidRPr="00D35D42">
        <w:rPr>
          <w:rFonts w:cs="Times New Roman"/>
          <w:b/>
          <w:bCs/>
          <w:color w:val="000000"/>
          <w:sz w:val="23"/>
          <w:szCs w:val="23"/>
        </w:rPr>
        <w:t xml:space="preserve">. </w:t>
      </w:r>
      <w:r w:rsidRPr="00D35D42">
        <w:rPr>
          <w:rFonts w:cs="Times New Roman"/>
          <w:color w:val="000000"/>
          <w:sz w:val="23"/>
          <w:szCs w:val="23"/>
        </w:rPr>
        <w:t xml:space="preserve">Nevidomí si jej proto </w:t>
      </w:r>
      <w:r w:rsidRPr="00D35D42">
        <w:rPr>
          <w:rFonts w:cs="Times New Roman"/>
          <w:b/>
          <w:bCs/>
          <w:color w:val="000000"/>
          <w:sz w:val="23"/>
          <w:szCs w:val="23"/>
        </w:rPr>
        <w:t xml:space="preserve">musí vycvičit ke značné citlivosti. </w:t>
      </w:r>
      <w:r w:rsidRPr="00D35D42">
        <w:rPr>
          <w:rFonts w:cs="Times New Roman"/>
          <w:color w:val="000000"/>
          <w:sz w:val="23"/>
          <w:szCs w:val="23"/>
        </w:rPr>
        <w:t xml:space="preserve">Sluchově získávané informace nevidomí preferují, protože nejsou tak náročné na procesy analýzy a syntézy, jako vlastní smyslová zkušenost. </w:t>
      </w:r>
    </w:p>
    <w:p w14:paraId="4BA3D0B5" w14:textId="77777777" w:rsidR="00171BC1" w:rsidRPr="00D35D42" w:rsidRDefault="00171BC1" w:rsidP="00171BC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</w:p>
    <w:p w14:paraId="668A931B" w14:textId="77777777" w:rsidR="00171BC1" w:rsidRPr="00D35D42" w:rsidRDefault="00171BC1" w:rsidP="00171B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D35D42">
        <w:rPr>
          <w:rFonts w:cs="Times New Roman"/>
          <w:b/>
          <w:bCs/>
          <w:color w:val="000000"/>
          <w:sz w:val="23"/>
          <w:szCs w:val="23"/>
        </w:rPr>
        <w:t xml:space="preserve">Hmat </w:t>
      </w:r>
      <w:r w:rsidRPr="00D35D42">
        <w:rPr>
          <w:rFonts w:cs="Times New Roman"/>
          <w:color w:val="000000"/>
          <w:sz w:val="23"/>
          <w:szCs w:val="23"/>
        </w:rPr>
        <w:t xml:space="preserve">se stává spolu se hlavním zdrojem přísunu podnětů. Je kvalitativně odlišný, proto přísun podnětů není tak bezprostřední a snadný. Hmat však omezuje člověka na tzv. </w:t>
      </w:r>
      <w:r w:rsidRPr="00D35D42">
        <w:rPr>
          <w:rFonts w:cs="Times New Roman"/>
          <w:b/>
          <w:bCs/>
          <w:color w:val="000000"/>
          <w:sz w:val="23"/>
          <w:szCs w:val="23"/>
        </w:rPr>
        <w:t xml:space="preserve">haptický prostor </w:t>
      </w:r>
      <w:r w:rsidRPr="00D35D42">
        <w:rPr>
          <w:rFonts w:cs="Times New Roman"/>
          <w:color w:val="000000"/>
          <w:sz w:val="23"/>
          <w:szCs w:val="23"/>
        </w:rPr>
        <w:t xml:space="preserve">tj. oblast, kam dosáhne. Sluchem rozlišují slabozrací a nevidomí odstíny hlasů různých lidí a hlas je jim charakteristikou pro sympatie a nesympatie, slouží k orientaci ve známém i méně známém terénu a sluchová signalizace je uplatněna i ve speciálních pomůckách (hole, PC). </w:t>
      </w:r>
    </w:p>
    <w:p w14:paraId="1D95A3BB" w14:textId="77777777" w:rsidR="00171BC1" w:rsidRPr="00D35D42" w:rsidRDefault="00171BC1" w:rsidP="00171B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D35D42">
        <w:rPr>
          <w:rFonts w:cs="Times New Roman"/>
          <w:b/>
          <w:bCs/>
          <w:sz w:val="23"/>
          <w:szCs w:val="23"/>
        </w:rPr>
        <w:t xml:space="preserve">Čich </w:t>
      </w:r>
      <w:r w:rsidRPr="00D35D42">
        <w:rPr>
          <w:rFonts w:cs="Times New Roman"/>
          <w:sz w:val="23"/>
          <w:szCs w:val="23"/>
        </w:rPr>
        <w:t xml:space="preserve">přispívá k jemnější diferenciaci lidí, krajin, ročních období. </w:t>
      </w:r>
    </w:p>
    <w:p w14:paraId="10B707B7" w14:textId="77777777" w:rsidR="00171BC1" w:rsidRPr="00D35D42" w:rsidRDefault="00171BC1" w:rsidP="00171BC1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14:paraId="58AFB598" w14:textId="77777777" w:rsidR="00171BC1" w:rsidRPr="00D35D42" w:rsidRDefault="00171BC1" w:rsidP="00171BC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35D42">
        <w:rPr>
          <w:rFonts w:cs="Times New Roman"/>
          <w:b/>
          <w:bCs/>
          <w:sz w:val="23"/>
          <w:szCs w:val="23"/>
        </w:rPr>
        <w:t xml:space="preserve">Rozvoj myšlení je spojen s rozvojem řeči ve větší míře, než u zdravých. </w:t>
      </w:r>
      <w:r w:rsidRPr="00D35D42">
        <w:rPr>
          <w:rFonts w:cs="Times New Roman"/>
          <w:sz w:val="23"/>
          <w:szCs w:val="23"/>
        </w:rPr>
        <w:t xml:space="preserve">Kromě komunikační funkce je to jeden z kompenzačních mechanismů omezeného zrakového vnímání. Komunikace umožňuje poznávat a díky ní netrpí úroveň verbální inteligence. Ta není na smyslové vnímání vázána. </w:t>
      </w:r>
      <w:r w:rsidRPr="00D35D42">
        <w:rPr>
          <w:rFonts w:cs="Times New Roman"/>
          <w:b/>
          <w:bCs/>
          <w:sz w:val="23"/>
          <w:szCs w:val="23"/>
        </w:rPr>
        <w:t xml:space="preserve">Verbalismus </w:t>
      </w:r>
      <w:r w:rsidRPr="00D35D42">
        <w:rPr>
          <w:rFonts w:cs="Times New Roman"/>
          <w:sz w:val="23"/>
          <w:szCs w:val="23"/>
        </w:rPr>
        <w:t xml:space="preserve">je tendence učit se všemu na verbální úrovni, i když nechápeme obsah pojmů, se kterými operujeme. </w:t>
      </w:r>
    </w:p>
    <w:p w14:paraId="29D264B7" w14:textId="77777777" w:rsidR="00171BC1" w:rsidRPr="00D35D42" w:rsidRDefault="00171BC1" w:rsidP="00171BC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35D42">
        <w:rPr>
          <w:rFonts w:cs="Times New Roman"/>
          <w:b/>
          <w:bCs/>
          <w:sz w:val="23"/>
          <w:szCs w:val="23"/>
        </w:rPr>
        <w:t xml:space="preserve">Důležitá je sluchová paměť. </w:t>
      </w:r>
      <w:r w:rsidRPr="00D35D42">
        <w:rPr>
          <w:rFonts w:cs="Times New Roman"/>
          <w:sz w:val="23"/>
          <w:szCs w:val="23"/>
        </w:rPr>
        <w:t xml:space="preserve">Ta se rozvíjí mnohem lépe než u zdravých, protože přístup k informacím je ztížen, Stejně tak funguje i hmatová paměť, jíž zdraví lidé prakticky nevyužívají. </w:t>
      </w:r>
    </w:p>
    <w:p w14:paraId="076E772F" w14:textId="77777777" w:rsidR="00171BC1" w:rsidRPr="00D35D42" w:rsidRDefault="00171BC1" w:rsidP="00171B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</w:p>
    <w:p w14:paraId="33DEEA1E" w14:textId="77777777" w:rsidR="00171BC1" w:rsidRPr="00D35D42" w:rsidRDefault="00171BC1" w:rsidP="00171B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35D42">
        <w:rPr>
          <w:rFonts w:cs="Times New Roman"/>
          <w:b/>
          <w:bCs/>
          <w:sz w:val="23"/>
          <w:szCs w:val="23"/>
        </w:rPr>
        <w:t xml:space="preserve">Socializace: </w:t>
      </w:r>
    </w:p>
    <w:p w14:paraId="09C8428A" w14:textId="77777777" w:rsidR="00171BC1" w:rsidRPr="00D35D42" w:rsidRDefault="00171BC1" w:rsidP="00171B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35D42">
        <w:rPr>
          <w:rFonts w:cs="Times New Roman"/>
          <w:sz w:val="23"/>
          <w:szCs w:val="23"/>
        </w:rPr>
        <w:t xml:space="preserve">Je závažnějším zrakovým postižením značně ztížena, protože omezuje možnost </w:t>
      </w:r>
      <w:r w:rsidRPr="00D35D42">
        <w:rPr>
          <w:rFonts w:cs="Times New Roman"/>
          <w:b/>
          <w:bCs/>
          <w:sz w:val="23"/>
          <w:szCs w:val="23"/>
        </w:rPr>
        <w:t xml:space="preserve">získat potřebné sociální zkušenosti a naučit se přiměřeně reagovat v odlišných nebo blízkých </w:t>
      </w:r>
      <w:r w:rsidRPr="00D35D42">
        <w:rPr>
          <w:rFonts w:cs="Times New Roman"/>
          <w:sz w:val="23"/>
          <w:szCs w:val="23"/>
        </w:rPr>
        <w:t xml:space="preserve">situacích. </w:t>
      </w:r>
    </w:p>
    <w:p w14:paraId="62AD601A" w14:textId="77777777" w:rsidR="00171BC1" w:rsidRPr="00D35D42" w:rsidRDefault="00171BC1" w:rsidP="00171B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35D42">
        <w:rPr>
          <w:rFonts w:cs="Times New Roman"/>
          <w:sz w:val="23"/>
          <w:szCs w:val="23"/>
        </w:rPr>
        <w:t xml:space="preserve"> Nevidomí mají problémy s </w:t>
      </w:r>
      <w:r w:rsidRPr="00D35D42">
        <w:rPr>
          <w:rFonts w:cs="Times New Roman"/>
          <w:b/>
          <w:bCs/>
          <w:sz w:val="23"/>
          <w:szCs w:val="23"/>
        </w:rPr>
        <w:t xml:space="preserve">neverbální komunikací, protože jim nejsou přístupny neverbální projevy vidícího partnera, </w:t>
      </w:r>
      <w:r w:rsidRPr="00D35D42">
        <w:rPr>
          <w:rFonts w:cs="Times New Roman"/>
          <w:sz w:val="23"/>
          <w:szCs w:val="23"/>
        </w:rPr>
        <w:t xml:space="preserve">a tak mu unikají některé významy verbálního projevu. </w:t>
      </w:r>
    </w:p>
    <w:p w14:paraId="304CB996" w14:textId="77777777" w:rsidR="00171BC1" w:rsidRPr="00D35D42" w:rsidRDefault="00171BC1" w:rsidP="00171B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35D42">
        <w:rPr>
          <w:rFonts w:cs="Times New Roman"/>
          <w:sz w:val="23"/>
          <w:szCs w:val="23"/>
        </w:rPr>
        <w:t xml:space="preserve">Vlivem nedostatečných zkušeností nemají dostatečnou schopnost diferenciace situací a tím i </w:t>
      </w:r>
      <w:r w:rsidRPr="00D35D42">
        <w:rPr>
          <w:rFonts w:cs="Times New Roman"/>
          <w:b/>
          <w:bCs/>
          <w:sz w:val="23"/>
          <w:szCs w:val="23"/>
        </w:rPr>
        <w:t xml:space="preserve">sociálního </w:t>
      </w:r>
      <w:r>
        <w:rPr>
          <w:rFonts w:cs="Times New Roman"/>
          <w:b/>
          <w:bCs/>
          <w:sz w:val="23"/>
          <w:szCs w:val="23"/>
        </w:rPr>
        <w:t>pochopení</w:t>
      </w:r>
      <w:r w:rsidRPr="00D35D42">
        <w:rPr>
          <w:rFonts w:cs="Times New Roman"/>
          <w:sz w:val="23"/>
          <w:szCs w:val="23"/>
        </w:rPr>
        <w:t xml:space="preserve">. </w:t>
      </w:r>
    </w:p>
    <w:p w14:paraId="0A7877CD" w14:textId="77777777" w:rsidR="00171BC1" w:rsidRPr="00D35D42" w:rsidRDefault="00171BC1" w:rsidP="00171B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35D42">
        <w:rPr>
          <w:rFonts w:cs="Times New Roman"/>
          <w:sz w:val="23"/>
          <w:szCs w:val="23"/>
        </w:rPr>
        <w:t xml:space="preserve">Jsou ochuzeni o </w:t>
      </w:r>
      <w:r w:rsidRPr="00D35D42">
        <w:rPr>
          <w:rFonts w:cs="Times New Roman"/>
          <w:b/>
          <w:bCs/>
          <w:sz w:val="23"/>
          <w:szCs w:val="23"/>
        </w:rPr>
        <w:t>učení nápodobou</w:t>
      </w:r>
      <w:r w:rsidRPr="00D35D42">
        <w:rPr>
          <w:rFonts w:cs="Times New Roman"/>
          <w:sz w:val="23"/>
          <w:szCs w:val="23"/>
        </w:rPr>
        <w:t xml:space="preserve">, které je hlavní zdrojem sociální zkušenosti vidících. </w:t>
      </w:r>
    </w:p>
    <w:p w14:paraId="4A98B1D0" w14:textId="77777777" w:rsidR="00171BC1" w:rsidRDefault="00171BC1" w:rsidP="00171BC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35D42">
        <w:rPr>
          <w:rFonts w:cs="Times New Roman"/>
          <w:sz w:val="23"/>
          <w:szCs w:val="23"/>
        </w:rPr>
        <w:t xml:space="preserve">Mají obtíže s </w:t>
      </w:r>
      <w:r w:rsidRPr="00D35D42">
        <w:rPr>
          <w:rFonts w:cs="Times New Roman"/>
          <w:b/>
          <w:bCs/>
          <w:sz w:val="23"/>
          <w:szCs w:val="23"/>
        </w:rPr>
        <w:t xml:space="preserve">orientací v neznámém prostředí, </w:t>
      </w:r>
      <w:r w:rsidRPr="00D35D42">
        <w:rPr>
          <w:rFonts w:cs="Times New Roman"/>
          <w:sz w:val="23"/>
          <w:szCs w:val="23"/>
        </w:rPr>
        <w:t xml:space="preserve">což vede k posílení závislosti na okolí. </w:t>
      </w:r>
    </w:p>
    <w:p w14:paraId="5EEA5732" w14:textId="77777777" w:rsidR="00171BC1" w:rsidRDefault="00171BC1" w:rsidP="00171B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</w:p>
    <w:p w14:paraId="5F2002D0" w14:textId="77777777" w:rsidR="00171BC1" w:rsidRPr="003E6949" w:rsidRDefault="00171BC1" w:rsidP="00171BC1">
      <w:pPr>
        <w:pStyle w:val="Nadpis2"/>
      </w:pPr>
      <w:bookmarkStart w:id="4" w:name="_Toc66692415"/>
      <w:r w:rsidRPr="003E6949">
        <w:t>Postižení sluchu</w:t>
      </w:r>
      <w:bookmarkEnd w:id="4"/>
      <w:r w:rsidRPr="003E6949">
        <w:t xml:space="preserve"> </w:t>
      </w:r>
    </w:p>
    <w:p w14:paraId="6A18C3BF" w14:textId="77777777" w:rsidR="00171BC1" w:rsidRDefault="00171BC1" w:rsidP="00171B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 w:rsidRPr="003E6949">
        <w:rPr>
          <w:rFonts w:cs="Times New Roman"/>
          <w:color w:val="000000"/>
          <w:sz w:val="23"/>
          <w:szCs w:val="23"/>
        </w:rPr>
        <w:t>Sluchové postižení se vyskytuje v různém stupni od úplné hluchoty až k nedoslýchavosti různého stupně. Stejně jako u poruch zraku, i u sluchového postižení je úplná hluchota spíše výjimkou. Ve smyslu společenském je lehká nedoslýchavost větším handicapem, než úplná hluchota. Lidé, kteří začínají nedoslýchat</w:t>
      </w:r>
      <w:r>
        <w:rPr>
          <w:rFonts w:cs="Times New Roman"/>
          <w:color w:val="000000"/>
          <w:sz w:val="23"/>
          <w:szCs w:val="23"/>
        </w:rPr>
        <w:t>,</w:t>
      </w:r>
      <w:r w:rsidRPr="003E6949">
        <w:rPr>
          <w:rFonts w:cs="Times New Roman"/>
          <w:color w:val="000000"/>
          <w:sz w:val="23"/>
          <w:szCs w:val="23"/>
        </w:rPr>
        <w:t xml:space="preserve"> si často stěžují, že na ně lidé nemluví dost srozumitelně. Hlavní problém mají ve společnosti, kde hovoří více lidí najednou a v obchodech. Mohou se zcela sociálně izolovat.</w:t>
      </w:r>
    </w:p>
    <w:p w14:paraId="531A5C97" w14:textId="77777777" w:rsidR="00171BC1" w:rsidRDefault="00171BC1" w:rsidP="00171B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</w:p>
    <w:p w14:paraId="355EDD68" w14:textId="77777777" w:rsidR="00171BC1" w:rsidRPr="003E6949" w:rsidRDefault="00171BC1" w:rsidP="00171B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 w:rsidRPr="003E6949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Stupeň sluchového postižení </w:t>
      </w:r>
    </w:p>
    <w:p w14:paraId="13609C60" w14:textId="77777777" w:rsidR="00171BC1" w:rsidRPr="003E6949" w:rsidRDefault="00171BC1" w:rsidP="00171B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 w:rsidRPr="003E6949">
        <w:rPr>
          <w:rFonts w:cs="Times New Roman"/>
          <w:color w:val="000000"/>
          <w:sz w:val="23"/>
          <w:szCs w:val="23"/>
        </w:rPr>
        <w:t xml:space="preserve">Stanovení stupně sluchového postižení je důležité pro další výchovnu a vývoj nedoslýchavého nebo neslyšícího. </w:t>
      </w:r>
    </w:p>
    <w:p w14:paraId="7C5BCE30" w14:textId="77777777" w:rsidR="00171BC1" w:rsidRPr="003E6949" w:rsidRDefault="00171BC1" w:rsidP="00171BC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 w:rsidRPr="003E6949">
        <w:rPr>
          <w:rFonts w:cs="Times New Roman"/>
          <w:color w:val="000000"/>
          <w:sz w:val="23"/>
          <w:szCs w:val="23"/>
        </w:rPr>
        <w:t xml:space="preserve">a) </w:t>
      </w:r>
      <w:r w:rsidRPr="003E6949">
        <w:rPr>
          <w:rFonts w:cs="Times New Roman"/>
          <w:b/>
          <w:bCs/>
          <w:color w:val="000000"/>
          <w:sz w:val="23"/>
          <w:szCs w:val="23"/>
        </w:rPr>
        <w:t xml:space="preserve">Hluchota </w:t>
      </w:r>
      <w:r w:rsidRPr="003E6949">
        <w:rPr>
          <w:rFonts w:cs="Times New Roman"/>
          <w:color w:val="000000"/>
          <w:sz w:val="23"/>
          <w:szCs w:val="23"/>
        </w:rPr>
        <w:t xml:space="preserve">je ztráta sluchu větší než 110 dB. Lidé s tímto postižením nejsou schopni vnímat řeč. </w:t>
      </w:r>
    </w:p>
    <w:p w14:paraId="6901F3EE" w14:textId="77777777" w:rsidR="00171BC1" w:rsidRPr="003E6949" w:rsidRDefault="00171BC1" w:rsidP="00171BC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 w:rsidRPr="003E6949">
        <w:rPr>
          <w:rFonts w:cs="Times New Roman"/>
          <w:color w:val="000000"/>
          <w:sz w:val="23"/>
          <w:szCs w:val="23"/>
        </w:rPr>
        <w:t xml:space="preserve">b) </w:t>
      </w:r>
      <w:r w:rsidRPr="003E6949">
        <w:rPr>
          <w:rFonts w:cs="Times New Roman"/>
          <w:b/>
          <w:bCs/>
          <w:color w:val="000000"/>
          <w:sz w:val="23"/>
          <w:szCs w:val="23"/>
        </w:rPr>
        <w:t xml:space="preserve">Zbytky sluchu, </w:t>
      </w:r>
      <w:r w:rsidRPr="003E6949">
        <w:rPr>
          <w:rFonts w:cs="Times New Roman"/>
          <w:color w:val="000000"/>
          <w:sz w:val="23"/>
          <w:szCs w:val="23"/>
        </w:rPr>
        <w:t xml:space="preserve">u nichž tvoří sluchová ztráta více než 91 dB. Nemohou vnímat řeč ani jiné zvuky dobře ani s pomocí sluchadla. Slyší ledacos, ale neumí to interpretovat, nerozumí jim a nediferencují je. To nestačí k rozvoji řeči, zejména u vrozených postižení. </w:t>
      </w:r>
    </w:p>
    <w:p w14:paraId="0AF7F244" w14:textId="77777777" w:rsidR="00171BC1" w:rsidRPr="003E6949" w:rsidRDefault="00171BC1" w:rsidP="00171BC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 w:rsidRPr="003E6949">
        <w:rPr>
          <w:rFonts w:cs="Times New Roman"/>
          <w:color w:val="000000"/>
          <w:sz w:val="23"/>
          <w:szCs w:val="23"/>
        </w:rPr>
        <w:t xml:space="preserve">c) </w:t>
      </w:r>
      <w:r w:rsidRPr="003E6949">
        <w:rPr>
          <w:rFonts w:cs="Times New Roman"/>
          <w:b/>
          <w:bCs/>
          <w:color w:val="000000"/>
          <w:sz w:val="23"/>
          <w:szCs w:val="23"/>
        </w:rPr>
        <w:t xml:space="preserve">Těžkou nedoslýchavostí </w:t>
      </w:r>
      <w:r w:rsidRPr="003E6949">
        <w:rPr>
          <w:rFonts w:cs="Times New Roman"/>
          <w:color w:val="000000"/>
          <w:sz w:val="23"/>
          <w:szCs w:val="23"/>
        </w:rPr>
        <w:t xml:space="preserve">označujeme poruchu sluchu v rozmezí 71-90dB. Těmto lidem lze pomoci kvalitní sluchadly a jejich pomocí vnímají řeč běžným způsobem. Hranic pro bezproblémové osvojení řeči je sluch v pásmu středně těžké nedoslýchavosti, tj. 56-70 dB. </w:t>
      </w:r>
    </w:p>
    <w:p w14:paraId="6515D765" w14:textId="77777777" w:rsidR="00171BC1" w:rsidRDefault="00171BC1" w:rsidP="00171B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Typy dorozumívání:</w:t>
      </w:r>
    </w:p>
    <w:p w14:paraId="11F51C7B" w14:textId="77777777" w:rsidR="00171BC1" w:rsidRDefault="00171BC1" w:rsidP="00171BC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odezírání</w:t>
      </w:r>
    </w:p>
    <w:p w14:paraId="0352458C" w14:textId="77777777" w:rsidR="00171BC1" w:rsidRDefault="00171BC1" w:rsidP="00171BC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znakový jazyk, znakovaná čeština</w:t>
      </w:r>
    </w:p>
    <w:p w14:paraId="0642BB71" w14:textId="77777777" w:rsidR="00171BC1" w:rsidRPr="003E6949" w:rsidRDefault="00171BC1" w:rsidP="00171BC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prstová abeceda</w:t>
      </w:r>
    </w:p>
    <w:p w14:paraId="2CE69852" w14:textId="77777777" w:rsidR="00171BC1" w:rsidRPr="00F02B8D" w:rsidRDefault="00171BC1" w:rsidP="00171BC1">
      <w:pPr>
        <w:pStyle w:val="Tlotextu"/>
      </w:pPr>
    </w:p>
    <w:p w14:paraId="15453359" w14:textId="0D491CFF" w:rsidR="00CF098A" w:rsidRDefault="00B75879" w:rsidP="00D77F81">
      <w:pPr>
        <w:pStyle w:val="Nadpis1"/>
      </w:pPr>
      <w:bookmarkStart w:id="5" w:name="_Toc66692416"/>
      <w:r>
        <w:t>Pedagogicko didaktické poznámky</w:t>
      </w:r>
      <w:bookmarkEnd w:id="5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B700" w14:textId="77777777" w:rsidR="00A205CC" w:rsidRDefault="00A205CC" w:rsidP="00A205CC">
      <w:pPr>
        <w:pStyle w:val="Tlotextu"/>
      </w:pPr>
      <w:r w:rsidRPr="00171BC1">
        <w:t xml:space="preserve">Obor: </w:t>
      </w:r>
      <w:r>
        <w:t>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17AD5FC8" w14:textId="0D3FC1DE" w:rsidR="00A205CC" w:rsidRDefault="00A205CC" w:rsidP="00A205CC">
      <w:pPr>
        <w:pStyle w:val="Tlotextu"/>
      </w:pPr>
      <w:r>
        <w:t xml:space="preserve">Cílem je získat znalosti o </w:t>
      </w:r>
      <w:r w:rsidR="00846317">
        <w:t>problematice života handicapovaných jedinců, pochopit  specifiku komunikace a umět ji využít v praktické komunikaci.</w:t>
      </w:r>
      <w:r>
        <w:t xml:space="preserve"> Jako cílené metody jsou použity modelové situace, komentované ukázky</w:t>
      </w:r>
      <w:r w:rsidR="00846317">
        <w:t>, nácviky základních prvků komunikace</w:t>
      </w:r>
      <w:r>
        <w:t>.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3115F45A" w:rsidR="00FF177A" w:rsidRDefault="00846317" w:rsidP="00FF177A">
      <w:pPr>
        <w:pStyle w:val="Tlotextu"/>
      </w:pPr>
      <w:r>
        <w:t>Jaký je rozdíl v socializaci jedinců se zrakovým a sluchovým handicapem? Proč nelze u neslyšících použít při edukaci písemný text – pokud je to možné, tak u kterých jedinců?</w:t>
      </w:r>
    </w:p>
    <w:p w14:paraId="62BD1ED3" w14:textId="2CA3825C" w:rsidR="00CF098A" w:rsidRDefault="00CF098A" w:rsidP="00CF098A">
      <w:pPr>
        <w:pStyle w:val="parUkonceniPrvku"/>
      </w:pPr>
    </w:p>
    <w:p w14:paraId="6A9E4480" w14:textId="77777777" w:rsidR="00171BC1" w:rsidRPr="004B005B" w:rsidRDefault="00171BC1" w:rsidP="00171BC1">
      <w:pPr>
        <w:pStyle w:val="parNadpisPrvkuModry"/>
      </w:pPr>
      <w:r w:rsidRPr="004B005B">
        <w:t>Kontrolní otázka</w:t>
      </w:r>
    </w:p>
    <w:p w14:paraId="54B6C328" w14:textId="77777777" w:rsidR="00171BC1" w:rsidRDefault="00171BC1" w:rsidP="00171BC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CB863C1" wp14:editId="08D7B84F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9BB83" w14:textId="4FF368FD" w:rsidR="00171BC1" w:rsidRDefault="00171BC1" w:rsidP="00171BC1">
      <w:pPr>
        <w:pStyle w:val="Tlotextu"/>
      </w:pPr>
      <w:r w:rsidRPr="00171BC1">
        <w:t>Jaké znáte specifické komunikační styly u uvedených handicapů?</w:t>
      </w:r>
    </w:p>
    <w:p w14:paraId="2D4B4C3C" w14:textId="77777777" w:rsidR="00171BC1" w:rsidRDefault="00171BC1" w:rsidP="00171BC1">
      <w:pPr>
        <w:pStyle w:val="parUkonceniPrvku"/>
      </w:pPr>
    </w:p>
    <w:p w14:paraId="7C0633F6" w14:textId="77777777" w:rsidR="00171BC1" w:rsidRPr="004B005B" w:rsidRDefault="00171BC1" w:rsidP="00171BC1">
      <w:pPr>
        <w:pStyle w:val="parNadpisPrvkuModry"/>
      </w:pPr>
      <w:r w:rsidRPr="004B005B">
        <w:t>Samostatný úkol</w:t>
      </w:r>
    </w:p>
    <w:p w14:paraId="150465FF" w14:textId="77777777" w:rsidR="00171BC1" w:rsidRDefault="00171BC1" w:rsidP="00171BC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65CEE21" wp14:editId="16284341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20A17" w14:textId="7D47A5D6" w:rsidR="00171BC1" w:rsidRDefault="00171BC1" w:rsidP="00171BC1">
      <w:pPr>
        <w:pStyle w:val="Tlotextu"/>
      </w:pPr>
      <w:r w:rsidRPr="00171BC1">
        <w:t>Jak byste řešil/la komunikaci při prvním setkání. Čeho je nutné se vyvarovat? Popište v bodech možné strategie. Vypracujte vzorovou modulovou situaci – např. Neslyšící paci-</w:t>
      </w:r>
      <w:proofErr w:type="spellStart"/>
      <w:r w:rsidRPr="00171BC1">
        <w:t>ent</w:t>
      </w:r>
      <w:proofErr w:type="spellEnd"/>
      <w:r w:rsidRPr="00171BC1">
        <w:t xml:space="preserve"> přichází k ošetření na akutní příjmovou ambulanci bez doprovodu.</w:t>
      </w:r>
    </w:p>
    <w:p w14:paraId="1D29C450" w14:textId="77777777" w:rsidR="00171BC1" w:rsidRDefault="00171BC1" w:rsidP="00171BC1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516B65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6" w:name="_Toc66692417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6" w:displacedByCustomXml="prev"/>
    <w:p w14:paraId="3D699925" w14:textId="77777777" w:rsidR="00560F68" w:rsidRDefault="00560F68" w:rsidP="00560F68">
      <w:pPr>
        <w:jc w:val="both"/>
      </w:pPr>
      <w:r>
        <w:t xml:space="preserve">ANTAI-OTONG,D. </w:t>
      </w:r>
      <w:proofErr w:type="spellStart"/>
      <w:r>
        <w:rPr>
          <w:i/>
        </w:rPr>
        <w:t>Nurse-Client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Burrlington</w:t>
      </w:r>
      <w:proofErr w:type="spellEnd"/>
      <w:r>
        <w:rPr>
          <w:i/>
        </w:rPr>
        <w:t>: Jones-</w:t>
      </w:r>
      <w:proofErr w:type="spellStart"/>
      <w:r>
        <w:rPr>
          <w:i/>
        </w:rPr>
        <w:t>Barlett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t>, 2007. 251 s. ISBN 978-076-3735-883.</w:t>
      </w:r>
    </w:p>
    <w:p w14:paraId="17250513" w14:textId="77777777" w:rsidR="00560F68" w:rsidRDefault="00560F68" w:rsidP="00560F68">
      <w:pPr>
        <w:jc w:val="both"/>
      </w:pPr>
      <w:r>
        <w:t xml:space="preserve">JANÁČKOVÁ, L., WEISS, P.: </w:t>
      </w:r>
      <w:r>
        <w:rPr>
          <w:i/>
        </w:rPr>
        <w:t>Komunikace ve zdravotnictví</w:t>
      </w:r>
      <w:r>
        <w:t>. Portál, Praha 2008.</w:t>
      </w:r>
    </w:p>
    <w:p w14:paraId="02405B36" w14:textId="77777777" w:rsidR="00560F68" w:rsidRDefault="00560F68" w:rsidP="00560F68">
      <w:pPr>
        <w:autoSpaceDE w:val="0"/>
        <w:autoSpaceDN w:val="0"/>
        <w:adjustRightInd w:val="0"/>
      </w:pPr>
      <w:r>
        <w:t xml:space="preserve">POKORNÁ, A. </w:t>
      </w:r>
      <w:r>
        <w:rPr>
          <w:i/>
          <w:iCs/>
        </w:rPr>
        <w:t>Komunikace se seniory</w:t>
      </w:r>
      <w:r>
        <w:t xml:space="preserve">. 1. vyd. Praha: </w:t>
      </w:r>
      <w:proofErr w:type="spellStart"/>
      <w:r>
        <w:t>Grada</w:t>
      </w:r>
      <w:proofErr w:type="spellEnd"/>
      <w:r>
        <w:t>, 2010. ISBN 978-80-247-3271-8.</w:t>
      </w:r>
    </w:p>
    <w:p w14:paraId="79F7C7A8" w14:textId="77777777" w:rsidR="00560F68" w:rsidRDefault="00560F68" w:rsidP="00560F68">
      <w:pPr>
        <w:spacing w:after="0" w:line="240" w:lineRule="auto"/>
        <w:jc w:val="both"/>
      </w:pPr>
      <w:r>
        <w:t xml:space="preserve">POKORNÁ, A. </w:t>
      </w:r>
      <w:r>
        <w:rPr>
          <w:i/>
        </w:rPr>
        <w:t>Efektivní komunikační techniky v ošetřovatelství</w:t>
      </w:r>
      <w:r>
        <w:t xml:space="preserve">. Brno: NCO NZO, 2010. ISBN 978-80-7013-524-2. </w:t>
      </w:r>
    </w:p>
    <w:p w14:paraId="31B37C35" w14:textId="77777777" w:rsidR="00560F68" w:rsidRDefault="00560F68" w:rsidP="00560F68">
      <w:pPr>
        <w:autoSpaceDE w:val="0"/>
        <w:autoSpaceDN w:val="0"/>
        <w:adjustRightInd w:val="0"/>
      </w:pPr>
    </w:p>
    <w:p w14:paraId="4DB0D7B1" w14:textId="77777777" w:rsidR="00560F68" w:rsidRDefault="00560F68" w:rsidP="00560F68">
      <w:pPr>
        <w:jc w:val="both"/>
        <w:rPr>
          <w:rFonts w:cs="Times New Roman"/>
        </w:rPr>
      </w:pPr>
      <w:r>
        <w:t xml:space="preserve">TOMANOVÁ, Š., KŘIVKOVÁ, J.  Komunikace s pacientem v intenzivní péči. </w:t>
      </w:r>
      <w:r>
        <w:rPr>
          <w:rFonts w:cs="Times New Roman"/>
        </w:rPr>
        <w:t xml:space="preserve">1. vyd. Praha: </w:t>
      </w:r>
      <w:proofErr w:type="spellStart"/>
      <w:r>
        <w:rPr>
          <w:rFonts w:cs="Times New Roman"/>
        </w:rPr>
        <w:t>Grada</w:t>
      </w:r>
      <w:proofErr w:type="spellEnd"/>
      <w:r>
        <w:rPr>
          <w:rFonts w:cs="Times New Roman"/>
        </w:rPr>
        <w:t>, 2016. ISBN 978-80-271-0064-4.</w:t>
      </w:r>
    </w:p>
    <w:p w14:paraId="144F845C" w14:textId="77777777" w:rsidR="00560F68" w:rsidRDefault="00560F68" w:rsidP="00560F68">
      <w:pPr>
        <w:jc w:val="both"/>
        <w:rPr>
          <w:rFonts w:cs="Times New Roman"/>
        </w:rPr>
      </w:pPr>
      <w:r>
        <w:t xml:space="preserve">ŠPAČKOVÁ, A. Umění dialogu: Jak si s lidmi opravdu porozumět. Praha: </w:t>
      </w:r>
      <w:proofErr w:type="spellStart"/>
      <w:r>
        <w:t>Grada</w:t>
      </w:r>
      <w:proofErr w:type="spellEnd"/>
      <w:r>
        <w:t xml:space="preserve"> 2011. 200s. ISBN 978-80-247-3810-9</w:t>
      </w:r>
    </w:p>
    <w:p w14:paraId="499575D8" w14:textId="77777777" w:rsidR="00560F68" w:rsidRDefault="00560F68" w:rsidP="00560F68">
      <w:pPr>
        <w:jc w:val="both"/>
      </w:pPr>
      <w:r>
        <w:t xml:space="preserve">ŠPATÉNKOVÁ, N. KRÁLOVÁ, J. </w:t>
      </w:r>
      <w:r>
        <w:rPr>
          <w:i/>
        </w:rPr>
        <w:t>Základní otázky komunikace: komunikace (nejen) pro sestry</w:t>
      </w:r>
      <w:r>
        <w:t>. Praha, 2009.135. ISBN 978-80-7262-599-4.</w:t>
      </w:r>
    </w:p>
    <w:p w14:paraId="05D6B0B2" w14:textId="77777777" w:rsidR="00560F68" w:rsidRDefault="00560F68" w:rsidP="00560F68">
      <w:pPr>
        <w:autoSpaceDE w:val="0"/>
        <w:autoSpaceDN w:val="0"/>
        <w:adjustRightInd w:val="0"/>
      </w:pPr>
      <w:r>
        <w:rPr>
          <w:rFonts w:eastAsia="Calibri"/>
        </w:rPr>
        <w:t>VÁGNEROVÁ, M. Vývojová psychologie. Praha: Portál, 2000,521s. ISSN 80-7178-308-0.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7" w:name="_Toc66692418"/>
      <w:r w:rsidRPr="004E2697">
        <w:t>Přehled dostupných ikon</w:t>
      </w:r>
      <w:bookmarkEnd w:id="7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8" w:name="frmCas" w:colFirst="0" w:colLast="0"/>
            <w:bookmarkStart w:id="9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0" w:name="frmKlicovaSlova" w:colFirst="0" w:colLast="0"/>
            <w:bookmarkStart w:id="11" w:name="frmOdpocinek" w:colFirst="2" w:colLast="2"/>
            <w:bookmarkEnd w:id="8"/>
            <w:bookmarkEnd w:id="9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2" w:name="frmPruvodceStudiem" w:colFirst="0" w:colLast="0"/>
            <w:bookmarkStart w:id="13" w:name="frmPruvodceTextem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4" w:name="frmRychlyNahled" w:colFirst="0" w:colLast="0"/>
            <w:bookmarkStart w:id="15" w:name="frmShrnuti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6" w:name="frmTutorialy" w:colFirst="0" w:colLast="0"/>
            <w:bookmarkStart w:id="17" w:name="frmDefinice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8" w:name="frmKZapamatovani" w:colFirst="0" w:colLast="0"/>
            <w:bookmarkStart w:id="19" w:name="frmPripadovaStudi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0" w:name="frmResenaUloha" w:colFirst="0" w:colLast="0"/>
            <w:bookmarkStart w:id="21" w:name="frmVeta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2" w:name="frmKontrolniOtazka" w:colFirst="0" w:colLast="0"/>
            <w:bookmarkStart w:id="23" w:name="frmKorespondencniUkol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4" w:name="frmOdpovedi" w:colFirst="0" w:colLast="0"/>
            <w:bookmarkStart w:id="25" w:name="frmOtazky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6" w:name="frmSamostatnyUkol" w:colFirst="0" w:colLast="0"/>
            <w:bookmarkStart w:id="27" w:name="frmLiteratura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8" w:name="frmProZajemce" w:colFirst="0" w:colLast="0"/>
            <w:bookmarkStart w:id="29" w:name="frmUkolKZamysleni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8"/>
      <w:bookmarkEnd w:id="29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32C4DF8B" w:rsidR="007C7BE5" w:rsidRDefault="00516B65" w:rsidP="0099718C">
      <w:pPr>
        <w:pStyle w:val="Tlotextu"/>
        <w:ind w:left="2124" w:hanging="2124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412CA">
            <w:rPr>
              <w:b/>
              <w:noProof/>
            </w:rPr>
            <w:t xml:space="preserve">Komunikace ve </w:t>
          </w:r>
          <w:r w:rsidR="006F08E7">
            <w:rPr>
              <w:b/>
              <w:noProof/>
            </w:rPr>
            <w:t xml:space="preserve">zdravotnictví - </w:t>
          </w:r>
          <w:r w:rsidR="0099718C">
            <w:rPr>
              <w:b/>
              <w:noProof/>
            </w:rPr>
            <w:t>Komunikace s pacienty s poruchou sluchu a zraku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516B65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37030BB8" w:rsidR="007C7BE5" w:rsidRDefault="00516B65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10</w:t>
          </w:r>
          <w:r w:rsidR="00DD11C6">
            <w:rPr>
              <w:noProof/>
            </w:rPr>
            <w:fldChar w:fldCharType="end"/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B716" w14:textId="77777777" w:rsidR="00E41E8F" w:rsidRDefault="00E41E8F" w:rsidP="00B60DC8">
      <w:pPr>
        <w:spacing w:after="0" w:line="240" w:lineRule="auto"/>
      </w:pPr>
      <w:r>
        <w:separator/>
      </w:r>
    </w:p>
  </w:endnote>
  <w:endnote w:type="continuationSeparator" w:id="0">
    <w:p w14:paraId="1C7A47BB" w14:textId="77777777" w:rsidR="00E41E8F" w:rsidRDefault="00E41E8F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3DA7196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8C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4248C6BD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65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336F5051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65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2DD75" w14:textId="77777777" w:rsidR="00E41E8F" w:rsidRDefault="00E41E8F" w:rsidP="00B60DC8">
      <w:pPr>
        <w:spacing w:after="0" w:line="240" w:lineRule="auto"/>
      </w:pPr>
      <w:r>
        <w:separator/>
      </w:r>
    </w:p>
  </w:footnote>
  <w:footnote w:type="continuationSeparator" w:id="0">
    <w:p w14:paraId="127407B3" w14:textId="77777777" w:rsidR="00E41E8F" w:rsidRDefault="00E41E8F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0ABC6A89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16B65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16B65">
      <w:rPr>
        <w:i/>
        <w:noProof/>
      </w:rPr>
      <w:t>Komunikace s pacienty s poruchou sluchu a zraku</w:t>
    </w:r>
    <w:r w:rsidR="00516B65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500BC545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9718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9718C">
      <w:rPr>
        <w:i/>
        <w:noProof/>
      </w:rPr>
      <w:t>Komunikace s pacienty s poruchou sluchu a zraku</w:t>
    </w:r>
    <w:r w:rsidR="0099718C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7A94EA08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16B65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16B65">
      <w:rPr>
        <w:i/>
        <w:noProof/>
      </w:rPr>
      <w:t>Komunikace s pacienty s poruchou sluchu a zraku</w:t>
    </w:r>
    <w:r w:rsidR="00516B65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78E329D2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16B65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16B65">
      <w:rPr>
        <w:i/>
        <w:noProof/>
      </w:rPr>
      <w:t>Komunikace s pacienty s poruchou sluchu a zraku</w:t>
    </w:r>
    <w:r w:rsidR="00516B65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217F99D5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16B65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16B65">
      <w:rPr>
        <w:i/>
        <w:noProof/>
      </w:rPr>
      <w:t>Komunikace s pacienty s poruchou sluchu a zraku</w:t>
    </w:r>
    <w:r w:rsidR="00516B65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6FBFB918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16B65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16B65">
      <w:rPr>
        <w:i/>
        <w:noProof/>
      </w:rPr>
      <w:t>Komunikace s pacienty s poruchou sluchu a zraku</w:t>
    </w:r>
    <w:r w:rsidR="00516B65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4E516D"/>
    <w:multiLevelType w:val="hybridMultilevel"/>
    <w:tmpl w:val="B4DC80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1D30E7"/>
    <w:multiLevelType w:val="hybridMultilevel"/>
    <w:tmpl w:val="B640D4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22F81B"/>
    <w:multiLevelType w:val="hybridMultilevel"/>
    <w:tmpl w:val="247EB0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8918CD"/>
    <w:multiLevelType w:val="hybridMultilevel"/>
    <w:tmpl w:val="B2BECB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36622F"/>
    <w:multiLevelType w:val="hybridMultilevel"/>
    <w:tmpl w:val="61FF0F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713017AD"/>
    <w:multiLevelType w:val="hybridMultilevel"/>
    <w:tmpl w:val="9D072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0E3F40"/>
    <w:multiLevelType w:val="hybridMultilevel"/>
    <w:tmpl w:val="AF7B24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BB4D64"/>
    <w:multiLevelType w:val="hybridMultilevel"/>
    <w:tmpl w:val="351A7452"/>
    <w:lvl w:ilvl="0" w:tplc="4B4E42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B0623"/>
    <w:multiLevelType w:val="hybridMultilevel"/>
    <w:tmpl w:val="5F1309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1DDB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1BC1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E6949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16B65"/>
    <w:rsid w:val="0052225D"/>
    <w:rsid w:val="00532BF4"/>
    <w:rsid w:val="00532CD0"/>
    <w:rsid w:val="00541A5F"/>
    <w:rsid w:val="005439F8"/>
    <w:rsid w:val="005442E4"/>
    <w:rsid w:val="00554453"/>
    <w:rsid w:val="00560D56"/>
    <w:rsid w:val="00560F68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3DB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08E7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46317"/>
    <w:rsid w:val="00852FAC"/>
    <w:rsid w:val="00856E96"/>
    <w:rsid w:val="00860D20"/>
    <w:rsid w:val="00862485"/>
    <w:rsid w:val="00863136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9718C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205C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35D42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1E8F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2B8D"/>
    <w:rsid w:val="00F05115"/>
    <w:rsid w:val="00F20786"/>
    <w:rsid w:val="00F27CDE"/>
    <w:rsid w:val="00F34DFF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1E224E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472367c-626d-476f-aaf6-30500715ffb4"/>
    <ds:schemaRef ds:uri="http://purl.org/dc/terms/"/>
    <ds:schemaRef ds:uri="http://schemas.openxmlformats.org/package/2006/metadata/core-properties"/>
    <ds:schemaRef ds:uri="http://purl.org/dc/dcmitype/"/>
    <ds:schemaRef ds:uri="3b9ecc8b-7375-43cc-9aca-6ce3fcbe83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F8FBE-DFA1-479A-B357-78FACBC3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1436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16</cp:revision>
  <cp:lastPrinted>2015-04-15T12:20:00Z</cp:lastPrinted>
  <dcterms:created xsi:type="dcterms:W3CDTF">2019-06-10T12:02:00Z</dcterms:created>
  <dcterms:modified xsi:type="dcterms:W3CDTF">2021-03-15T08:19:00Z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