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3C17BD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704C9CF0" w14:textId="67B42939" w:rsidR="00FF3CC8" w:rsidRDefault="00FF3CC8" w:rsidP="00E50585">
      <w:pPr>
        <w:pStyle w:val="Bezmezer"/>
      </w:pPr>
    </w:p>
    <w:p w14:paraId="059E6FD7" w14:textId="77777777" w:rsidR="00511FEA" w:rsidRDefault="00511FEA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p w14:paraId="153D92CD" w14:textId="5E3E464B" w:rsidR="0041362C" w:rsidRPr="001531DD" w:rsidRDefault="003C17BD" w:rsidP="00B60DC8">
      <w:pPr>
        <w:pStyle w:val="Normlnweb"/>
        <w:spacing w:before="0" w:after="0"/>
        <w:ind w:firstLine="0"/>
        <w:jc w:val="center"/>
        <w:rPr>
          <w:rStyle w:val="Nzevknihy"/>
        </w:rPr>
      </w:pPr>
      <w:sdt>
        <w:sdtPr>
          <w:rPr>
            <w:rStyle w:val="Nzevknihy"/>
          </w:rPr>
          <w:id w:val="1985426447"/>
          <w:lock w:val="sdtLocked"/>
          <w:placeholder>
            <w:docPart w:val="DefaultPlaceholder_1081868574"/>
          </w:placeholder>
        </w:sdtPr>
        <w:sdtEndPr>
          <w:rPr>
            <w:rStyle w:val="Nzevknihy"/>
          </w:rPr>
        </w:sdtEndPr>
        <w:sdtContent>
          <w:r w:rsidR="00511FEA">
            <w:rPr>
              <w:rStyle w:val="Nzevknihy"/>
              <w:sz w:val="52"/>
              <w:szCs w:val="52"/>
            </w:rPr>
            <w:t>První setkání s klientem</w:t>
          </w:r>
        </w:sdtContent>
      </w:sdt>
    </w:p>
    <w:p w14:paraId="7635793F" w14:textId="77777777" w:rsidR="00B60DC8" w:rsidRDefault="00B60DC8" w:rsidP="00E50585">
      <w:pPr>
        <w:pStyle w:val="Bezmezer"/>
      </w:pPr>
    </w:p>
    <w:sdt>
      <w:sdtPr>
        <w:rPr>
          <w:b/>
          <w:bCs/>
          <w:iCs/>
          <w:color w:val="981E3A"/>
          <w:spacing w:val="5"/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3A611269" w:rsidR="00E50585" w:rsidRDefault="00E50585" w:rsidP="00E50585">
      <w:pPr>
        <w:pStyle w:val="Bezmezer"/>
      </w:pPr>
    </w:p>
    <w:p w14:paraId="390C08FB" w14:textId="77777777" w:rsidR="00511FEA" w:rsidRDefault="00511FEA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929A6E6" w:rsidR="00B60DC8" w:rsidRDefault="00511FEA" w:rsidP="00511FEA">
          <w:pPr>
            <w:pStyle w:val="autoi"/>
          </w:pPr>
          <w:r>
            <w:t>Naděžda Špatenková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3C17BD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354DF200" w:rsidR="00F61EE6" w:rsidRDefault="00F61EE6" w:rsidP="00E50585">
      <w:pPr>
        <w:pStyle w:val="Bezmezer"/>
      </w:pPr>
    </w:p>
    <w:p w14:paraId="0A49B921" w14:textId="1D3F9869" w:rsidR="00511FEA" w:rsidRDefault="00511FEA" w:rsidP="00E50585">
      <w:pPr>
        <w:pStyle w:val="Bezmezer"/>
      </w:pPr>
    </w:p>
    <w:p w14:paraId="2BC6B329" w14:textId="716DDDC9" w:rsidR="00511FEA" w:rsidRDefault="00511FEA" w:rsidP="00E50585">
      <w:pPr>
        <w:pStyle w:val="Bezmezer"/>
      </w:pPr>
    </w:p>
    <w:p w14:paraId="1EE2587D" w14:textId="6273679D" w:rsidR="00511FEA" w:rsidRDefault="00511FEA" w:rsidP="00E50585">
      <w:pPr>
        <w:pStyle w:val="Bezmezer"/>
      </w:pPr>
    </w:p>
    <w:p w14:paraId="005AE4E8" w14:textId="1D5A20D0" w:rsidR="00511FEA" w:rsidRDefault="00511FEA" w:rsidP="00E50585">
      <w:pPr>
        <w:pStyle w:val="Bezmezer"/>
      </w:pPr>
    </w:p>
    <w:p w14:paraId="25A98629" w14:textId="77777777" w:rsidR="00511FEA" w:rsidRDefault="00511FEA" w:rsidP="00E50585">
      <w:pPr>
        <w:pStyle w:val="Bezmezer"/>
      </w:pPr>
    </w:p>
    <w:bookmarkStart w:id="0" w:name="_Hlk64361379" w:displacedByCustomXml="next"/>
    <w:sdt>
      <w:sdtPr>
        <w:rPr>
          <w:b/>
          <w:bCs/>
          <w:sz w:val="27"/>
          <w:szCs w:val="27"/>
        </w:rPr>
        <w:id w:val="2130127869"/>
        <w:lock w:val="contentLocked"/>
        <w:placeholder>
          <w:docPart w:val="A9B6912AA2CE45D7A51FBBCF968E7B1C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6556C662" w14:textId="77777777" w:rsidR="00511FEA" w:rsidRDefault="00511FEA" w:rsidP="00511FEA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4D059A35" w14:textId="77777777" w:rsidR="00511FEA" w:rsidRDefault="00511FEA" w:rsidP="00511FEA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550D36F7" wp14:editId="77028409">
                <wp:extent cx="1800000" cy="646697"/>
                <wp:effectExtent l="0" t="0" r="0" b="1270"/>
                <wp:docPr id="15" name="Obráze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F9BFB7" w14:textId="77777777" w:rsidR="00511FEA" w:rsidRDefault="003C17BD" w:rsidP="00511FEA">
          <w:pPr>
            <w:pStyle w:val="Normlnweb"/>
            <w:spacing w:after="0"/>
            <w:jc w:val="center"/>
          </w:pPr>
        </w:p>
      </w:sdtContent>
    </w:sdt>
    <w:p w14:paraId="0A3CAEDE" w14:textId="77777777" w:rsidR="00511FEA" w:rsidRDefault="00511FEA" w:rsidP="00511FEA">
      <w:pPr>
        <w:sectPr w:rsidR="00511FEA" w:rsidSect="006A4C4F">
          <w:headerReference w:type="even" r:id="rId13"/>
          <w:footerReference w:type="even" r:id="rId14"/>
          <w:headerReference w:type="first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bookmarkEnd w:id="0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496BE6B4" w:rsidR="005633CC" w:rsidRPr="00702125" w:rsidRDefault="005633CC" w:rsidP="00702125">
              <w:pPr>
                <w:pStyle w:val="Nadpisobsahu"/>
              </w:pPr>
              <w:r w:rsidRPr="000C6359">
                <w:rPr>
                  <w:color w:val="981E3A"/>
                </w:rPr>
                <w:t>Obsah</w:t>
              </w:r>
            </w:p>
            <w:p w14:paraId="4B9BF80E" w14:textId="505E944B" w:rsidR="00C46FE5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4367455" w:history="1">
                <w:r w:rsidR="00C46FE5" w:rsidRPr="00CC3201">
                  <w:rPr>
                    <w:rStyle w:val="Hypertextovodkaz"/>
                    <w:noProof/>
                  </w:rPr>
                  <w:t>1</w:t>
                </w:r>
                <w:r w:rsidR="00C46FE5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C46FE5" w:rsidRPr="00CC3201">
                  <w:rPr>
                    <w:rStyle w:val="Hypertextovodkaz"/>
                    <w:noProof/>
                  </w:rPr>
                  <w:t>první setkání s klientem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_Toc64367455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3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3988071B" w14:textId="26539CF5" w:rsidR="00C46FE5" w:rsidRDefault="003C17B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7456" w:history="1">
                <w:r w:rsidR="00C46FE5" w:rsidRPr="00CC3201">
                  <w:rPr>
                    <w:rStyle w:val="Hypertextovodkaz"/>
                    <w:noProof/>
                  </w:rPr>
                  <w:t>1.1</w:t>
                </w:r>
                <w:r w:rsidR="00C46FE5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46FE5" w:rsidRPr="00CC3201">
                  <w:rPr>
                    <w:rStyle w:val="Hypertextovodkaz"/>
                    <w:noProof/>
                  </w:rPr>
                  <w:t>Cíle prvního setkání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_Toc64367456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5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32855E5E" w14:textId="5C5D135B" w:rsidR="00C46FE5" w:rsidRDefault="003C17B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7457" w:history="1">
                <w:r w:rsidR="00C46FE5" w:rsidRPr="00CC3201">
                  <w:rPr>
                    <w:rStyle w:val="Hypertextovodkaz"/>
                    <w:noProof/>
                  </w:rPr>
                  <w:t>1.2</w:t>
                </w:r>
                <w:r w:rsidR="00C46FE5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46FE5" w:rsidRPr="00CC3201">
                  <w:rPr>
                    <w:rStyle w:val="Hypertextovodkaz"/>
                    <w:noProof/>
                  </w:rPr>
                  <w:t>Budování důvěryhodného vztahu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_Toc64367457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6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41820188" w14:textId="420E99C3" w:rsidR="00C46FE5" w:rsidRDefault="003C17B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7458" w:history="1">
                <w:r w:rsidR="00C46FE5" w:rsidRPr="00CC3201">
                  <w:rPr>
                    <w:rStyle w:val="Hypertextovodkaz"/>
                    <w:noProof/>
                  </w:rPr>
                  <w:t>1.3</w:t>
                </w:r>
                <w:r w:rsidR="00C46FE5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46FE5" w:rsidRPr="00CC3201">
                  <w:rPr>
                    <w:rStyle w:val="Hypertextovodkaz"/>
                    <w:noProof/>
                  </w:rPr>
                  <w:t>Základní principy poradenského vztahu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_Toc64367458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6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33819FE4" w14:textId="48573850" w:rsidR="00C46FE5" w:rsidRDefault="003C17BD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7459" w:history="1">
                <w:r w:rsidR="00C46FE5" w:rsidRPr="00CC3201">
                  <w:rPr>
                    <w:rStyle w:val="Hypertextovodkaz"/>
                    <w:noProof/>
                  </w:rPr>
                  <w:t>1.4</w:t>
                </w:r>
                <w:r w:rsidR="00C46FE5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C46FE5" w:rsidRPr="00CC3201">
                  <w:rPr>
                    <w:rStyle w:val="Hypertextovodkaz"/>
                    <w:noProof/>
                  </w:rPr>
                  <w:t>Diagnostika normálního a komplikovaného truchlení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_Toc64367459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8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0EDFAD5F" w14:textId="5B32719D" w:rsidR="00C46FE5" w:rsidRDefault="003C17BD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7460" w:history="1">
                <w:r w:rsidR="00C46FE5" w:rsidRPr="00CC3201">
                  <w:rPr>
                    <w:rStyle w:val="Hypertextovodkaz"/>
                    <w:noProof/>
                  </w:rPr>
                  <w:t>2</w:t>
                </w:r>
                <w:r w:rsidR="00C46FE5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C46FE5" w:rsidRPr="00CC3201">
                  <w:rPr>
                    <w:rStyle w:val="Hypertextovodkaz"/>
                    <w:noProof/>
                  </w:rPr>
                  <w:t>Pedagogicko didaktické poznámky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_Toc64367460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10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360ACA30" w14:textId="358E7BD0" w:rsidR="00C46FE5" w:rsidRDefault="003C17BD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7461" w:history="1">
                <w:r w:rsidR="00C46FE5" w:rsidRPr="00CC3201">
                  <w:rPr>
                    <w:rStyle w:val="Hypertextovodkaz"/>
                    <w:noProof/>
                  </w:rPr>
                  <w:t>Použitá Literatura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_Toc64367461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12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56FB6183" w14:textId="0742DF68" w:rsidR="00C46FE5" w:rsidRDefault="003C17BD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7462" w:history="1">
                <w:r w:rsidR="00C46FE5" w:rsidRPr="00CC3201">
                  <w:rPr>
                    <w:rStyle w:val="Hypertextovodkaz"/>
                    <w:noProof/>
                  </w:rPr>
                  <w:t>Přehled dostupných ikon</w:t>
                </w:r>
                <w:r w:rsidR="00C46FE5">
                  <w:rPr>
                    <w:noProof/>
                    <w:webHidden/>
                  </w:rPr>
                  <w:tab/>
                </w:r>
                <w:r w:rsidR="00C46FE5">
                  <w:rPr>
                    <w:noProof/>
                    <w:webHidden/>
                  </w:rPr>
                  <w:fldChar w:fldCharType="begin"/>
                </w:r>
                <w:r w:rsidR="00C46FE5">
                  <w:rPr>
                    <w:noProof/>
                    <w:webHidden/>
                  </w:rPr>
                  <w:instrText xml:space="preserve"> PAGEREF _Toc64367462 \h </w:instrText>
                </w:r>
                <w:r w:rsidR="00C46FE5">
                  <w:rPr>
                    <w:noProof/>
                    <w:webHidden/>
                  </w:rPr>
                </w:r>
                <w:r w:rsidR="00C46FE5">
                  <w:rPr>
                    <w:noProof/>
                    <w:webHidden/>
                  </w:rPr>
                  <w:fldChar w:fldCharType="separate"/>
                </w:r>
                <w:r w:rsidR="00C46FE5">
                  <w:rPr>
                    <w:noProof/>
                    <w:webHidden/>
                  </w:rPr>
                  <w:t>13</w:t>
                </w:r>
                <w:r w:rsidR="00C46FE5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0E4FBC7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3C17BD" w:rsidP="002976F6">
          <w:pPr>
            <w:sectPr w:rsidR="0041362C" w:rsidSect="00702125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titlePg/>
              <w:docGrid w:linePitch="360"/>
            </w:sectPr>
          </w:pPr>
        </w:p>
      </w:sdtContent>
    </w:sdt>
    <w:p w14:paraId="35E58D86" w14:textId="1BC927E6" w:rsidR="001D1567" w:rsidRPr="00511FEA" w:rsidRDefault="00305B16" w:rsidP="00511FEA">
      <w:pPr>
        <w:pStyle w:val="Nadpis1"/>
      </w:pPr>
      <w:bookmarkStart w:id="1" w:name="_Toc64367455"/>
      <w:r>
        <w:lastRenderedPageBreak/>
        <w:t>první setkání s klientem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4718D" w14:textId="77777777" w:rsidR="006B6A3B" w:rsidRDefault="001D1567" w:rsidP="00305B16">
      <w:pPr>
        <w:pStyle w:val="Tlotextu"/>
      </w:pPr>
      <w:r w:rsidRPr="001D1567">
        <w:t xml:space="preserve">Studijní materiál poskytuje </w:t>
      </w:r>
      <w:r w:rsidR="00305B16">
        <w:t xml:space="preserve">vhled do prvního setkání s truchlícím klientem v poradenství pro pozůstalé. </w:t>
      </w:r>
    </w:p>
    <w:p w14:paraId="72C28D39" w14:textId="07AAE5B1" w:rsidR="00305B16" w:rsidRDefault="001D1567" w:rsidP="00305B16">
      <w:pPr>
        <w:pStyle w:val="Tlotextu"/>
      </w:pPr>
      <w:r>
        <w:t>U studentů se předpokládá e</w:t>
      </w:r>
      <w:r w:rsidRPr="001D1567">
        <w:t>lementární znalost základních pojmů používaných v kontextu pomáhajících profesí (</w:t>
      </w:r>
      <w:r w:rsidR="006B6A3B">
        <w:t>truchlení, poradenství pro pozůstalé, poradenský proces</w:t>
      </w:r>
      <w:r w:rsidRPr="001D1567">
        <w:t xml:space="preserve"> aj.), základní znalosti propedeutických předmětů v rámci oboru, přístup do IS SU, základní orientace v IS SU výhodou, ICT zdatnost na uživatelské úrovni. </w:t>
      </w:r>
    </w:p>
    <w:p w14:paraId="467527D2" w14:textId="5CBE6CAB" w:rsidR="00305B16" w:rsidRDefault="00305B16" w:rsidP="00305B16">
      <w:pPr>
        <w:pStyle w:val="Tlotextu"/>
      </w:pPr>
      <w:r>
        <w:t>Materiál je určen pro posluchače kurzu Paliativní a hospicová péče oboru Sociální pato-</w:t>
      </w:r>
      <w:proofErr w:type="spellStart"/>
      <w:r>
        <w:t>logie</w:t>
      </w:r>
      <w:proofErr w:type="spellEnd"/>
      <w:r>
        <w:t xml:space="preserve"> a prevence kombinované formy studia na Slezské univerzitě v Opavě v prostředí IS SU. </w:t>
      </w:r>
    </w:p>
    <w:p w14:paraId="21068275" w14:textId="619676ED" w:rsidR="008E1780" w:rsidRDefault="00305B16" w:rsidP="00305B16">
      <w:pPr>
        <w:pStyle w:val="Tlotextu"/>
      </w:pPr>
      <w:r>
        <w:t xml:space="preserve">Základní předpoklady: základní znalosti propedeutických předmětů (zaměřených na osvojení znalostí a dovedností z oblasti psychologie, sociální práce, poradenství, </w:t>
      </w:r>
      <w:proofErr w:type="spellStart"/>
      <w:r>
        <w:t>komuni-kace</w:t>
      </w:r>
      <w:proofErr w:type="spellEnd"/>
      <w:r>
        <w:t xml:space="preserve"> apod.) v rámci oboru, orientace v elementárních poznatcích ohledně struktury a aspektů poradenství pro pozůstalé (viz videa 1-7), přístup do IS SU, základní orientace v IS SU výhodou, ICT zdatnost na uživatelské úrovni.</w:t>
      </w:r>
    </w:p>
    <w:p w14:paraId="33DA1204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4FF1F859" w14:textId="77777777" w:rsidR="007D2DE4" w:rsidRDefault="007D2DE4" w:rsidP="007D2DE4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8D8D" w14:textId="6D7DBF92" w:rsidR="008E1780" w:rsidRDefault="006B6A3B" w:rsidP="00CC120D">
      <w:pPr>
        <w:pStyle w:val="Tlotextu"/>
      </w:pPr>
      <w:r w:rsidRPr="006B6A3B">
        <w:t xml:space="preserve">První setkání s klientem je velmi důležité. Rozhoduje o tom, zda se vůbec budou realizovat nějaká další setkání. Studijní materiál nastiňuje klíčové aspekty dle tzv. na klienta orientovaného přístupu (Person </w:t>
      </w:r>
      <w:proofErr w:type="spellStart"/>
      <w:r w:rsidRPr="006B6A3B">
        <w:t>centred</w:t>
      </w:r>
      <w:proofErr w:type="spellEnd"/>
      <w:r w:rsidRPr="006B6A3B">
        <w:t xml:space="preserve"> </w:t>
      </w:r>
      <w:proofErr w:type="spellStart"/>
      <w:r w:rsidRPr="006B6A3B">
        <w:t>approach</w:t>
      </w:r>
      <w:proofErr w:type="spellEnd"/>
      <w:r w:rsidRPr="006B6A3B">
        <w:t xml:space="preserve">, tzv. PCA) a přináší i doporučení k realizaci jednotlivých aspektů. Cílem prvního setkání s klientem je totiž především vy-budovat bezpečný, důvěryhodný vztah, založený na respektu, empatii, autenticitě a tole-ranci k odlišnosti. Dalším cílem prvního setkání je identifikovat rizikové faktory, které mohou determinovat rozvoj komplikovaného truchlení.    </w:t>
      </w:r>
    </w:p>
    <w:p w14:paraId="31EEFBB1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83A7D75" w14:textId="77777777" w:rsidR="007D2DE4" w:rsidRDefault="007D2DE4" w:rsidP="007D2DE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4E19" w14:textId="77777777" w:rsidR="006B6A3B" w:rsidRPr="006B6A3B" w:rsidRDefault="006B6A3B" w:rsidP="006B6A3B">
      <w:pPr>
        <w:pStyle w:val="parOdrazky01"/>
        <w:numPr>
          <w:ilvl w:val="0"/>
          <w:numId w:val="0"/>
        </w:numPr>
        <w:ind w:firstLine="284"/>
        <w:rPr>
          <w:b/>
          <w:bCs/>
        </w:rPr>
      </w:pPr>
      <w:r>
        <w:t xml:space="preserve">Po prostudování studijního materiálu by měli posluchači </w:t>
      </w:r>
      <w:r w:rsidRPr="006B6A3B">
        <w:rPr>
          <w:b/>
          <w:bCs/>
        </w:rPr>
        <w:t>znát:</w:t>
      </w:r>
    </w:p>
    <w:p w14:paraId="5C0AF2D1" w14:textId="77777777" w:rsidR="006B6A3B" w:rsidRDefault="006B6A3B" w:rsidP="006B6A3B">
      <w:pPr>
        <w:pStyle w:val="parOdrazky01"/>
        <w:numPr>
          <w:ilvl w:val="0"/>
          <w:numId w:val="0"/>
        </w:numPr>
        <w:ind w:firstLine="284"/>
      </w:pPr>
    </w:p>
    <w:p w14:paraId="2B121EAF" w14:textId="77777777" w:rsidR="006B6A3B" w:rsidRDefault="006B6A3B" w:rsidP="006B6A3B">
      <w:pPr>
        <w:pStyle w:val="parOdrazky01"/>
      </w:pPr>
      <w:r>
        <w:lastRenderedPageBreak/>
        <w:t>základní cíle prvního setkání s pozůstalým klientem,</w:t>
      </w:r>
    </w:p>
    <w:p w14:paraId="712FE27C" w14:textId="77777777" w:rsidR="006B6A3B" w:rsidRDefault="006B6A3B" w:rsidP="006B6A3B">
      <w:pPr>
        <w:pStyle w:val="parOdrazky01"/>
      </w:pPr>
      <w:r>
        <w:t>symptomy přetížení stresem,</w:t>
      </w:r>
    </w:p>
    <w:p w14:paraId="551090C1" w14:textId="77777777" w:rsidR="006B6A3B" w:rsidRDefault="006B6A3B" w:rsidP="006B6A3B">
      <w:pPr>
        <w:pStyle w:val="parOdrazky01"/>
      </w:pPr>
      <w:r>
        <w:t>rizikové faktory komplikovaného truchlení.</w:t>
      </w:r>
    </w:p>
    <w:p w14:paraId="778E108E" w14:textId="77777777" w:rsidR="006B6A3B" w:rsidRDefault="006B6A3B" w:rsidP="006B6A3B">
      <w:pPr>
        <w:pStyle w:val="parOdrazky01"/>
        <w:numPr>
          <w:ilvl w:val="0"/>
          <w:numId w:val="0"/>
        </w:numPr>
        <w:ind w:left="641"/>
      </w:pPr>
      <w:r>
        <w:t xml:space="preserve"> </w:t>
      </w:r>
    </w:p>
    <w:p w14:paraId="201E0CA0" w14:textId="77777777" w:rsidR="006B6A3B" w:rsidRPr="006B6A3B" w:rsidRDefault="006B6A3B" w:rsidP="006B6A3B">
      <w:pPr>
        <w:pStyle w:val="parOdrazky01"/>
        <w:numPr>
          <w:ilvl w:val="0"/>
          <w:numId w:val="0"/>
        </w:numPr>
        <w:rPr>
          <w:b/>
          <w:bCs/>
        </w:rPr>
      </w:pPr>
      <w:r>
        <w:t xml:space="preserve">Posluchači </w:t>
      </w:r>
      <w:r w:rsidRPr="006B6A3B">
        <w:rPr>
          <w:b/>
          <w:bCs/>
        </w:rPr>
        <w:t>získají:</w:t>
      </w:r>
    </w:p>
    <w:p w14:paraId="3BD7257A" w14:textId="77777777" w:rsidR="006B6A3B" w:rsidRDefault="006B6A3B" w:rsidP="006B6A3B">
      <w:pPr>
        <w:pStyle w:val="parOdrazky01"/>
        <w:numPr>
          <w:ilvl w:val="0"/>
          <w:numId w:val="0"/>
        </w:numPr>
        <w:ind w:left="641"/>
      </w:pPr>
    </w:p>
    <w:p w14:paraId="47C57A82" w14:textId="77777777" w:rsidR="006B6A3B" w:rsidRDefault="006B6A3B" w:rsidP="006B6A3B">
      <w:pPr>
        <w:pStyle w:val="parOdrazky01"/>
      </w:pPr>
      <w:r>
        <w:t xml:space="preserve">informace o tom, jak efektivně vést první setkání s pozůstalým klientem,  </w:t>
      </w:r>
    </w:p>
    <w:p w14:paraId="7DF9A81C" w14:textId="77777777" w:rsidR="006B6A3B" w:rsidRDefault="006B6A3B" w:rsidP="006B6A3B">
      <w:pPr>
        <w:pStyle w:val="parOdrazky01"/>
      </w:pPr>
      <w:bookmarkStart w:id="2" w:name="_Hlk60433667"/>
      <w:r>
        <w:t>doporučení pro budování bezpečného, důvěryhodného vztahu,</w:t>
      </w:r>
    </w:p>
    <w:bookmarkEnd w:id="2"/>
    <w:p w14:paraId="6DB34709" w14:textId="77777777" w:rsidR="006B6A3B" w:rsidRDefault="006B6A3B" w:rsidP="006B6A3B">
      <w:pPr>
        <w:pStyle w:val="parOdrazky01"/>
      </w:pPr>
      <w:r w:rsidRPr="006431A0">
        <w:t>doporučení</w:t>
      </w:r>
      <w:r>
        <w:t xml:space="preserve">, jak projevovat respekt, </w:t>
      </w:r>
    </w:p>
    <w:p w14:paraId="11B910B2" w14:textId="77777777" w:rsidR="006B6A3B" w:rsidRDefault="006B6A3B" w:rsidP="006B6A3B">
      <w:pPr>
        <w:pStyle w:val="parOdrazky01"/>
      </w:pPr>
      <w:r>
        <w:t xml:space="preserve">doporučení, jak projevovat empatii, </w:t>
      </w:r>
    </w:p>
    <w:p w14:paraId="03C229DA" w14:textId="77777777" w:rsidR="006B6A3B" w:rsidRDefault="006B6A3B" w:rsidP="006B6A3B">
      <w:pPr>
        <w:pStyle w:val="parOdrazky01"/>
      </w:pPr>
      <w:r>
        <w:t xml:space="preserve">doporučení, jak být důvěryhodný. </w:t>
      </w:r>
    </w:p>
    <w:p w14:paraId="4ACC319D" w14:textId="77777777" w:rsidR="006B6A3B" w:rsidRDefault="006B6A3B" w:rsidP="006B6A3B">
      <w:pPr>
        <w:pStyle w:val="parOdrazky01"/>
        <w:numPr>
          <w:ilvl w:val="0"/>
          <w:numId w:val="0"/>
        </w:numPr>
      </w:pPr>
    </w:p>
    <w:p w14:paraId="16982E54" w14:textId="77777777" w:rsidR="006B6A3B" w:rsidRPr="006B6A3B" w:rsidRDefault="006B6A3B" w:rsidP="006B6A3B">
      <w:pPr>
        <w:pStyle w:val="parOdrazky01"/>
        <w:numPr>
          <w:ilvl w:val="0"/>
          <w:numId w:val="0"/>
        </w:numPr>
        <w:rPr>
          <w:b/>
          <w:bCs/>
        </w:rPr>
      </w:pPr>
      <w:r>
        <w:t xml:space="preserve">Posluchači budou </w:t>
      </w:r>
      <w:r w:rsidRPr="006B6A3B">
        <w:rPr>
          <w:b/>
          <w:bCs/>
        </w:rPr>
        <w:t xml:space="preserve">schopni: </w:t>
      </w:r>
    </w:p>
    <w:p w14:paraId="6735FB45" w14:textId="77777777" w:rsidR="006B6A3B" w:rsidRDefault="006B6A3B" w:rsidP="006B6A3B">
      <w:pPr>
        <w:pStyle w:val="parOdrazky01"/>
        <w:numPr>
          <w:ilvl w:val="0"/>
          <w:numId w:val="0"/>
        </w:numPr>
        <w:ind w:left="641"/>
      </w:pPr>
    </w:p>
    <w:p w14:paraId="1CF56D18" w14:textId="77777777" w:rsidR="006B6A3B" w:rsidRDefault="006B6A3B" w:rsidP="006B6A3B">
      <w:pPr>
        <w:pStyle w:val="parOdrazky01"/>
      </w:pPr>
      <w:r>
        <w:t>identifikovat rizikové faktory komplikovaného truchlení,</w:t>
      </w:r>
    </w:p>
    <w:p w14:paraId="0E670232" w14:textId="77777777" w:rsidR="006B6A3B" w:rsidRDefault="006B6A3B" w:rsidP="006B6A3B">
      <w:pPr>
        <w:pStyle w:val="parOdrazky01"/>
      </w:pPr>
      <w:r>
        <w:t>určit symptomy přetížení stresem,</w:t>
      </w:r>
    </w:p>
    <w:p w14:paraId="20CBEECA" w14:textId="77777777" w:rsidR="006B6A3B" w:rsidRPr="00CF098A" w:rsidRDefault="006B6A3B" w:rsidP="006B6A3B">
      <w:pPr>
        <w:pStyle w:val="parOdrazky01"/>
      </w:pPr>
      <w:r>
        <w:t xml:space="preserve">rozlišit „normální“ a tzv. komplikované truchlení. </w:t>
      </w:r>
    </w:p>
    <w:p w14:paraId="412B07D8" w14:textId="77777777" w:rsidR="0092757A" w:rsidRDefault="0092757A" w:rsidP="0092757A">
      <w:pPr>
        <w:pStyle w:val="Tlotextu"/>
        <w:spacing w:line="240" w:lineRule="auto"/>
        <w:ind w:left="704" w:firstLine="0"/>
      </w:pPr>
    </w:p>
    <w:p w14:paraId="7FD03313" w14:textId="77777777" w:rsidR="007D2DE4" w:rsidRDefault="007D2DE4" w:rsidP="007D2DE4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3BC7" w14:textId="77777777" w:rsidR="006B6A3B" w:rsidRDefault="006B6A3B" w:rsidP="007D2DE4">
      <w:pPr>
        <w:pStyle w:val="parUkonceniPrvku"/>
      </w:pPr>
    </w:p>
    <w:p w14:paraId="0B3DAB08" w14:textId="0364CBC7" w:rsidR="007D2DE4" w:rsidRDefault="006B6A3B" w:rsidP="007D2DE4">
      <w:pPr>
        <w:pStyle w:val="parUkonceniPrvku"/>
      </w:pPr>
      <w:r w:rsidRPr="006B6A3B">
        <w:t>Poradenství pro pozůstalé, důvěra, důvěryhodnost, empatie, respekt, autentičnost, komplikované truchlení.</w:t>
      </w:r>
    </w:p>
    <w:p w14:paraId="21748E85" w14:textId="77777777" w:rsidR="00511FEA" w:rsidRDefault="00511FEA" w:rsidP="00511FEA">
      <w:pPr>
        <w:pStyle w:val="Tlotextu"/>
        <w:spacing w:line="240" w:lineRule="auto"/>
        <w:ind w:left="704" w:firstLine="0"/>
      </w:pPr>
    </w:p>
    <w:p w14:paraId="0F8C47AE" w14:textId="77777777" w:rsidR="00511FEA" w:rsidRDefault="00511FEA" w:rsidP="00511FEA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EA6D" w14:textId="1B07EF62" w:rsidR="008E1780" w:rsidRDefault="008E1780" w:rsidP="008E1780">
      <w:pPr>
        <w:pStyle w:val="Tlotextu"/>
      </w:pPr>
      <w:r>
        <w:t xml:space="preserve">Stopáž </w:t>
      </w:r>
      <w:bookmarkStart w:id="3" w:name="_Hlk64143927"/>
      <w:r>
        <w:t xml:space="preserve">studijního materiálu: </w:t>
      </w:r>
      <w:r w:rsidR="006B6A3B">
        <w:t>30:12</w:t>
      </w:r>
    </w:p>
    <w:p w14:paraId="1B114916" w14:textId="3E98534E" w:rsidR="008F55D1" w:rsidRDefault="008E1780" w:rsidP="008E1780">
      <w:pPr>
        <w:pStyle w:val="Tlotextu"/>
      </w:pPr>
      <w:r>
        <w:t>Doporučený čas ke studiu: 90 minut</w:t>
      </w:r>
    </w:p>
    <w:p w14:paraId="04A3BDDA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18B6FA09" w14:textId="77777777" w:rsidR="007D2DE4" w:rsidRDefault="007D2DE4" w:rsidP="007D2DE4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6AA5" w14:textId="0B0528DB" w:rsidR="006B6A3B" w:rsidRDefault="006B6A3B" w:rsidP="006B6A3B">
      <w:pPr>
        <w:pStyle w:val="Zkladntext"/>
        <w:spacing w:before="57" w:after="45" w:line="360" w:lineRule="auto"/>
        <w:ind w:right="790"/>
        <w:jc w:val="both"/>
        <w:rPr>
          <w:rFonts w:eastAsiaTheme="minorHAnsi" w:cstheme="minorBidi"/>
          <w:szCs w:val="22"/>
          <w:lang w:val="cs-CZ"/>
        </w:rPr>
      </w:pPr>
    </w:p>
    <w:p w14:paraId="5FFCFFD8" w14:textId="00ACDB30" w:rsidR="006B6A3B" w:rsidRDefault="006B6A3B" w:rsidP="006B6A3B">
      <w:pPr>
        <w:pStyle w:val="Zkladntext"/>
        <w:spacing w:before="57" w:after="45" w:line="360" w:lineRule="auto"/>
        <w:ind w:right="790"/>
        <w:jc w:val="both"/>
        <w:rPr>
          <w:rFonts w:eastAsiaTheme="minorHAnsi" w:cstheme="minorBidi"/>
          <w:szCs w:val="22"/>
          <w:lang w:val="cs-CZ"/>
        </w:rPr>
      </w:pPr>
      <w:r w:rsidRPr="006B6A3B">
        <w:rPr>
          <w:rFonts w:eastAsiaTheme="minorHAnsi" w:cstheme="minorBidi"/>
          <w:szCs w:val="22"/>
          <w:lang w:val="cs-CZ"/>
        </w:rPr>
        <w:t xml:space="preserve">ŠPATENKOVÁ, N. Poradenství pro pozůstalé. Principy, proces, metody. 2. aktualizované a doplněné vydání Praha: </w:t>
      </w:r>
      <w:proofErr w:type="spellStart"/>
      <w:r w:rsidRPr="006B6A3B">
        <w:rPr>
          <w:rFonts w:eastAsiaTheme="minorHAnsi" w:cstheme="minorBidi"/>
          <w:szCs w:val="22"/>
          <w:lang w:val="cs-CZ"/>
        </w:rPr>
        <w:t>Grada</w:t>
      </w:r>
      <w:proofErr w:type="spellEnd"/>
      <w:r w:rsidRPr="006B6A3B">
        <w:rPr>
          <w:rFonts w:eastAsiaTheme="minorHAnsi" w:cstheme="minorBidi"/>
          <w:szCs w:val="22"/>
          <w:lang w:val="cs-CZ"/>
        </w:rPr>
        <w:t xml:space="preserve"> </w:t>
      </w:r>
      <w:proofErr w:type="spellStart"/>
      <w:r w:rsidRPr="006B6A3B">
        <w:rPr>
          <w:rFonts w:eastAsiaTheme="minorHAnsi" w:cstheme="minorBidi"/>
          <w:szCs w:val="22"/>
          <w:lang w:val="cs-CZ"/>
        </w:rPr>
        <w:t>Publishing</w:t>
      </w:r>
      <w:proofErr w:type="spellEnd"/>
      <w:r w:rsidRPr="006B6A3B">
        <w:rPr>
          <w:rFonts w:eastAsiaTheme="minorHAnsi" w:cstheme="minorBidi"/>
          <w:szCs w:val="22"/>
          <w:lang w:val="cs-CZ"/>
        </w:rPr>
        <w:t>, 2013. ISBN 978-80-247-3736-2</w:t>
      </w:r>
    </w:p>
    <w:p w14:paraId="55D948B7" w14:textId="77777777" w:rsidR="007D2DE4" w:rsidRDefault="007D2DE4" w:rsidP="007D2DE4">
      <w:pPr>
        <w:pStyle w:val="parUkonceniPrvk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  <w:bookmarkEnd w:id="3"/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D61A1" w14:textId="77777777" w:rsidR="006B6A3B" w:rsidRDefault="006B6A3B" w:rsidP="006B6A3B">
      <w:pPr>
        <w:pStyle w:val="Zkladntext"/>
        <w:spacing w:before="57" w:after="45"/>
        <w:ind w:right="790"/>
        <w:jc w:val="both"/>
        <w:rPr>
          <w:rFonts w:eastAsiaTheme="minorHAnsi" w:cstheme="minorBidi"/>
          <w:szCs w:val="22"/>
          <w:shd w:val="clear" w:color="auto" w:fill="FDFDFE"/>
          <w:lang w:val="cs-CZ"/>
        </w:rPr>
      </w:pPr>
    </w:p>
    <w:p w14:paraId="0E81FD94" w14:textId="1AFFA7D0" w:rsidR="006B6A3B" w:rsidRDefault="006B6A3B" w:rsidP="006B6A3B">
      <w:pPr>
        <w:pStyle w:val="Zkladntext"/>
        <w:spacing w:before="57" w:after="45"/>
        <w:ind w:right="790"/>
        <w:jc w:val="both"/>
        <w:rPr>
          <w:rFonts w:eastAsiaTheme="minorHAnsi" w:cstheme="minorBidi"/>
          <w:szCs w:val="22"/>
          <w:shd w:val="clear" w:color="auto" w:fill="FDFDFE"/>
          <w:lang w:val="cs-CZ"/>
        </w:rPr>
      </w:pPr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 xml:space="preserve">ŠPATENKOVÁ, N. a kol. Krize a krizová intervence. Praha: </w:t>
      </w:r>
      <w:proofErr w:type="spellStart"/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>Galén</w:t>
      </w:r>
      <w:proofErr w:type="spellEnd"/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>, 2017.  ISBN: 978-80-247-5327-0</w:t>
      </w:r>
    </w:p>
    <w:p w14:paraId="5CD595E0" w14:textId="77777777" w:rsidR="006B6A3B" w:rsidRPr="006B6A3B" w:rsidRDefault="006B6A3B" w:rsidP="006B6A3B">
      <w:pPr>
        <w:pStyle w:val="Zkladntext"/>
        <w:spacing w:before="57" w:after="45"/>
        <w:ind w:right="790"/>
        <w:jc w:val="both"/>
        <w:rPr>
          <w:rFonts w:eastAsiaTheme="minorHAnsi" w:cstheme="minorBidi"/>
          <w:szCs w:val="22"/>
          <w:shd w:val="clear" w:color="auto" w:fill="FDFDFE"/>
          <w:lang w:val="cs-CZ"/>
        </w:rPr>
      </w:pPr>
    </w:p>
    <w:p w14:paraId="2BE9C200" w14:textId="77777777" w:rsidR="006B6A3B" w:rsidRPr="006B6A3B" w:rsidRDefault="006B6A3B" w:rsidP="006B6A3B">
      <w:pPr>
        <w:pStyle w:val="Zkladntext"/>
        <w:spacing w:before="57" w:after="45"/>
        <w:ind w:left="115" w:right="790" w:firstLine="284"/>
        <w:jc w:val="both"/>
        <w:rPr>
          <w:rFonts w:eastAsiaTheme="minorHAnsi" w:cstheme="minorBidi"/>
          <w:szCs w:val="22"/>
          <w:shd w:val="clear" w:color="auto" w:fill="FDFDFE"/>
          <w:lang w:val="cs-CZ"/>
        </w:rPr>
      </w:pPr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 xml:space="preserve">Vybrané kapitoly: </w:t>
      </w:r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ab/>
        <w:t>4. Formy krizové intervence</w:t>
      </w:r>
    </w:p>
    <w:p w14:paraId="3C359012" w14:textId="41C44C6C" w:rsidR="007D2DE4" w:rsidRDefault="006B6A3B" w:rsidP="006B6A3B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ab/>
      </w:r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ab/>
      </w:r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ab/>
      </w:r>
      <w:r w:rsidRPr="006B6A3B">
        <w:rPr>
          <w:rFonts w:eastAsiaTheme="minorHAnsi" w:cstheme="minorBidi"/>
          <w:szCs w:val="22"/>
          <w:shd w:val="clear" w:color="auto" w:fill="FDFDFE"/>
          <w:lang w:val="cs-CZ"/>
        </w:rPr>
        <w:tab/>
        <w:t>8.3 Vztahová ztráta</w:t>
      </w:r>
    </w:p>
    <w:p w14:paraId="6DE4E930" w14:textId="77777777" w:rsidR="007D2DE4" w:rsidRDefault="007D2DE4" w:rsidP="007D2DE4">
      <w:pPr>
        <w:pStyle w:val="parUkonceniPrvku"/>
      </w:pPr>
    </w:p>
    <w:p w14:paraId="37690B8C" w14:textId="281E713D" w:rsidR="00AB03DE" w:rsidRPr="00AB03DE" w:rsidRDefault="006B6A3B" w:rsidP="00AB03DE">
      <w:pPr>
        <w:pStyle w:val="Nadpis2"/>
      </w:pPr>
      <w:bookmarkStart w:id="4" w:name="_Toc64367456"/>
      <w:r>
        <w:t>Cíle prvního setkání</w:t>
      </w:r>
      <w:bookmarkEnd w:id="4"/>
    </w:p>
    <w:p w14:paraId="0755A23B" w14:textId="04585D20" w:rsidR="006B6A3B" w:rsidRDefault="006B6A3B" w:rsidP="006B6A3B">
      <w:pPr>
        <w:pStyle w:val="Tlotextu"/>
      </w:pPr>
      <w:r w:rsidRPr="006431A0">
        <w:t xml:space="preserve">Před </w:t>
      </w:r>
      <w:r>
        <w:t xml:space="preserve">prvním </w:t>
      </w:r>
      <w:r w:rsidRPr="006431A0">
        <w:t xml:space="preserve">setkáním </w:t>
      </w:r>
      <w:r>
        <w:t xml:space="preserve">s pozůstalým klientem by si měl poradce pro pozůstalé </w:t>
      </w:r>
      <w:r w:rsidRPr="006431A0">
        <w:t>chvíli v klidu sedn</w:t>
      </w:r>
      <w:r>
        <w:t xml:space="preserve">out </w:t>
      </w:r>
      <w:r w:rsidRPr="006431A0">
        <w:t>a připome</w:t>
      </w:r>
      <w:r>
        <w:t xml:space="preserve">nout </w:t>
      </w:r>
      <w:r w:rsidRPr="006431A0">
        <w:t>si</w:t>
      </w:r>
      <w:r>
        <w:t xml:space="preserve"> </w:t>
      </w:r>
      <w:r w:rsidRPr="006431A0">
        <w:t>cíle,</w:t>
      </w:r>
      <w:r>
        <w:t xml:space="preserve"> </w:t>
      </w:r>
      <w:r w:rsidRPr="006431A0">
        <w:t>strukturu</w:t>
      </w:r>
      <w:r>
        <w:t xml:space="preserve"> </w:t>
      </w:r>
      <w:r w:rsidRPr="006431A0">
        <w:t>a obsah sezení.</w:t>
      </w:r>
      <w:r>
        <w:t xml:space="preserve"> Je důležité, aby pohodlně říkal s</w:t>
      </w:r>
      <w:r w:rsidRPr="006431A0">
        <w:t>lova</w:t>
      </w:r>
      <w:r>
        <w:t xml:space="preserve"> jako</w:t>
      </w:r>
      <w:r w:rsidRPr="006431A0">
        <w:t>: mrtvý, zemřel, smrt, už nikdy, pohřben, pohřeb, rakev, kremace, náhrobek, hřbitov…</w:t>
      </w:r>
    </w:p>
    <w:p w14:paraId="7B3D5CF7" w14:textId="77777777" w:rsidR="006B6A3B" w:rsidRPr="00611F47" w:rsidRDefault="006B6A3B" w:rsidP="006B6A3B">
      <w:pPr>
        <w:pStyle w:val="Tlotextu"/>
        <w:ind w:left="720" w:firstLine="0"/>
        <w:rPr>
          <w:b/>
          <w:bCs/>
        </w:rPr>
      </w:pPr>
      <w:r w:rsidRPr="00611F47">
        <w:rPr>
          <w:b/>
          <w:bCs/>
        </w:rPr>
        <w:t>Cíl prvního setkání:</w:t>
      </w:r>
    </w:p>
    <w:p w14:paraId="7C245E06" w14:textId="77777777" w:rsidR="006B6A3B" w:rsidRPr="006431A0" w:rsidRDefault="006B6A3B" w:rsidP="006B6A3B">
      <w:pPr>
        <w:pStyle w:val="Tlotextu"/>
        <w:numPr>
          <w:ilvl w:val="0"/>
          <w:numId w:val="27"/>
        </w:numPr>
      </w:pPr>
      <w:r w:rsidRPr="006431A0">
        <w:t>vybudovat důvěryhodný vztah</w:t>
      </w:r>
      <w:r>
        <w:t>,</w:t>
      </w:r>
    </w:p>
    <w:p w14:paraId="1A37F468" w14:textId="77777777" w:rsidR="006B6A3B" w:rsidRPr="006431A0" w:rsidRDefault="006B6A3B" w:rsidP="006B6A3B">
      <w:pPr>
        <w:pStyle w:val="Tlotextu"/>
        <w:numPr>
          <w:ilvl w:val="0"/>
          <w:numId w:val="27"/>
        </w:numPr>
      </w:pPr>
      <w:r w:rsidRPr="006431A0">
        <w:t>určit rizikové faktory</w:t>
      </w:r>
      <w:r>
        <w:t>,</w:t>
      </w:r>
    </w:p>
    <w:p w14:paraId="6FA806BB" w14:textId="77777777" w:rsidR="006B6A3B" w:rsidRPr="006431A0" w:rsidRDefault="006B6A3B" w:rsidP="006B6A3B">
      <w:pPr>
        <w:pStyle w:val="Tlotextu"/>
        <w:numPr>
          <w:ilvl w:val="0"/>
          <w:numId w:val="27"/>
        </w:numPr>
      </w:pPr>
      <w:r w:rsidRPr="006431A0">
        <w:t>rozlišit upřímný smutek od deprese</w:t>
      </w:r>
      <w:r>
        <w:t>,</w:t>
      </w:r>
    </w:p>
    <w:p w14:paraId="1C1722AE" w14:textId="77777777" w:rsidR="006B6A3B" w:rsidRPr="006431A0" w:rsidRDefault="006B6A3B" w:rsidP="006B6A3B">
      <w:pPr>
        <w:pStyle w:val="Tlotextu"/>
        <w:numPr>
          <w:ilvl w:val="0"/>
          <w:numId w:val="27"/>
        </w:numPr>
      </w:pPr>
      <w:r w:rsidRPr="006431A0">
        <w:t xml:space="preserve">ustanovit přibližnou představu o počtu setkání, která budou potřeba, </w:t>
      </w:r>
      <w:r w:rsidRPr="006431A0">
        <w:br/>
        <w:t>a o časovém rámci</w:t>
      </w:r>
      <w:r>
        <w:t>,</w:t>
      </w:r>
    </w:p>
    <w:p w14:paraId="3E9A32AB" w14:textId="20F7AC2F" w:rsidR="006B6A3B" w:rsidRDefault="006B6A3B" w:rsidP="006B6A3B">
      <w:pPr>
        <w:pStyle w:val="Tlotextu"/>
        <w:numPr>
          <w:ilvl w:val="0"/>
          <w:numId w:val="27"/>
        </w:numPr>
      </w:pPr>
      <w:r w:rsidRPr="006431A0">
        <w:t>určit, jestli je potřeba další sociální opora</w:t>
      </w:r>
      <w:r w:rsidR="003C5607">
        <w:t xml:space="preserve"> (Špatenková, 2013)</w:t>
      </w:r>
      <w:r>
        <w:t>.</w:t>
      </w:r>
    </w:p>
    <w:p w14:paraId="656EEA4B" w14:textId="605C0EF2" w:rsidR="006B6A3B" w:rsidRDefault="006B6A3B" w:rsidP="006B6A3B">
      <w:pPr>
        <w:pStyle w:val="Tlotextu"/>
        <w:ind w:firstLine="0"/>
        <w:rPr>
          <w:b/>
          <w:bCs/>
        </w:rPr>
      </w:pPr>
    </w:p>
    <w:p w14:paraId="6FD91BF2" w14:textId="62E130FC" w:rsidR="006B6A3B" w:rsidRPr="00AB03DE" w:rsidRDefault="006B6A3B" w:rsidP="006B6A3B">
      <w:pPr>
        <w:pStyle w:val="Nadpis2"/>
      </w:pPr>
      <w:bookmarkStart w:id="5" w:name="_Toc64367457"/>
      <w:r>
        <w:lastRenderedPageBreak/>
        <w:t>Budování důvěryhodného vztahu</w:t>
      </w:r>
      <w:bookmarkEnd w:id="5"/>
    </w:p>
    <w:p w14:paraId="3C96B292" w14:textId="1C723BDA" w:rsidR="006B6A3B" w:rsidRDefault="006B6A3B" w:rsidP="006B6A3B">
      <w:pPr>
        <w:pStyle w:val="Tlotextu"/>
      </w:pPr>
      <w:r w:rsidRPr="00611F47">
        <w:rPr>
          <w:b/>
          <w:bCs/>
        </w:rPr>
        <w:t>Jak budovat důvěryhodný vztah?</w:t>
      </w:r>
      <w:r>
        <w:t xml:space="preserve"> </w:t>
      </w:r>
      <w:r w:rsidRPr="006431A0">
        <w:t>Je-li to možné, pozdravte se s klientem u dveří (můžete se usmívat). Zajistěte bezpečné, pohodlné místo bez vyrušování. Ujistěte se, že má klient přístup k toaletám a nabídněte mu čaj, kávu nebo vodu.</w:t>
      </w:r>
      <w:r>
        <w:t xml:space="preserve"> </w:t>
      </w:r>
      <w:r w:rsidRPr="006431A0">
        <w:t>Adekvátně a slušně se oblékněte</w:t>
      </w:r>
      <w:r>
        <w:t xml:space="preserve">. </w:t>
      </w:r>
      <w:r w:rsidRPr="006431A0">
        <w:t xml:space="preserve">Používejte adekvátně hlas, srdečnost a osobní styl. </w:t>
      </w:r>
      <w:r>
        <w:t xml:space="preserve"> </w:t>
      </w:r>
      <w:r w:rsidRPr="006431A0">
        <w:t>Projevte upřímný zájem o seznámení s klientem.</w:t>
      </w:r>
      <w:r>
        <w:t xml:space="preserve"> </w:t>
      </w:r>
      <w:r w:rsidRPr="006431A0">
        <w:t>Mluvte jasně, pevně a přímě, stručně a srozumitelně.</w:t>
      </w:r>
      <w:r>
        <w:t xml:space="preserve"> </w:t>
      </w:r>
      <w:r w:rsidRPr="006431A0">
        <w:t>Projevte upřímný zájem o poznání zemřelého.</w:t>
      </w:r>
      <w:r>
        <w:t xml:space="preserve"> </w:t>
      </w:r>
      <w:r w:rsidRPr="006431A0">
        <w:t>Neodvracejte se od bolesti pozůstalého.</w:t>
      </w:r>
      <w:r>
        <w:t xml:space="preserve"> Můžete použít nějaký </w:t>
      </w:r>
      <w:proofErr w:type="spellStart"/>
      <w:r w:rsidRPr="00611F47">
        <w:rPr>
          <w:b/>
          <w:bCs/>
        </w:rPr>
        <w:t>icebreaker</w:t>
      </w:r>
      <w:proofErr w:type="spellEnd"/>
      <w:r w:rsidRPr="00611F47">
        <w:rPr>
          <w:b/>
          <w:bCs/>
        </w:rPr>
        <w:t>.</w:t>
      </w:r>
      <w:r>
        <w:t xml:space="preserve"> </w:t>
      </w:r>
      <w:r w:rsidRPr="006431A0">
        <w:t xml:space="preserve">Je to známý společenský rituál, který funguje jako „uklidňovací období“ </w:t>
      </w:r>
      <w:r w:rsidRPr="006431A0">
        <w:br/>
        <w:t xml:space="preserve">pro klienta i pro poradce, čas, kdy je možné rychle odhadnout vzájemnou kompatibilitu. Seznamovací proces pokračuje ještě chvíli, než se klient i poradce „usadí“ </w:t>
      </w:r>
      <w:r w:rsidRPr="006431A0">
        <w:br/>
        <w:t>do svých rolí.</w:t>
      </w:r>
      <w:r>
        <w:t xml:space="preserve"> </w:t>
      </w:r>
      <w:r w:rsidRPr="006431A0">
        <w:t xml:space="preserve">Může proběhnout konverzace o počasí, o problémech s hledáním poradny, </w:t>
      </w:r>
      <w:r w:rsidRPr="006431A0">
        <w:br/>
        <w:t>reflexe předchozích zkušeností klienta s (nějakým) poradenstvím.</w:t>
      </w:r>
      <w:r>
        <w:t xml:space="preserve"> </w:t>
      </w:r>
    </w:p>
    <w:p w14:paraId="7C4D6CD1" w14:textId="3C794E3A" w:rsidR="006B6A3B" w:rsidRDefault="006B6A3B" w:rsidP="006B6A3B">
      <w:pPr>
        <w:pStyle w:val="Tlotextu"/>
      </w:pPr>
      <w:r w:rsidRPr="006431A0">
        <w:t xml:space="preserve">Vztah poradce pro pozůstalé a pozůstalého klienta se liší od běžného společenského vztahu, protože se zaměřuje na truchlícího jako příjemce péče, pomoci a podpory </w:t>
      </w:r>
      <w:r w:rsidRPr="006431A0">
        <w:br/>
        <w:t>a na jeho problémy.</w:t>
      </w:r>
      <w:r>
        <w:t xml:space="preserve"> </w:t>
      </w:r>
      <w:r w:rsidRPr="006431A0">
        <w:t>Můžeme to popsat jako blízkost.</w:t>
      </w:r>
      <w:r>
        <w:t xml:space="preserve"> </w:t>
      </w:r>
      <w:r w:rsidRPr="006431A0">
        <w:t xml:space="preserve">Cílem takového vztahu je podpora pozůstalého a obnova, udržení nebo posílení jeho </w:t>
      </w:r>
      <w:proofErr w:type="spellStart"/>
      <w:r w:rsidRPr="006431A0">
        <w:t>self</w:t>
      </w:r>
      <w:proofErr w:type="spellEnd"/>
      <w:r w:rsidRPr="006431A0">
        <w:t>.</w:t>
      </w:r>
      <w:r>
        <w:t xml:space="preserve"> </w:t>
      </w:r>
      <w:r w:rsidRPr="006431A0">
        <w:t xml:space="preserve">Vztah mezi nimi formuje </w:t>
      </w:r>
      <w:r w:rsidRPr="006431A0">
        <w:rPr>
          <w:b/>
          <w:bCs/>
        </w:rPr>
        <w:t>komunikace.</w:t>
      </w:r>
      <w:r w:rsidRPr="00611F47">
        <w:rPr>
          <w:b/>
          <w:bCs/>
        </w:rPr>
        <w:t xml:space="preserve"> </w:t>
      </w:r>
      <w:r w:rsidRPr="006431A0">
        <w:t xml:space="preserve">Obsah komunikace se zaměřuje především na </w:t>
      </w:r>
      <w:r w:rsidRPr="006431A0">
        <w:rPr>
          <w:b/>
          <w:bCs/>
        </w:rPr>
        <w:t>potřeby pozůstalého</w:t>
      </w:r>
      <w:r w:rsidRPr="006431A0">
        <w:t>.</w:t>
      </w:r>
      <w:r>
        <w:t xml:space="preserve"> </w:t>
      </w:r>
      <w:r w:rsidRPr="006431A0">
        <w:t>Poradce pro pozůstalé zjišťuje, co pozůstalý potřebuje.</w:t>
      </w:r>
      <w:r>
        <w:t xml:space="preserve"> </w:t>
      </w:r>
      <w:r w:rsidRPr="006431A0">
        <w:t>Musí zhodnotit jeho aktuální stav, ne/připravenost na poradenství a úroveň jeho ne/fungování.</w:t>
      </w:r>
    </w:p>
    <w:p w14:paraId="36F38D12" w14:textId="700F3669" w:rsidR="006B6A3B" w:rsidRPr="00AB03DE" w:rsidRDefault="006B6A3B" w:rsidP="006B6A3B">
      <w:pPr>
        <w:pStyle w:val="Nadpis2"/>
      </w:pPr>
      <w:bookmarkStart w:id="6" w:name="_Toc64367458"/>
      <w:r>
        <w:t>Základní principy poradenského vztahu</w:t>
      </w:r>
      <w:bookmarkEnd w:id="6"/>
    </w:p>
    <w:p w14:paraId="41548FB4" w14:textId="4BD0B80B" w:rsidR="006B6A3B" w:rsidRDefault="006B6A3B" w:rsidP="006B6A3B">
      <w:pPr>
        <w:pStyle w:val="Tlotextu"/>
      </w:pPr>
      <w:r w:rsidRPr="00611F47">
        <w:rPr>
          <w:b/>
          <w:bCs/>
        </w:rPr>
        <w:t>Základní principy vztahu</w:t>
      </w:r>
      <w:r>
        <w:t xml:space="preserve"> v poradenství pro pozůstalé</w:t>
      </w:r>
      <w:r w:rsidR="003C5607">
        <w:t xml:space="preserve"> (Špatenková, 2013)</w:t>
      </w:r>
      <w:r>
        <w:t>:</w:t>
      </w:r>
    </w:p>
    <w:p w14:paraId="6419B6F1" w14:textId="77777777" w:rsidR="006B6A3B" w:rsidRPr="006431A0" w:rsidRDefault="006B6A3B" w:rsidP="006B6A3B">
      <w:pPr>
        <w:pStyle w:val="Tlotextu"/>
        <w:numPr>
          <w:ilvl w:val="0"/>
          <w:numId w:val="28"/>
        </w:numPr>
      </w:pPr>
      <w:r w:rsidRPr="006431A0">
        <w:t>respekt (bezpodmínečné kladné přijetí),</w:t>
      </w:r>
    </w:p>
    <w:p w14:paraId="498C317D" w14:textId="77777777" w:rsidR="006B6A3B" w:rsidRPr="006431A0" w:rsidRDefault="006B6A3B" w:rsidP="006B6A3B">
      <w:pPr>
        <w:pStyle w:val="Tlotextu"/>
        <w:numPr>
          <w:ilvl w:val="0"/>
          <w:numId w:val="28"/>
        </w:numPr>
      </w:pPr>
      <w:r w:rsidRPr="006431A0">
        <w:t>autentičnost,</w:t>
      </w:r>
    </w:p>
    <w:p w14:paraId="22535E81" w14:textId="77777777" w:rsidR="006B6A3B" w:rsidRPr="006431A0" w:rsidRDefault="006B6A3B" w:rsidP="006B6A3B">
      <w:pPr>
        <w:pStyle w:val="Tlotextu"/>
        <w:numPr>
          <w:ilvl w:val="0"/>
          <w:numId w:val="28"/>
        </w:numPr>
      </w:pPr>
      <w:r w:rsidRPr="006431A0">
        <w:t>empatie,</w:t>
      </w:r>
    </w:p>
    <w:p w14:paraId="735D4963" w14:textId="77777777" w:rsidR="006B6A3B" w:rsidRPr="006431A0" w:rsidRDefault="006B6A3B" w:rsidP="006B6A3B">
      <w:pPr>
        <w:pStyle w:val="Tlotextu"/>
        <w:numPr>
          <w:ilvl w:val="0"/>
          <w:numId w:val="28"/>
        </w:numPr>
      </w:pPr>
      <w:r w:rsidRPr="006431A0">
        <w:t>aktivní naslouchání,</w:t>
      </w:r>
    </w:p>
    <w:p w14:paraId="5CD54297" w14:textId="77777777" w:rsidR="006B6A3B" w:rsidRPr="006431A0" w:rsidRDefault="006B6A3B" w:rsidP="006B6A3B">
      <w:pPr>
        <w:pStyle w:val="Tlotextu"/>
        <w:numPr>
          <w:ilvl w:val="0"/>
          <w:numId w:val="28"/>
        </w:numPr>
      </w:pPr>
      <w:r w:rsidRPr="006431A0">
        <w:t>důvěra</w:t>
      </w:r>
    </w:p>
    <w:p w14:paraId="7C687CC9" w14:textId="77777777" w:rsidR="006B6A3B" w:rsidRDefault="006B6A3B" w:rsidP="006B6A3B">
      <w:pPr>
        <w:pStyle w:val="Tlotextu"/>
        <w:numPr>
          <w:ilvl w:val="0"/>
          <w:numId w:val="28"/>
        </w:numPr>
      </w:pPr>
      <w:r w:rsidRPr="006431A0">
        <w:t>a důvěrnost.</w:t>
      </w:r>
    </w:p>
    <w:p w14:paraId="4F88145E" w14:textId="77777777" w:rsidR="006B6A3B" w:rsidRDefault="006B6A3B" w:rsidP="006B6A3B">
      <w:pPr>
        <w:pStyle w:val="Tlotextu"/>
        <w:ind w:firstLine="708"/>
      </w:pPr>
      <w:r w:rsidRPr="006431A0">
        <w:t xml:space="preserve">Pro popis </w:t>
      </w:r>
      <w:r w:rsidRPr="006431A0">
        <w:rPr>
          <w:b/>
          <w:bCs/>
        </w:rPr>
        <w:t>respektu</w:t>
      </w:r>
      <w:r w:rsidRPr="006431A0">
        <w:t xml:space="preserve"> bývají nejčastěji používána slova jako „neodsuzování“, „přijímání“, „oceňování“ či „úcta“.</w:t>
      </w:r>
      <w:r>
        <w:t xml:space="preserve"> </w:t>
      </w:r>
      <w:r w:rsidRPr="006431A0">
        <w:t>Je to schopnost akceptovat (přijímat) názory a reakce jiného člověka i přes vlastní (a to i nesouhlasné) pocity.</w:t>
      </w:r>
      <w:r>
        <w:t xml:space="preserve"> </w:t>
      </w:r>
      <w:r w:rsidRPr="006431A0">
        <w:t xml:space="preserve">Bezpodmínečné kladné přijetí </w:t>
      </w:r>
      <w:r>
        <w:t xml:space="preserve">(neboli respekt) </w:t>
      </w:r>
      <w:r w:rsidRPr="006431A0">
        <w:t>neznamená souhlas nebo dokonce svolení. Je to neodsuzující přístup k druhému.</w:t>
      </w:r>
      <w:r>
        <w:t xml:space="preserve"> </w:t>
      </w:r>
      <w:r w:rsidRPr="006431A0">
        <w:t>Cílem takového přístupu je, aby se pozůstalý klient v poradenství cítil bezpečně a pohodlně.</w:t>
      </w:r>
    </w:p>
    <w:p w14:paraId="328242F9" w14:textId="77777777" w:rsidR="006B6A3B" w:rsidRPr="006B6A3B" w:rsidRDefault="006B6A3B" w:rsidP="006B6A3B">
      <w:pPr>
        <w:pStyle w:val="Tlotextu"/>
        <w:ind w:left="720" w:firstLine="0"/>
        <w:rPr>
          <w:i/>
          <w:iCs/>
        </w:rPr>
      </w:pPr>
      <w:bookmarkStart w:id="7" w:name="_Hlk60435141"/>
      <w:r w:rsidRPr="006B6A3B">
        <w:rPr>
          <w:i/>
          <w:iCs/>
        </w:rPr>
        <w:t>Doporučení, jak projevovat respekt:</w:t>
      </w:r>
    </w:p>
    <w:bookmarkEnd w:id="7"/>
    <w:p w14:paraId="4A5028B7" w14:textId="77777777" w:rsidR="006B6A3B" w:rsidRPr="006431A0" w:rsidRDefault="006B6A3B" w:rsidP="006B6A3B">
      <w:pPr>
        <w:pStyle w:val="Tlotextu"/>
        <w:numPr>
          <w:ilvl w:val="0"/>
          <w:numId w:val="29"/>
        </w:numPr>
      </w:pPr>
      <w:r w:rsidRPr="006431A0">
        <w:lastRenderedPageBreak/>
        <w:t>Navažte a průběžně budujte vzájemný vztah.</w:t>
      </w:r>
    </w:p>
    <w:p w14:paraId="0036E1A8" w14:textId="77777777" w:rsidR="006B6A3B" w:rsidRPr="006431A0" w:rsidRDefault="006B6A3B" w:rsidP="006B6A3B">
      <w:pPr>
        <w:pStyle w:val="Tlotextu"/>
        <w:numPr>
          <w:ilvl w:val="0"/>
          <w:numId w:val="29"/>
        </w:numPr>
      </w:pPr>
      <w:r w:rsidRPr="006431A0">
        <w:t>Zajistěte pro poradenství klid, soukromí a pohodu.</w:t>
      </w:r>
    </w:p>
    <w:p w14:paraId="547B9018" w14:textId="77777777" w:rsidR="006B6A3B" w:rsidRPr="006431A0" w:rsidRDefault="006B6A3B" w:rsidP="006B6A3B">
      <w:pPr>
        <w:pStyle w:val="Tlotextu"/>
        <w:numPr>
          <w:ilvl w:val="0"/>
          <w:numId w:val="29"/>
        </w:numPr>
      </w:pPr>
      <w:r w:rsidRPr="006431A0">
        <w:t>Buďte velmi taktní a citliví.</w:t>
      </w:r>
    </w:p>
    <w:p w14:paraId="2353CD0D" w14:textId="77777777" w:rsidR="006B6A3B" w:rsidRDefault="006B6A3B" w:rsidP="006B6A3B">
      <w:pPr>
        <w:pStyle w:val="Tlotextu"/>
        <w:numPr>
          <w:ilvl w:val="0"/>
          <w:numId w:val="29"/>
        </w:numPr>
      </w:pPr>
      <w:r w:rsidRPr="006431A0">
        <w:t xml:space="preserve">Mluvte takovým způsobem, abyste si byli jistí, že si vzájemně rozumíte </w:t>
      </w:r>
      <w:r>
        <w:br/>
      </w:r>
      <w:r w:rsidRPr="006431A0">
        <w:t>a chápe, co je sdělováno. (Ujistěte se, že tomu tak skutečně je.)</w:t>
      </w:r>
    </w:p>
    <w:p w14:paraId="60EE35E6" w14:textId="77777777" w:rsidR="006B6A3B" w:rsidRPr="0045547A" w:rsidRDefault="006B6A3B" w:rsidP="006B6A3B">
      <w:pPr>
        <w:pStyle w:val="Tlotextu"/>
        <w:ind w:firstLine="708"/>
        <w:rPr>
          <w:i/>
          <w:iCs/>
        </w:rPr>
      </w:pPr>
      <w:r w:rsidRPr="006431A0">
        <w:rPr>
          <w:b/>
          <w:bCs/>
        </w:rPr>
        <w:t>Autentičnost</w:t>
      </w:r>
      <w:r w:rsidRPr="006431A0">
        <w:t xml:space="preserve"> je schopnost být sám sebou.</w:t>
      </w:r>
      <w:r>
        <w:t xml:space="preserve"> </w:t>
      </w:r>
      <w:r w:rsidRPr="006431A0">
        <w:t>Jestliže dokážete být autentičtí, jste si vědomi svých vlastních reakcí (např. na klienta).</w:t>
      </w:r>
      <w:r>
        <w:t xml:space="preserve"> </w:t>
      </w:r>
      <w:r w:rsidRPr="006431A0">
        <w:t>Nezkreslujete ani necenzurujete ty reakce, které neodpovídají vaší představě o tom, jaký by měl „správný“ profík být.</w:t>
      </w:r>
      <w:r>
        <w:t xml:space="preserve"> </w:t>
      </w:r>
      <w:r w:rsidRPr="0045547A">
        <w:rPr>
          <w:i/>
          <w:iCs/>
        </w:rPr>
        <w:t>(„Tohle bych asi neměla prožívat… Nebo snad nejsem správný poradce pro pozůstalé, když to tak mám?“)</w:t>
      </w:r>
    </w:p>
    <w:p w14:paraId="2D96B204" w14:textId="77777777" w:rsidR="006B6A3B" w:rsidRDefault="006B6A3B" w:rsidP="006B6A3B">
      <w:pPr>
        <w:pStyle w:val="Tlotextu"/>
        <w:ind w:firstLine="708"/>
      </w:pPr>
      <w:r w:rsidRPr="006431A0">
        <w:t xml:space="preserve">Nedílnou součástí poradenství je </w:t>
      </w:r>
      <w:r w:rsidRPr="006431A0">
        <w:rPr>
          <w:b/>
          <w:bCs/>
        </w:rPr>
        <w:t>empatie</w:t>
      </w:r>
      <w:r w:rsidRPr="006431A0">
        <w:t>.</w:t>
      </w:r>
      <w:r>
        <w:t xml:space="preserve"> </w:t>
      </w:r>
      <w:r w:rsidRPr="006431A0">
        <w:t>Empatie je schopnost vcítit se do toho, co druhý člověk prožívá.</w:t>
      </w:r>
      <w:r>
        <w:t xml:space="preserve"> </w:t>
      </w:r>
      <w:r w:rsidRPr="006431A0">
        <w:t>Je to pochopení zkušenosti jiného člověka.</w:t>
      </w:r>
      <w:r>
        <w:t xml:space="preserve"> </w:t>
      </w:r>
      <w:r w:rsidRPr="006431A0">
        <w:t xml:space="preserve">Empatie není sympatie. Sympatie může „vyřadit“ schopnost reálně posuzovat klientovu </w:t>
      </w:r>
      <w:r w:rsidRPr="006431A0">
        <w:rPr>
          <w:i/>
          <w:iCs/>
        </w:rPr>
        <w:t>situaci („Když on je to takový milý člověk…“).</w:t>
      </w:r>
      <w:r w:rsidRPr="006431A0">
        <w:t xml:space="preserve"> Není to ani soustrast nebo lítost. (Soustrast je vlastně zakoušení toho, co druhý cítí. Lítost je pocit soucitu pro někoho.)</w:t>
      </w:r>
      <w:r>
        <w:t xml:space="preserve"> </w:t>
      </w:r>
      <w:r w:rsidRPr="006431A0">
        <w:t>Empatie je schopnost vidět situaci z pohledu někoho jiného, je formou participace (spoluúčasti) na světě toho druhého.</w:t>
      </w:r>
      <w:r>
        <w:t xml:space="preserve"> </w:t>
      </w:r>
      <w:r w:rsidRPr="006431A0">
        <w:t>Empatie dovoluje poradci pro pozůstalé zaměřit se na potřeby klienta.</w:t>
      </w:r>
      <w:r>
        <w:t xml:space="preserve"> </w:t>
      </w:r>
      <w:r w:rsidRPr="006431A0">
        <w:t>Je důležité si uvědomit, že empatie zahrnuje dvě věci: vnímání a komunikaci.</w:t>
      </w:r>
      <w:r>
        <w:t xml:space="preserve"> </w:t>
      </w:r>
      <w:r w:rsidRPr="006431A0">
        <w:t>Vnímat samo o sobě totiž nestačí. Můžeme druhého slyšet, chápat a velmi hluboce sním soucítit. Pokud je však toto vnímání skryto za kamenný obličej a „trapné“ mlčení, není empatie pro druhého moc přínosná. Registrujeme sice problémy klienta, ale nedokážeme na ně vhodně reagovat.</w:t>
      </w:r>
      <w:r>
        <w:t xml:space="preserve"> </w:t>
      </w:r>
      <w:r w:rsidRPr="006431A0">
        <w:t>Klient ví, že byl „slyšen“, ale mlčení může vidět jako bariéru další komunikace.</w:t>
      </w:r>
      <w:r>
        <w:t xml:space="preserve"> </w:t>
      </w:r>
      <w:r w:rsidRPr="006431A0">
        <w:t>Stejně málo přínosná je ale komunikace bez vnímání. Plané fráze mohou být překážkou navázání hlubšího vztahu.</w:t>
      </w:r>
      <w:r>
        <w:t xml:space="preserve"> </w:t>
      </w:r>
    </w:p>
    <w:p w14:paraId="093807CB" w14:textId="77777777" w:rsidR="006B6A3B" w:rsidRDefault="006B6A3B" w:rsidP="006B6A3B">
      <w:pPr>
        <w:pStyle w:val="Tlotextu"/>
        <w:ind w:firstLine="708"/>
      </w:pPr>
      <w:r w:rsidRPr="006431A0">
        <w:t xml:space="preserve">Cestou je </w:t>
      </w:r>
      <w:r w:rsidRPr="00236F5D">
        <w:rPr>
          <w:b/>
          <w:bCs/>
        </w:rPr>
        <w:t>aktivní naslouchání</w:t>
      </w:r>
      <w:r w:rsidRPr="006431A0">
        <w:t xml:space="preserve"> (někdy také označované jako empatické nebo reflektivní naslouchání).</w:t>
      </w:r>
    </w:p>
    <w:p w14:paraId="458F9D09" w14:textId="77777777" w:rsidR="006B6A3B" w:rsidRPr="00236F5D" w:rsidRDefault="006B6A3B" w:rsidP="006B6A3B">
      <w:pPr>
        <w:pStyle w:val="Tlotextu"/>
        <w:ind w:left="720" w:firstLine="0"/>
        <w:rPr>
          <w:i/>
          <w:iCs/>
        </w:rPr>
      </w:pPr>
      <w:r w:rsidRPr="00236F5D">
        <w:rPr>
          <w:i/>
          <w:iCs/>
        </w:rPr>
        <w:t xml:space="preserve">Doporučení, jak projevovat aktivní naslouchání: </w:t>
      </w:r>
    </w:p>
    <w:p w14:paraId="31883524" w14:textId="77777777" w:rsidR="006B6A3B" w:rsidRPr="006431A0" w:rsidRDefault="006B6A3B" w:rsidP="006B6A3B">
      <w:pPr>
        <w:pStyle w:val="Tlotextu"/>
        <w:numPr>
          <w:ilvl w:val="0"/>
          <w:numId w:val="30"/>
        </w:numPr>
      </w:pPr>
      <w:r w:rsidRPr="006431A0">
        <w:t>Snažte se porozumět tomu, co klient sděluje.</w:t>
      </w:r>
    </w:p>
    <w:p w14:paraId="516B7BDF" w14:textId="77777777" w:rsidR="006B6A3B" w:rsidRPr="006431A0" w:rsidRDefault="006B6A3B" w:rsidP="006B6A3B">
      <w:pPr>
        <w:pStyle w:val="Tlotextu"/>
        <w:numPr>
          <w:ilvl w:val="0"/>
          <w:numId w:val="30"/>
        </w:numPr>
      </w:pPr>
      <w:r w:rsidRPr="006431A0">
        <w:t>Pozorně poslouchejte informace, které říká.</w:t>
      </w:r>
    </w:p>
    <w:p w14:paraId="237BF307" w14:textId="77777777" w:rsidR="006B6A3B" w:rsidRPr="006431A0" w:rsidRDefault="006B6A3B" w:rsidP="006B6A3B">
      <w:pPr>
        <w:pStyle w:val="Tlotextu"/>
        <w:numPr>
          <w:ilvl w:val="0"/>
          <w:numId w:val="30"/>
        </w:numPr>
      </w:pPr>
      <w:r w:rsidRPr="006431A0">
        <w:t>Všímejte si i toho, co sděluje neverbálně.</w:t>
      </w:r>
    </w:p>
    <w:p w14:paraId="6527254A" w14:textId="77777777" w:rsidR="006B6A3B" w:rsidRPr="006431A0" w:rsidRDefault="006B6A3B" w:rsidP="006B6A3B">
      <w:pPr>
        <w:pStyle w:val="Tlotextu"/>
        <w:numPr>
          <w:ilvl w:val="0"/>
          <w:numId w:val="30"/>
        </w:numPr>
      </w:pPr>
      <w:r w:rsidRPr="006431A0">
        <w:t>Držte se daného tématu.</w:t>
      </w:r>
    </w:p>
    <w:p w14:paraId="29CE683E" w14:textId="77777777" w:rsidR="006B6A3B" w:rsidRPr="006431A0" w:rsidRDefault="006B6A3B" w:rsidP="006B6A3B">
      <w:pPr>
        <w:pStyle w:val="Tlotextu"/>
        <w:numPr>
          <w:ilvl w:val="0"/>
          <w:numId w:val="30"/>
        </w:numPr>
      </w:pPr>
      <w:r w:rsidRPr="006431A0">
        <w:t>Poskytujte zpětnou vazbu (odezvu na to, co jste slyšeli).</w:t>
      </w:r>
    </w:p>
    <w:p w14:paraId="6E81DCA0" w14:textId="77777777" w:rsidR="006B6A3B" w:rsidRDefault="006B6A3B" w:rsidP="006B6A3B">
      <w:pPr>
        <w:pStyle w:val="Tlotextu"/>
        <w:numPr>
          <w:ilvl w:val="0"/>
          <w:numId w:val="30"/>
        </w:numPr>
        <w:rPr>
          <w:i/>
          <w:iCs/>
        </w:rPr>
      </w:pPr>
      <w:r w:rsidRPr="006431A0">
        <w:lastRenderedPageBreak/>
        <w:t xml:space="preserve">Dávejte verbálně (slovy) i neverbálně (např. přikyvováním) najevo, že soustředěně posloucháte </w:t>
      </w:r>
      <w:r w:rsidRPr="00236F5D">
        <w:rPr>
          <w:i/>
          <w:iCs/>
        </w:rPr>
        <w:t>(„Ano…“)</w:t>
      </w:r>
      <w:r w:rsidRPr="006431A0">
        <w:t xml:space="preserve"> a rozumíte obsahu sdělovaných informací </w:t>
      </w:r>
      <w:r w:rsidRPr="00236F5D">
        <w:rPr>
          <w:i/>
          <w:iCs/>
        </w:rPr>
        <w:t>(„Aha!“).</w:t>
      </w:r>
    </w:p>
    <w:p w14:paraId="06F9D89F" w14:textId="77777777" w:rsidR="006B6A3B" w:rsidRDefault="006B6A3B" w:rsidP="006B6A3B">
      <w:pPr>
        <w:pStyle w:val="Tlotextu"/>
      </w:pPr>
      <w:r w:rsidRPr="006431A0">
        <w:t xml:space="preserve">Pro budování dobrého vztahu a sdílení informací je nezbytně nutné nastolení </w:t>
      </w:r>
      <w:r w:rsidRPr="006431A0">
        <w:rPr>
          <w:b/>
          <w:bCs/>
        </w:rPr>
        <w:t>důvěry</w:t>
      </w:r>
      <w:r w:rsidRPr="006431A0">
        <w:t>.</w:t>
      </w:r>
      <w:r>
        <w:rPr>
          <w:i/>
          <w:iCs/>
        </w:rPr>
        <w:t xml:space="preserve"> </w:t>
      </w:r>
      <w:r w:rsidRPr="006431A0">
        <w:t>Důvěra je základem všech mezilidských vztahů.</w:t>
      </w:r>
      <w:r>
        <w:t xml:space="preserve"> </w:t>
      </w:r>
      <w:r w:rsidRPr="006431A0">
        <w:t>V poradenském vztahu je důvěra naprosto zásadní, protože klient se nachází v citlivé pozici.</w:t>
      </w:r>
      <w:r>
        <w:t xml:space="preserve"> </w:t>
      </w:r>
      <w:r w:rsidRPr="006431A0">
        <w:t>Klient potřebuje věřit, že poradce je důvěryhodný, spolehlivý a že ho přijímá takového, jaký je.</w:t>
      </w:r>
      <w:r>
        <w:t xml:space="preserve"> </w:t>
      </w:r>
    </w:p>
    <w:p w14:paraId="39F7EDDB" w14:textId="77777777" w:rsidR="006B6A3B" w:rsidRPr="00236F5D" w:rsidRDefault="006B6A3B" w:rsidP="006B6A3B">
      <w:pPr>
        <w:pStyle w:val="Tlotextu"/>
        <w:rPr>
          <w:i/>
          <w:iCs/>
        </w:rPr>
      </w:pPr>
      <w:r w:rsidRPr="00236F5D">
        <w:rPr>
          <w:i/>
          <w:iCs/>
        </w:rPr>
        <w:t>Doporučení, jak budovat důvěru:</w:t>
      </w:r>
    </w:p>
    <w:p w14:paraId="776CB6D5" w14:textId="77777777" w:rsidR="006B6A3B" w:rsidRDefault="006B6A3B" w:rsidP="006B6A3B">
      <w:pPr>
        <w:pStyle w:val="Tlotextu"/>
        <w:numPr>
          <w:ilvl w:val="0"/>
          <w:numId w:val="31"/>
        </w:numPr>
      </w:pPr>
      <w:r w:rsidRPr="00236F5D">
        <w:t>Chování poradce pro pozůstalé ovlivňuje rozhodnutí klienta, zda mu může (nebo nemůže) důvěřovat.</w:t>
      </w:r>
    </w:p>
    <w:p w14:paraId="20AF0623" w14:textId="77777777" w:rsidR="006B6A3B" w:rsidRPr="006431A0" w:rsidRDefault="006B6A3B" w:rsidP="006B6A3B">
      <w:pPr>
        <w:pStyle w:val="Tlotextu"/>
        <w:numPr>
          <w:ilvl w:val="0"/>
          <w:numId w:val="31"/>
        </w:numPr>
      </w:pPr>
      <w:r w:rsidRPr="006431A0">
        <w:t>Chovejte se k ostatním zdvořile.</w:t>
      </w:r>
    </w:p>
    <w:p w14:paraId="758B30D2" w14:textId="77777777" w:rsidR="006B6A3B" w:rsidRPr="006431A0" w:rsidRDefault="006B6A3B" w:rsidP="006B6A3B">
      <w:pPr>
        <w:pStyle w:val="Tlotextu"/>
        <w:numPr>
          <w:ilvl w:val="0"/>
          <w:numId w:val="31"/>
        </w:numPr>
      </w:pPr>
      <w:r w:rsidRPr="006431A0">
        <w:t>Dopřejte jim pocit, že jsou to respektované (přijímané) lidské bytosti.</w:t>
      </w:r>
    </w:p>
    <w:p w14:paraId="77DCECC2" w14:textId="77777777" w:rsidR="006B6A3B" w:rsidRPr="006431A0" w:rsidRDefault="006B6A3B" w:rsidP="006B6A3B">
      <w:pPr>
        <w:pStyle w:val="Tlotextu"/>
        <w:numPr>
          <w:ilvl w:val="0"/>
          <w:numId w:val="31"/>
        </w:numPr>
      </w:pPr>
      <w:r w:rsidRPr="006431A0">
        <w:t>Jestliže jim nasloucháte, budou cítit, že jim rozumíte a zajímáte se o ně.</w:t>
      </w:r>
    </w:p>
    <w:p w14:paraId="7173D412" w14:textId="77777777" w:rsidR="006B6A3B" w:rsidRDefault="006B6A3B" w:rsidP="006B6A3B">
      <w:pPr>
        <w:pStyle w:val="Tlotextu"/>
        <w:numPr>
          <w:ilvl w:val="0"/>
          <w:numId w:val="31"/>
        </w:numPr>
      </w:pPr>
      <w:r w:rsidRPr="006431A0">
        <w:t>Buďte autentičtí (upřímní) a oni budou vědět, že jste důvěryhodní.</w:t>
      </w:r>
    </w:p>
    <w:p w14:paraId="039BB1A6" w14:textId="77777777" w:rsidR="006B6A3B" w:rsidRPr="006431A0" w:rsidRDefault="006B6A3B" w:rsidP="006B6A3B">
      <w:pPr>
        <w:pStyle w:val="Tlotextu"/>
        <w:numPr>
          <w:ilvl w:val="0"/>
          <w:numId w:val="31"/>
        </w:numPr>
      </w:pPr>
      <w:r w:rsidRPr="006431A0">
        <w:t>Důvěrnost velmi úzce souvisí s důvěryhodností.</w:t>
      </w:r>
    </w:p>
    <w:p w14:paraId="06FAF191" w14:textId="77777777" w:rsidR="006B6A3B" w:rsidRDefault="006B6A3B" w:rsidP="006B6A3B">
      <w:pPr>
        <w:pStyle w:val="Tlotextu"/>
        <w:numPr>
          <w:ilvl w:val="0"/>
          <w:numId w:val="31"/>
        </w:numPr>
      </w:pPr>
      <w:r w:rsidRPr="006431A0">
        <w:t xml:space="preserve">Poradce pro pozůstalé by neměl sdílet informace o tom, co se o klientovi </w:t>
      </w:r>
      <w:r w:rsidRPr="006431A0">
        <w:br/>
        <w:t>a v poradenství dozvěděl, s jinými osobami (až na specifické okolnosti).</w:t>
      </w:r>
    </w:p>
    <w:p w14:paraId="64120D5B" w14:textId="77777777" w:rsidR="006B6A3B" w:rsidRDefault="006B6A3B" w:rsidP="006B6A3B">
      <w:pPr>
        <w:pStyle w:val="Tlotextu"/>
        <w:numPr>
          <w:ilvl w:val="0"/>
          <w:numId w:val="31"/>
        </w:numPr>
      </w:pPr>
      <w:r w:rsidRPr="006431A0">
        <w:t>Pro vztah založený na důvěře je důležité, aby pozůstalý klient věděl, že informace o něm i informace od něho jsou (a zůstanou) důvěrné.</w:t>
      </w:r>
    </w:p>
    <w:p w14:paraId="08669BE6" w14:textId="206106AC" w:rsidR="006B6A3B" w:rsidRPr="00AB03DE" w:rsidRDefault="006B6A3B" w:rsidP="006B6A3B">
      <w:pPr>
        <w:pStyle w:val="Nadpis2"/>
      </w:pPr>
      <w:bookmarkStart w:id="8" w:name="_Toc64367459"/>
      <w:r>
        <w:t>Diagnostika normálního a komplikovaného truchlení</w:t>
      </w:r>
      <w:bookmarkEnd w:id="8"/>
    </w:p>
    <w:p w14:paraId="2397596A" w14:textId="594B81EB" w:rsidR="006B6A3B" w:rsidRDefault="006B6A3B" w:rsidP="006B6A3B">
      <w:pPr>
        <w:pStyle w:val="Tlotextu"/>
      </w:pPr>
      <w:r w:rsidRPr="006431A0">
        <w:t>Další</w:t>
      </w:r>
      <w:r>
        <w:t>m</w:t>
      </w:r>
      <w:r w:rsidRPr="006431A0">
        <w:t xml:space="preserve"> cíl</w:t>
      </w:r>
      <w:r>
        <w:t>em</w:t>
      </w:r>
      <w:r w:rsidRPr="006431A0">
        <w:t xml:space="preserve"> </w:t>
      </w:r>
      <w:r>
        <w:t xml:space="preserve">prvního </w:t>
      </w:r>
      <w:r w:rsidRPr="006431A0">
        <w:t>setkání</w:t>
      </w:r>
      <w:r>
        <w:t xml:space="preserve"> je </w:t>
      </w:r>
      <w:r w:rsidRPr="00236F5D">
        <w:rPr>
          <w:b/>
          <w:bCs/>
        </w:rPr>
        <w:t>diagnostikovat normální a komplikovaný průběh</w:t>
      </w:r>
      <w:r>
        <w:t xml:space="preserve"> truchlení</w:t>
      </w:r>
      <w:r w:rsidRPr="006431A0">
        <w:t>, resp. určit rizikové faktory</w:t>
      </w:r>
      <w:r>
        <w:t xml:space="preserve">. I „normální“ zármutek je někdy nezainteresovanými osobami označován chybně jako: </w:t>
      </w:r>
    </w:p>
    <w:p w14:paraId="004E0CEE" w14:textId="77777777" w:rsidR="006B6A3B" w:rsidRPr="006431A0" w:rsidRDefault="006B6A3B" w:rsidP="006B6A3B">
      <w:pPr>
        <w:pStyle w:val="Tlotextu"/>
        <w:numPr>
          <w:ilvl w:val="0"/>
          <w:numId w:val="32"/>
        </w:numPr>
      </w:pPr>
      <w:r w:rsidRPr="006431A0">
        <w:t>Patologický stav</w:t>
      </w:r>
    </w:p>
    <w:p w14:paraId="4D52BCA2" w14:textId="77777777" w:rsidR="006B6A3B" w:rsidRPr="006431A0" w:rsidRDefault="006B6A3B" w:rsidP="006B6A3B">
      <w:pPr>
        <w:pStyle w:val="Tlotextu"/>
        <w:numPr>
          <w:ilvl w:val="0"/>
          <w:numId w:val="32"/>
        </w:numPr>
      </w:pPr>
      <w:r w:rsidRPr="006431A0">
        <w:t>Porucha osobnosti</w:t>
      </w:r>
    </w:p>
    <w:p w14:paraId="7A1B7934" w14:textId="77777777" w:rsidR="006B6A3B" w:rsidRPr="006431A0" w:rsidRDefault="006B6A3B" w:rsidP="006B6A3B">
      <w:pPr>
        <w:pStyle w:val="Tlotextu"/>
        <w:numPr>
          <w:ilvl w:val="0"/>
          <w:numId w:val="32"/>
        </w:numPr>
      </w:pPr>
      <w:r w:rsidRPr="006431A0">
        <w:t>Vyhoření</w:t>
      </w:r>
    </w:p>
    <w:p w14:paraId="0B05ACC4" w14:textId="77777777" w:rsidR="006B6A3B" w:rsidRPr="006431A0" w:rsidRDefault="006B6A3B" w:rsidP="006B6A3B">
      <w:pPr>
        <w:pStyle w:val="Tlotextu"/>
        <w:numPr>
          <w:ilvl w:val="0"/>
          <w:numId w:val="32"/>
        </w:numPr>
      </w:pPr>
      <w:r w:rsidRPr="006431A0">
        <w:t>Stres</w:t>
      </w:r>
    </w:p>
    <w:p w14:paraId="73C18BD4" w14:textId="77777777" w:rsidR="006B6A3B" w:rsidRPr="006431A0" w:rsidRDefault="006B6A3B" w:rsidP="006B6A3B">
      <w:pPr>
        <w:pStyle w:val="Tlotextu"/>
        <w:numPr>
          <w:ilvl w:val="0"/>
          <w:numId w:val="32"/>
        </w:numPr>
      </w:pPr>
      <w:r w:rsidRPr="006431A0">
        <w:t>Posttraumatická stresová porucha</w:t>
      </w:r>
    </w:p>
    <w:p w14:paraId="631E3FCC" w14:textId="77777777" w:rsidR="006B6A3B" w:rsidRPr="006431A0" w:rsidRDefault="006B6A3B" w:rsidP="006B6A3B">
      <w:pPr>
        <w:pStyle w:val="Tlotextu"/>
        <w:numPr>
          <w:ilvl w:val="0"/>
          <w:numId w:val="32"/>
        </w:numPr>
      </w:pPr>
      <w:r w:rsidRPr="006431A0">
        <w:lastRenderedPageBreak/>
        <w:t>Porucha pozornosti</w:t>
      </w:r>
    </w:p>
    <w:p w14:paraId="1A8251A6" w14:textId="77777777" w:rsidR="006B6A3B" w:rsidRDefault="006B6A3B" w:rsidP="006B6A3B">
      <w:pPr>
        <w:pStyle w:val="Tlotextu"/>
        <w:numPr>
          <w:ilvl w:val="0"/>
          <w:numId w:val="32"/>
        </w:numPr>
      </w:pPr>
      <w:r w:rsidRPr="006431A0">
        <w:t>Deprese</w:t>
      </w:r>
    </w:p>
    <w:p w14:paraId="14830D4C" w14:textId="77777777" w:rsidR="006B6A3B" w:rsidRDefault="006B6A3B" w:rsidP="006B6A3B">
      <w:pPr>
        <w:pStyle w:val="Tlotextu"/>
        <w:ind w:firstLine="708"/>
      </w:pPr>
      <w:r>
        <w:t xml:space="preserve">Dalším cílem prvního setkání je </w:t>
      </w:r>
      <w:r w:rsidRPr="00513A23">
        <w:rPr>
          <w:b/>
          <w:bCs/>
        </w:rPr>
        <w:t>rozpoznat situaci pozůstalého</w:t>
      </w:r>
      <w:r>
        <w:t>. Klient může být přetížen svým stresem:</w:t>
      </w:r>
    </w:p>
    <w:p w14:paraId="02A1D4BC" w14:textId="77777777" w:rsidR="006B6A3B" w:rsidRPr="00611F47" w:rsidRDefault="006B6A3B" w:rsidP="006B6A3B">
      <w:pPr>
        <w:pStyle w:val="Tlotextu"/>
        <w:numPr>
          <w:ilvl w:val="0"/>
          <w:numId w:val="33"/>
        </w:numPr>
      </w:pPr>
      <w:r w:rsidRPr="00611F47">
        <w:t>Vytrvalé myšlenky na sebedestrukci</w:t>
      </w:r>
    </w:p>
    <w:p w14:paraId="156AE5A6" w14:textId="77777777" w:rsidR="006B6A3B" w:rsidRPr="00611F47" w:rsidRDefault="006B6A3B" w:rsidP="006B6A3B">
      <w:pPr>
        <w:pStyle w:val="Tlotextu"/>
        <w:numPr>
          <w:ilvl w:val="0"/>
          <w:numId w:val="33"/>
        </w:numPr>
      </w:pPr>
      <w:r w:rsidRPr="00611F47">
        <w:t>Nedaří se obstarat základní potřeby</w:t>
      </w:r>
    </w:p>
    <w:p w14:paraId="40F8D15F" w14:textId="77777777" w:rsidR="006B6A3B" w:rsidRPr="00611F47" w:rsidRDefault="006B6A3B" w:rsidP="006B6A3B">
      <w:pPr>
        <w:pStyle w:val="Tlotextu"/>
        <w:numPr>
          <w:ilvl w:val="0"/>
          <w:numId w:val="33"/>
        </w:numPr>
      </w:pPr>
      <w:r w:rsidRPr="00611F47">
        <w:t>Úpornost jedné konkrétní reakce, např. deprese, strnuti, zoufalství, strach</w:t>
      </w:r>
    </w:p>
    <w:p w14:paraId="2484FF9B" w14:textId="77777777" w:rsidR="006B6A3B" w:rsidRPr="00611F47" w:rsidRDefault="006B6A3B" w:rsidP="006B6A3B">
      <w:pPr>
        <w:pStyle w:val="Tlotextu"/>
        <w:numPr>
          <w:ilvl w:val="0"/>
          <w:numId w:val="33"/>
        </w:numPr>
      </w:pPr>
      <w:r w:rsidRPr="00611F47">
        <w:t>Zneužívání návykových látek</w:t>
      </w:r>
    </w:p>
    <w:p w14:paraId="1D4EABD6" w14:textId="77777777" w:rsidR="006B6A3B" w:rsidRDefault="006B6A3B" w:rsidP="006B6A3B">
      <w:pPr>
        <w:pStyle w:val="Tlotextu"/>
        <w:numPr>
          <w:ilvl w:val="0"/>
          <w:numId w:val="33"/>
        </w:numPr>
      </w:pPr>
      <w:r w:rsidRPr="00611F47">
        <w:t>Duševní choroby: např. halucinace, „zhroucení"</w:t>
      </w:r>
    </w:p>
    <w:p w14:paraId="6E22F201" w14:textId="77777777" w:rsidR="006B6A3B" w:rsidRDefault="006B6A3B" w:rsidP="006B6A3B">
      <w:pPr>
        <w:pStyle w:val="Tlotextu"/>
        <w:ind w:left="720" w:firstLine="0"/>
      </w:pPr>
      <w:r w:rsidRPr="00236F5D">
        <w:rPr>
          <w:b/>
          <w:bCs/>
        </w:rPr>
        <w:t>Komplikované truchlení</w:t>
      </w:r>
      <w:r>
        <w:t xml:space="preserve"> může mít následující podobu: </w:t>
      </w:r>
    </w:p>
    <w:p w14:paraId="4DAAF238" w14:textId="77777777" w:rsidR="006B6A3B" w:rsidRPr="00611F47" w:rsidRDefault="006B6A3B" w:rsidP="006B6A3B">
      <w:pPr>
        <w:pStyle w:val="Tlotextu"/>
        <w:numPr>
          <w:ilvl w:val="0"/>
          <w:numId w:val="34"/>
        </w:numPr>
      </w:pPr>
      <w:r w:rsidRPr="00611F47">
        <w:t>Chronické reakce</w:t>
      </w:r>
    </w:p>
    <w:p w14:paraId="321B30E0" w14:textId="77777777" w:rsidR="006B6A3B" w:rsidRPr="00611F47" w:rsidRDefault="006B6A3B" w:rsidP="006B6A3B">
      <w:pPr>
        <w:pStyle w:val="Tlotextu"/>
        <w:numPr>
          <w:ilvl w:val="0"/>
          <w:numId w:val="34"/>
        </w:numPr>
      </w:pPr>
      <w:r w:rsidRPr="00611F47">
        <w:t>Odložené reakce</w:t>
      </w:r>
    </w:p>
    <w:p w14:paraId="582ED5BE" w14:textId="77777777" w:rsidR="006B6A3B" w:rsidRPr="00611F47" w:rsidRDefault="006B6A3B" w:rsidP="006B6A3B">
      <w:pPr>
        <w:pStyle w:val="Tlotextu"/>
        <w:numPr>
          <w:ilvl w:val="0"/>
          <w:numId w:val="34"/>
        </w:numPr>
      </w:pPr>
      <w:r w:rsidRPr="00611F47">
        <w:t>Excesivní (přehnané) reakce</w:t>
      </w:r>
    </w:p>
    <w:p w14:paraId="17CAC819" w14:textId="3E98960F" w:rsidR="006B6A3B" w:rsidRPr="00073D0D" w:rsidRDefault="006B6A3B" w:rsidP="006B6A3B">
      <w:pPr>
        <w:pStyle w:val="Tlotextu"/>
        <w:numPr>
          <w:ilvl w:val="0"/>
          <w:numId w:val="34"/>
        </w:numPr>
      </w:pPr>
      <w:proofErr w:type="spellStart"/>
      <w:r w:rsidRPr="00611F47">
        <w:t>Larvované</w:t>
      </w:r>
      <w:proofErr w:type="spellEnd"/>
      <w:r w:rsidRPr="00611F47">
        <w:t xml:space="preserve"> (maskované) reakce</w:t>
      </w:r>
      <w:r w:rsidR="003C5607">
        <w:t xml:space="preserve"> (Kubíčková, 2001). </w:t>
      </w:r>
    </w:p>
    <w:p w14:paraId="23C3B186" w14:textId="77777777" w:rsidR="00B97E35" w:rsidRPr="00B97E35" w:rsidRDefault="00B97E35" w:rsidP="00511FEA">
      <w:pPr>
        <w:pStyle w:val="Tlotextu"/>
        <w:ind w:firstLine="0"/>
      </w:pPr>
    </w:p>
    <w:p w14:paraId="6E6B7DF9" w14:textId="77777777" w:rsidR="00B97E35" w:rsidRPr="00294045" w:rsidRDefault="00B97E35" w:rsidP="00B97E35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  <w:color w:val="981E3A"/>
        </w:rPr>
      </w:pPr>
      <w:r>
        <w:rPr>
          <w:rFonts w:ascii="Arial" w:hAnsi="Arial"/>
          <w:b/>
          <w:i/>
          <w:caps/>
          <w:color w:val="981E3A"/>
        </w:rPr>
        <w:t>shrnutí</w:t>
      </w:r>
    </w:p>
    <w:p w14:paraId="74AA66E9" w14:textId="7A749BFB" w:rsidR="00B97E35" w:rsidRPr="00B97E35" w:rsidRDefault="00B97E35" w:rsidP="00B97E3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</w:rPr>
        <w:drawing>
          <wp:inline distT="0" distB="0" distL="0" distR="0" wp14:anchorId="2DE2E80B" wp14:editId="5C45BD1B">
            <wp:extent cx="384175" cy="384175"/>
            <wp:effectExtent l="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7E35">
        <w:rPr>
          <w:noProof/>
          <w:lang w:eastAsia="cs-CZ"/>
        </w:rPr>
        <w:drawing>
          <wp:inline distT="0" distB="0" distL="0" distR="0" wp14:anchorId="77A3A767" wp14:editId="5C5A0830">
            <wp:extent cx="381635" cy="381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5656B" w14:textId="779D265F" w:rsidR="008E748B" w:rsidRPr="00B97E35" w:rsidRDefault="006B6A3B" w:rsidP="006B6A3B">
      <w:pPr>
        <w:spacing w:before="240" w:after="240"/>
        <w:ind w:firstLine="284"/>
        <w:jc w:val="both"/>
        <w:rPr>
          <w:rFonts w:eastAsia="Times New Roman" w:cs="Times New Roman"/>
          <w:szCs w:val="24"/>
        </w:rPr>
      </w:pPr>
      <w:r w:rsidRPr="006B6A3B">
        <w:t xml:space="preserve">Cílem prvního setkání s klientem v poradenství pro pozůstalé je vybudovat důvěry-hodný vztah, určit rizikové faktory, rozlišit upřímný smutek od deprese, ustanovit přibližnou představu o počtu setkání, která budou potřeba, a o časovém rámci, určit, jestli je potřeba další sociální opora. Budování důvěryhodného vztahu je založeno na naplnění základních principů vztahu v poradenství pro pozůstalé, kterými jsou respekt (bezpodmínečné kladné přijetí), autentičnost, empatie, aktivní naslouchání, důvěra a důvěrnost. </w:t>
      </w:r>
    </w:p>
    <w:p w14:paraId="25C5A141" w14:textId="77777777" w:rsidR="00B97E35" w:rsidRPr="00B97E35" w:rsidRDefault="00B97E35" w:rsidP="00B97E35">
      <w:pPr>
        <w:pBdr>
          <w:top w:val="threeDEngrave" w:sz="24" w:space="1" w:color="auto"/>
        </w:pBdr>
        <w:spacing w:after="120"/>
        <w:ind w:firstLine="284"/>
        <w:jc w:val="both"/>
      </w:pPr>
    </w:p>
    <w:p w14:paraId="32F46503" w14:textId="32712CC8" w:rsidR="00E03275" w:rsidRDefault="00E03275">
      <w:r>
        <w:br w:type="page"/>
      </w:r>
    </w:p>
    <w:p w14:paraId="7ED3A591" w14:textId="77777777" w:rsidR="007D2DE4" w:rsidRDefault="007D2DE4" w:rsidP="007D2DE4">
      <w:pPr>
        <w:pStyle w:val="Nadpis1"/>
      </w:pPr>
      <w:bookmarkStart w:id="9" w:name="_Toc2426295"/>
      <w:bookmarkStart w:id="10" w:name="_Toc64367460"/>
      <w:r>
        <w:lastRenderedPageBreak/>
        <w:t>Pedagogicko didaktické poznámky</w:t>
      </w:r>
      <w:bookmarkEnd w:id="9"/>
      <w:bookmarkEnd w:id="10"/>
    </w:p>
    <w:p w14:paraId="2ECE9443" w14:textId="77777777" w:rsidR="00E03275" w:rsidRPr="004B005B" w:rsidRDefault="00E03275" w:rsidP="00E03275">
      <w:pPr>
        <w:pStyle w:val="parNadpisPrvkuCerveny"/>
      </w:pPr>
      <w:bookmarkStart w:id="11" w:name="_Ref496517263"/>
      <w:bookmarkStart w:id="12" w:name="_Ref496517279"/>
      <w:bookmarkStart w:id="13" w:name="_Ref496517289"/>
      <w:r w:rsidRPr="004B005B">
        <w:t>Průvodce studiem</w:t>
      </w:r>
    </w:p>
    <w:p w14:paraId="461AAC4D" w14:textId="77777777" w:rsidR="00E03275" w:rsidRDefault="00E03275" w:rsidP="00E0327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365AFA8" wp14:editId="6F10638B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FE1D" w14:textId="6E2850AD" w:rsidR="00CC68FE" w:rsidRPr="00CC68FE" w:rsidRDefault="008E748B" w:rsidP="00CC68FE">
      <w:pPr>
        <w:pStyle w:val="Tlotextu"/>
      </w:pPr>
      <w:r w:rsidRPr="008E748B">
        <w:t>Materiál je určen pro posluchače kurzu Paliativní a hospicová péče oboru Sociální pato-</w:t>
      </w:r>
      <w:proofErr w:type="spellStart"/>
      <w:r w:rsidRPr="008E748B">
        <w:t>logie</w:t>
      </w:r>
      <w:proofErr w:type="spellEnd"/>
      <w:r w:rsidRPr="008E748B">
        <w:t xml:space="preserve"> a prevence kombinované formy studia na Slezské univerzitě v Opavě v prostředí IS SU. </w:t>
      </w:r>
      <w:r>
        <w:t xml:space="preserve">Lze ho využít také pro výuku dalších oborů, např. </w:t>
      </w:r>
      <w:proofErr w:type="gramStart"/>
      <w:r w:rsidR="00E03275" w:rsidRPr="009004E1">
        <w:t>090-Zdravotní</w:t>
      </w:r>
      <w:proofErr w:type="gramEnd"/>
      <w:r w:rsidR="00E03275" w:rsidRPr="009004E1">
        <w:t xml:space="preserve"> a sociální péče, péče o příznivé životní podmínky – obory d. n., 091-Zdravotní péče, 0</w:t>
      </w:r>
      <w:r w:rsidR="00CC68FE">
        <w:t>319</w:t>
      </w:r>
      <w:r w:rsidR="00E03275" w:rsidRPr="009004E1">
        <w:t>-</w:t>
      </w:r>
      <w:r w:rsidR="00CC68FE">
        <w:t>S</w:t>
      </w:r>
      <w:r w:rsidR="00CC68FE" w:rsidRPr="00CC68FE">
        <w:t>ociální práce, věda o lidském chování</w:t>
      </w:r>
      <w:r w:rsidR="00CC68FE">
        <w:t>.</w:t>
      </w:r>
    </w:p>
    <w:p w14:paraId="205F4EFB" w14:textId="73E09237" w:rsidR="00E03275" w:rsidRDefault="00B56312" w:rsidP="00E03275">
      <w:pPr>
        <w:pStyle w:val="Tlotextu"/>
      </w:pPr>
      <w:r w:rsidRPr="00B56312">
        <w:t xml:space="preserve">Po prostudování </w:t>
      </w:r>
      <w:r w:rsidR="00CC68FE">
        <w:t xml:space="preserve">tohoto studijního textu </w:t>
      </w:r>
      <w:r w:rsidRPr="00B56312">
        <w:t xml:space="preserve">a shlédnutí videa, budou studenti </w:t>
      </w:r>
      <w:r w:rsidR="00CC68FE">
        <w:t xml:space="preserve">uvedeni do problematiky </w:t>
      </w:r>
      <w:r w:rsidR="003C5607">
        <w:t xml:space="preserve">prvního </w:t>
      </w:r>
      <w:r w:rsidR="00A84512">
        <w:t xml:space="preserve">setkání </w:t>
      </w:r>
      <w:r w:rsidR="003C5607">
        <w:t xml:space="preserve">s pozůstalým klientem v kontextu poradenství pro pozůstalé. </w:t>
      </w:r>
      <w:r w:rsidR="00CC68FE">
        <w:t>J</w:t>
      </w:r>
      <w:r w:rsidRPr="00B56312">
        <w:t xml:space="preserve">sou zde uvedeny </w:t>
      </w:r>
      <w:r w:rsidR="003C5607">
        <w:t xml:space="preserve">základní principy vztahu vycházející z PCA terapie dle C. R. </w:t>
      </w:r>
      <w:proofErr w:type="spellStart"/>
      <w:r w:rsidR="003C5607">
        <w:t>Rogerse</w:t>
      </w:r>
      <w:proofErr w:type="spellEnd"/>
      <w:r w:rsidR="003C5607">
        <w:t>.</w:t>
      </w:r>
    </w:p>
    <w:p w14:paraId="095650CE" w14:textId="310549A3" w:rsidR="006357B1" w:rsidRDefault="006357B1" w:rsidP="006357B1">
      <w:pPr>
        <w:pStyle w:val="Tlotextu"/>
      </w:pPr>
      <w:r>
        <w:t>Doporučuje se nastudování předchozích studijních materiálů a videí pro zajištění kontinuity a orientace v problematice.</w:t>
      </w:r>
    </w:p>
    <w:p w14:paraId="0D2FB29A" w14:textId="77777777" w:rsidR="007D2DE4" w:rsidRDefault="007D2DE4" w:rsidP="007D2DE4">
      <w:pPr>
        <w:pStyle w:val="parUkonceniPrvku"/>
      </w:pPr>
    </w:p>
    <w:bookmarkEnd w:id="11"/>
    <w:bookmarkEnd w:id="12"/>
    <w:bookmarkEnd w:id="13"/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309A" w14:textId="445C2B23" w:rsidR="00BC06B9" w:rsidRDefault="006B6A3B" w:rsidP="00652952">
      <w:pPr>
        <w:pStyle w:val="Tlotextu"/>
      </w:pPr>
      <w:r w:rsidRPr="006B6A3B">
        <w:t xml:space="preserve">Dokážete si představit, jaké rizikové faktory budou zpravidla disponovat k rozvoji tzv. komplikovaného truchlení?  Jak byste to poznali? A pokud byste to poznali, co a jak byste dělali? </w:t>
      </w:r>
    </w:p>
    <w:p w14:paraId="0235EE54" w14:textId="77777777" w:rsidR="007D2DE4" w:rsidRDefault="007D2DE4" w:rsidP="007D2DE4">
      <w:pPr>
        <w:pStyle w:val="parUkonceniPrvku"/>
      </w:pPr>
      <w:bookmarkStart w:id="14" w:name="_GoBack"/>
      <w:bookmarkEnd w:id="14"/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A9C7" w14:textId="720C22CD" w:rsidR="0081297C" w:rsidRDefault="003C5607" w:rsidP="00CC120D">
      <w:pPr>
        <w:pStyle w:val="Tlotextu"/>
      </w:pPr>
      <w:r>
        <w:t xml:space="preserve">Jak se může truchlení běžně projevovat v reálném životě pozůstalého? </w:t>
      </w:r>
    </w:p>
    <w:p w14:paraId="3257697F" w14:textId="77777777" w:rsidR="007D2DE4" w:rsidRDefault="007D2DE4" w:rsidP="007D2DE4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19DD" w14:textId="1BF6D8DB" w:rsidR="0081297C" w:rsidRDefault="006C2896" w:rsidP="0081297C">
      <w:pPr>
        <w:pStyle w:val="Tlotextu"/>
        <w:numPr>
          <w:ilvl w:val="0"/>
          <w:numId w:val="14"/>
        </w:numPr>
      </w:pPr>
      <w:r>
        <w:t xml:space="preserve">Co je to </w:t>
      </w:r>
      <w:r w:rsidR="003C5607">
        <w:t>PCA</w:t>
      </w:r>
      <w:r w:rsidR="0081297C">
        <w:t>?</w:t>
      </w:r>
    </w:p>
    <w:p w14:paraId="638A0854" w14:textId="3DEBA00B" w:rsidR="0081297C" w:rsidRDefault="003C5607" w:rsidP="0081297C">
      <w:pPr>
        <w:pStyle w:val="Tlotextu"/>
        <w:numPr>
          <w:ilvl w:val="0"/>
          <w:numId w:val="14"/>
        </w:numPr>
      </w:pPr>
      <w:r>
        <w:t>Co je to respekt</w:t>
      </w:r>
      <w:r w:rsidR="006C2896">
        <w:t xml:space="preserve">? </w:t>
      </w:r>
    </w:p>
    <w:p w14:paraId="05B2D58E" w14:textId="358BD981" w:rsidR="007D2DE4" w:rsidRDefault="003C5607" w:rsidP="007D2DE4">
      <w:pPr>
        <w:pStyle w:val="Tlotextu"/>
        <w:numPr>
          <w:ilvl w:val="0"/>
          <w:numId w:val="14"/>
        </w:numPr>
      </w:pPr>
      <w:r>
        <w:t>Jaké základní principy vztahu akcentuje PCA přístup</w:t>
      </w:r>
      <w:r w:rsidR="0081297C">
        <w:t>?</w:t>
      </w:r>
    </w:p>
    <w:p w14:paraId="49228B2B" w14:textId="3B0A0B26" w:rsidR="0056462D" w:rsidRPr="0056462D" w:rsidRDefault="0056462D" w:rsidP="0056462D">
      <w:pPr>
        <w:pStyle w:val="Tlotextu"/>
        <w:spacing w:after="0"/>
        <w:ind w:left="1004" w:firstLine="0"/>
        <w:rPr>
          <w:sz w:val="16"/>
          <w:szCs w:val="16"/>
        </w:rPr>
      </w:pPr>
    </w:p>
    <w:p w14:paraId="252B975F" w14:textId="77777777" w:rsidR="007D2DE4" w:rsidRDefault="007D2DE4" w:rsidP="0056462D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lastRenderedPageBreak/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ABCE" w14:textId="450FC7FC" w:rsidR="0081297C" w:rsidRDefault="0081297C" w:rsidP="00CC120D">
      <w:pPr>
        <w:pStyle w:val="Tlotextu"/>
      </w:pPr>
      <w:r w:rsidRPr="0081297C">
        <w:t xml:space="preserve">Vyhledejte </w:t>
      </w:r>
      <w:r w:rsidR="003C5607">
        <w:t>informace o komplikovaném truchlení a vymezte ho vůči normálnímu procesu truchlení, resp. nekomplikovanému truchlení</w:t>
      </w:r>
      <w:r w:rsidR="00652952">
        <w:t>.</w:t>
      </w:r>
    </w:p>
    <w:p w14:paraId="0E1F3325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5DF9BDE6" w14:textId="77777777" w:rsidR="007D2DE4" w:rsidRDefault="007D2DE4" w:rsidP="007D2DE4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8281" w14:textId="02001CBA" w:rsidR="007D2DE4" w:rsidRDefault="006B6A3B" w:rsidP="00652952">
      <w:pPr>
        <w:pStyle w:val="Tlotextu"/>
      </w:pPr>
      <w:r w:rsidRPr="006B6A3B">
        <w:t xml:space="preserve">Dokážete si představit, jak byste budovali důvěryhodný vztah s klientem Vy? Co </w:t>
      </w:r>
      <w:proofErr w:type="spellStart"/>
      <w:r w:rsidRPr="006B6A3B">
        <w:t>kon-krétně</w:t>
      </w:r>
      <w:proofErr w:type="spellEnd"/>
      <w:r w:rsidRPr="006B6A3B">
        <w:t xml:space="preserve"> byste pro to podnikli, co a jak byste udělali?</w:t>
      </w:r>
      <w:r>
        <w:t xml:space="preserve"> </w:t>
      </w:r>
    </w:p>
    <w:p w14:paraId="56914FFA" w14:textId="77777777" w:rsidR="007D2DE4" w:rsidRDefault="007D2DE4" w:rsidP="007D2DE4">
      <w:pPr>
        <w:pStyle w:val="parUkonceniPrvku"/>
      </w:pPr>
    </w:p>
    <w:p w14:paraId="289CC85D" w14:textId="77777777" w:rsidR="000F0EE0" w:rsidRDefault="000F0EE0" w:rsidP="00CC120D">
      <w:pPr>
        <w:pStyle w:val="Tlotext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3C17BD" w:rsidP="00CC3B3A">
          <w:pPr>
            <w:pStyle w:val="Tlotextu"/>
            <w:sectPr w:rsidR="00CC3B3A" w:rsidSect="00511FEA">
              <w:headerReference w:type="even" r:id="rId33"/>
              <w:headerReference w:type="default" r:id="rId34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5" w:name="_Toc64367461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5" w:displacedByCustomXml="prev"/>
    <w:p w14:paraId="1C8914BC" w14:textId="7958B268" w:rsidR="006C2896" w:rsidRDefault="006C2896" w:rsidP="006C2896">
      <w:pPr>
        <w:pStyle w:val="Tlotextu"/>
      </w:pPr>
      <w:r>
        <w:t xml:space="preserve">PARKES, C. M., RELFOVÁ, M., COULDRICKOVÁ, A. </w:t>
      </w:r>
      <w:r w:rsidRPr="006C2896">
        <w:rPr>
          <w:i/>
          <w:iCs/>
        </w:rPr>
        <w:t>Poradenství pro smrtelně nemocné a pozůstalé.</w:t>
      </w:r>
      <w:r>
        <w:t xml:space="preserve"> Brno: Společnost pro odbornou literaturu, 2007. </w:t>
      </w:r>
      <w:r w:rsidRPr="006C2896">
        <w:t>ISBN 978-80-87029-2</w:t>
      </w:r>
      <w:r>
        <w:t>3</w:t>
      </w:r>
      <w:r w:rsidRPr="006C2896">
        <w:t>-</w:t>
      </w:r>
      <w:r>
        <w:t>7</w:t>
      </w:r>
      <w:r w:rsidRPr="006C2896">
        <w:t>.</w:t>
      </w:r>
    </w:p>
    <w:p w14:paraId="5B0DE303" w14:textId="77777777" w:rsidR="006B6A3B" w:rsidRDefault="006B6A3B" w:rsidP="006B6A3B">
      <w:pPr>
        <w:pStyle w:val="Tlotextu"/>
      </w:pPr>
      <w:r>
        <w:t xml:space="preserve">KUBÍČKOVÁ, N. </w:t>
      </w:r>
      <w:r w:rsidRPr="003C5607">
        <w:rPr>
          <w:i/>
          <w:iCs/>
        </w:rPr>
        <w:t>Zármutek a pomoc pozůstalým.</w:t>
      </w:r>
      <w:r>
        <w:t xml:space="preserve"> Praha: Nakladatelství ISV, 2001. ISBN 80-85866-82-X</w:t>
      </w:r>
    </w:p>
    <w:p w14:paraId="3ECABE29" w14:textId="77777777" w:rsidR="006B6A3B" w:rsidRDefault="006B6A3B" w:rsidP="006B6A3B">
      <w:pPr>
        <w:pStyle w:val="Tlotextu"/>
      </w:pPr>
      <w:r>
        <w:t xml:space="preserve">ŠPATENKOVÁ, N. a kol. </w:t>
      </w:r>
      <w:r w:rsidRPr="003C5607">
        <w:rPr>
          <w:i/>
          <w:iCs/>
        </w:rPr>
        <w:t>Krize a krizová intervence.</w:t>
      </w:r>
      <w:r>
        <w:t xml:space="preserve">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2017. </w:t>
      </w:r>
      <w:bookmarkStart w:id="16" w:name="_Hlk64320736"/>
      <w:r>
        <w:t>ISBN: 978-80-247-5327-0</w:t>
      </w:r>
      <w:bookmarkEnd w:id="16"/>
    </w:p>
    <w:p w14:paraId="02EDFD18" w14:textId="77777777" w:rsidR="006B6A3B" w:rsidRDefault="006B6A3B" w:rsidP="006B6A3B">
      <w:pPr>
        <w:pStyle w:val="Tlotextu"/>
      </w:pPr>
      <w:r>
        <w:t xml:space="preserve">ŠPATENKOVÁ, N. a kol. </w:t>
      </w:r>
      <w:r w:rsidRPr="003C5607">
        <w:rPr>
          <w:i/>
          <w:iCs/>
        </w:rPr>
        <w:t>O posledních věcech člověka.</w:t>
      </w:r>
      <w:r>
        <w:t xml:space="preserve"> Praha: </w:t>
      </w:r>
      <w:proofErr w:type="spellStart"/>
      <w:r>
        <w:t>Galén</w:t>
      </w:r>
      <w:proofErr w:type="spellEnd"/>
      <w:r>
        <w:t>, 2014. ISBN: 978-80-7492-138-4.</w:t>
      </w:r>
    </w:p>
    <w:p w14:paraId="7F133F28" w14:textId="77777777" w:rsidR="006B6A3B" w:rsidRDefault="006B6A3B" w:rsidP="006B6A3B">
      <w:pPr>
        <w:pStyle w:val="Tlotextu"/>
      </w:pPr>
      <w:r>
        <w:t xml:space="preserve">ŠPATENKOVÁ, N. </w:t>
      </w:r>
      <w:r w:rsidRPr="003C5607">
        <w:rPr>
          <w:i/>
          <w:iCs/>
        </w:rPr>
        <w:t>Poradenství pro pozůstalé.</w:t>
      </w:r>
      <w:r>
        <w:t xml:space="preserve">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2008. </w:t>
      </w:r>
      <w:r>
        <w:tab/>
        <w:t>ISBN 978-80-247-1740-1</w:t>
      </w:r>
    </w:p>
    <w:p w14:paraId="694CFB8E" w14:textId="6CD44E53" w:rsidR="006B6A3B" w:rsidRDefault="006B6A3B" w:rsidP="006B6A3B">
      <w:pPr>
        <w:pStyle w:val="Tlotextu"/>
      </w:pPr>
      <w:r>
        <w:t xml:space="preserve">ŠPATENKOVÁ, N. </w:t>
      </w:r>
      <w:r w:rsidRPr="003C5607">
        <w:rPr>
          <w:i/>
          <w:iCs/>
        </w:rPr>
        <w:t>Poradenství pro pozůstalé. Principy, proces, metody. 2. aktualizované a doplněné vydání</w:t>
      </w:r>
      <w:r w:rsidR="003C5607">
        <w:rPr>
          <w:i/>
          <w:iCs/>
        </w:rPr>
        <w:t>.</w:t>
      </w:r>
      <w:r>
        <w:t xml:space="preserve">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2013. ISBN 978-80-247-3736-2</w:t>
      </w:r>
    </w:p>
    <w:p w14:paraId="281324E1" w14:textId="77777777" w:rsidR="0081297C" w:rsidRDefault="0081297C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5"/>
          <w:headerReference w:type="default" r:id="rId3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7" w:name="_Toc64367462"/>
      <w:r w:rsidRPr="004E2697">
        <w:lastRenderedPageBreak/>
        <w:t>Přehled dostupných ikon</w:t>
      </w:r>
      <w:bookmarkEnd w:id="17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8" w:name="frmCas" w:colFirst="0" w:colLast="0"/>
            <w:bookmarkStart w:id="19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20" w:name="frmKlicovaSlova" w:colFirst="0" w:colLast="0"/>
            <w:bookmarkStart w:id="21" w:name="frmOdpocinek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2" w:name="frmPruvodceStudiem" w:colFirst="0" w:colLast="0"/>
            <w:bookmarkStart w:id="23" w:name="frmPruvodceTextem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4" w:name="frmRychlyNahled" w:colFirst="0" w:colLast="0"/>
            <w:bookmarkStart w:id="25" w:name="frmShrnuti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6" w:name="frmTutorialy" w:colFirst="0" w:colLast="0"/>
            <w:bookmarkStart w:id="27" w:name="frmDefinice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8" w:name="frmKZapamatovani" w:colFirst="0" w:colLast="0"/>
            <w:bookmarkStart w:id="29" w:name="frmPripadovaStudie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30" w:name="frmResenaUloha" w:colFirst="0" w:colLast="0"/>
            <w:bookmarkStart w:id="31" w:name="frmVeta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2" w:name="frmKontrolniOtazka" w:colFirst="0" w:colLast="0"/>
            <w:bookmarkStart w:id="33" w:name="frmKorespondencniUkol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4" w:name="frmOdpovedi" w:colFirst="0" w:colLast="0"/>
            <w:bookmarkStart w:id="35" w:name="frmOtazky" w:colFirst="2" w:colLast="2"/>
            <w:bookmarkEnd w:id="32"/>
            <w:bookmarkEnd w:id="33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6" w:name="frmSamostatnyUkol" w:colFirst="0" w:colLast="0"/>
            <w:bookmarkStart w:id="37" w:name="frmLiteratura" w:colFirst="2" w:colLast="2"/>
            <w:bookmarkEnd w:id="34"/>
            <w:bookmarkEnd w:id="35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8" w:name="frmProZajemce" w:colFirst="0" w:colLast="0"/>
            <w:bookmarkStart w:id="39" w:name="frmUkolKZamysleni" w:colFirst="2" w:colLast="2"/>
            <w:bookmarkEnd w:id="36"/>
            <w:bookmarkEnd w:id="37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8"/>
      <w:bookmarkEnd w:id="39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8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4E039666" w:rsidR="007C7BE5" w:rsidRDefault="003C17BD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3C5607">
            <w:rPr>
              <w:b/>
              <w:noProof/>
            </w:rPr>
            <w:t>První setkání s klientem</w:t>
          </w:r>
        </w:sdtContent>
      </w:sdt>
    </w:p>
    <w:p w14:paraId="09474BAE" w14:textId="2571A8EA" w:rsidR="007C7BE5" w:rsidRDefault="003C17BD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92757A">
            <w:rPr>
              <w:b/>
            </w:rPr>
            <w:t xml:space="preserve">PhDr. </w:t>
          </w:r>
          <w:r w:rsidR="00F2257D">
            <w:rPr>
              <w:b/>
            </w:rPr>
            <w:t xml:space="preserve">Mgr. </w:t>
          </w:r>
          <w:r w:rsidR="0092757A">
            <w:rPr>
              <w:b/>
            </w:rPr>
            <w:t>Naděžda Špatenková, Ph.D., MBA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06E554D8" w:rsidR="007C7BE5" w:rsidRDefault="003C17BD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81297C">
            <w:rPr>
              <w:noProof/>
            </w:rPr>
            <w:t>1</w:t>
          </w:r>
          <w:r w:rsidR="003C5607">
            <w:rPr>
              <w:noProof/>
            </w:rPr>
            <w:t>2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9"/>
      <w:headerReference w:type="default" r:id="rId50"/>
      <w:footerReference w:type="even" r:id="rId51"/>
      <w:footerReference w:type="default" r:id="rId52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93BC" w14:textId="77777777" w:rsidR="003C17BD" w:rsidRDefault="003C17BD" w:rsidP="00B60DC8">
      <w:pPr>
        <w:spacing w:after="0" w:line="240" w:lineRule="auto"/>
      </w:pPr>
      <w:r>
        <w:separator/>
      </w:r>
    </w:p>
  </w:endnote>
  <w:endnote w:type="continuationSeparator" w:id="0">
    <w:p w14:paraId="57DA8F77" w14:textId="77777777" w:rsidR="003C17BD" w:rsidRDefault="003C17BD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3FCBFC3C" w14:textId="77777777" w:rsidR="00511FEA" w:rsidRDefault="00511FE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98697C" w14:textId="77777777" w:rsidR="00511FEA" w:rsidRDefault="00511F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351B6254" w14:textId="77777777" w:rsidR="00511FEA" w:rsidRDefault="00511FE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697F599" w14:textId="77777777" w:rsidR="00511FEA" w:rsidRDefault="00511F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004098D3" w:rsidR="00652952" w:rsidRDefault="0065295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572053D" w14:textId="77777777" w:rsidR="00652952" w:rsidRDefault="00652952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1E54BC27" w:rsidR="00652952" w:rsidRDefault="006529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EB9FB73" w14:textId="77777777" w:rsidR="00652952" w:rsidRDefault="0065295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652952" w:rsidRDefault="00652952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652952" w:rsidRDefault="00652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203AB" w14:textId="77777777" w:rsidR="003C17BD" w:rsidRDefault="003C17BD" w:rsidP="00B60DC8">
      <w:pPr>
        <w:spacing w:after="0" w:line="240" w:lineRule="auto"/>
      </w:pPr>
      <w:r>
        <w:separator/>
      </w:r>
    </w:p>
  </w:footnote>
  <w:footnote w:type="continuationSeparator" w:id="0">
    <w:p w14:paraId="17E3BBDE" w14:textId="77777777" w:rsidR="003C17BD" w:rsidRDefault="003C17BD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3319" w14:textId="77777777" w:rsidR="00511FEA" w:rsidRDefault="00511FEA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652952" w:rsidRPr="00C87D9B" w:rsidRDefault="00652952">
    <w:pPr>
      <w:pStyle w:val="Zhlav"/>
      <w:rPr>
        <w:i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652952" w:rsidRDefault="00652952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4D1B" w14:textId="45261405" w:rsidR="00511FEA" w:rsidRPr="006A4C4F" w:rsidRDefault="00511FEA" w:rsidP="00511FEA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962076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962076">
      <w:rPr>
        <w:i/>
        <w:noProof/>
      </w:rPr>
      <w:t>První setkání s klientem</w:t>
    </w:r>
    <w:r w:rsidR="00962076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417A59A3" w:rsidR="00652952" w:rsidRPr="006A4C4F" w:rsidRDefault="00652952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735B" w14:textId="319E18E3" w:rsidR="00F7778D" w:rsidRDefault="00652952" w:rsidP="00F7778D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end"/>
    </w:r>
    <w:r w:rsidRPr="00C87D9B">
      <w:rPr>
        <w:i/>
      </w:rPr>
      <w:t xml:space="preserve"> </w:t>
    </w:r>
    <w:r w:rsidR="00F7778D" w:rsidRPr="00F7778D">
      <w:rPr>
        <w:i/>
      </w:rPr>
      <w:t>Naděžda Špatenková P</w:t>
    </w:r>
    <w:r w:rsidR="0056673E">
      <w:rPr>
        <w:i/>
      </w:rPr>
      <w:t xml:space="preserve">rvní setkání s klientem </w:t>
    </w:r>
    <w:r w:rsidRPr="00C87D9B"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11FEA">
      <w:rPr>
        <w:i/>
        <w:noProof/>
      </w:rPr>
      <w:cr/>
    </w:r>
    <w:r>
      <w:rPr>
        <w:i/>
      </w:rPr>
      <w:fldChar w:fldCharType="end"/>
    </w:r>
  </w:p>
  <w:p w14:paraId="3F48DCB0" w14:textId="05DD4374" w:rsidR="00652952" w:rsidRDefault="00652952" w:rsidP="007C5AE8">
    <w:pPr>
      <w:pStyle w:val="Zhlav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5F904CD6" w:rsidR="00652952" w:rsidRPr="008F55D1" w:rsidRDefault="00652952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962076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962076">
      <w:rPr>
        <w:i/>
        <w:noProof/>
      </w:rPr>
      <w:t>První setkání s klientem</w:t>
    </w:r>
    <w:r w:rsidR="00962076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CFA1" w14:textId="6A9D0CC5" w:rsidR="00511FEA" w:rsidRDefault="00511FEA" w:rsidP="00511FEA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962076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962076">
      <w:rPr>
        <w:i/>
        <w:noProof/>
      </w:rPr>
      <w:t>První setkání s klientem</w:t>
    </w:r>
    <w:r w:rsidR="00962076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39837353" w:rsidR="00652952" w:rsidRPr="00B37E40" w:rsidRDefault="00652952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962076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962076">
      <w:rPr>
        <w:i/>
        <w:noProof/>
      </w:rPr>
      <w:t>První setkání s klientem</w:t>
    </w:r>
    <w:r w:rsidR="00962076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685D" w14:textId="2FA47F3C" w:rsidR="00511FEA" w:rsidRDefault="00511FEA" w:rsidP="00511FEA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962076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962076">
      <w:rPr>
        <w:i/>
        <w:noProof/>
      </w:rPr>
      <w:t>První setkání s klientem</w:t>
    </w:r>
    <w:r w:rsidR="00962076">
      <w:rPr>
        <w:i/>
        <w:noProof/>
      </w:rPr>
      <w:cr/>
    </w:r>
    <w:r>
      <w:rPr>
        <w:i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652952" w:rsidRPr="00C87D9B" w:rsidRDefault="00652952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4D5E4F"/>
    <w:multiLevelType w:val="hybridMultilevel"/>
    <w:tmpl w:val="930217C6"/>
    <w:lvl w:ilvl="0" w:tplc="561CE71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00A21B2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0E44C59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85D021AC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1AF6A792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23780B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FD6CC892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14C88700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7E3AEB38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2" w15:restartNumberingAfterBreak="0">
    <w:nsid w:val="18C27E24"/>
    <w:multiLevelType w:val="hybridMultilevel"/>
    <w:tmpl w:val="0F885092"/>
    <w:lvl w:ilvl="0" w:tplc="4E7414C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248698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5862B7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C541242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C46C0E96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E1CCC958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B138348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153C0634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692C1382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3" w15:restartNumberingAfterBreak="0">
    <w:nsid w:val="1C1331A4"/>
    <w:multiLevelType w:val="hybridMultilevel"/>
    <w:tmpl w:val="5BF675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416D9"/>
    <w:multiLevelType w:val="hybridMultilevel"/>
    <w:tmpl w:val="5FA81AA0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5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651641"/>
    <w:multiLevelType w:val="hybridMultilevel"/>
    <w:tmpl w:val="FF6ED836"/>
    <w:lvl w:ilvl="0" w:tplc="500429DE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8F7E3A8C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E6EFC3A">
      <w:numFmt w:val="bullet"/>
      <w:lvlText w:val="•"/>
      <w:lvlJc w:val="left"/>
      <w:pPr>
        <w:ind w:left="1920" w:hanging="222"/>
      </w:pPr>
      <w:rPr>
        <w:rFonts w:hint="default"/>
      </w:rPr>
    </w:lvl>
    <w:lvl w:ilvl="3" w:tplc="D8CC88A8">
      <w:numFmt w:val="bullet"/>
      <w:lvlText w:val="•"/>
      <w:lvlJc w:val="left"/>
      <w:pPr>
        <w:ind w:left="2912" w:hanging="222"/>
      </w:pPr>
      <w:rPr>
        <w:rFonts w:hint="default"/>
      </w:rPr>
    </w:lvl>
    <w:lvl w:ilvl="4" w:tplc="205E15C4">
      <w:numFmt w:val="bullet"/>
      <w:lvlText w:val="•"/>
      <w:lvlJc w:val="left"/>
      <w:pPr>
        <w:ind w:left="3905" w:hanging="222"/>
      </w:pPr>
      <w:rPr>
        <w:rFonts w:hint="default"/>
      </w:rPr>
    </w:lvl>
    <w:lvl w:ilvl="5" w:tplc="62084188">
      <w:numFmt w:val="bullet"/>
      <w:lvlText w:val="•"/>
      <w:lvlJc w:val="left"/>
      <w:pPr>
        <w:ind w:left="4897" w:hanging="222"/>
      </w:pPr>
      <w:rPr>
        <w:rFonts w:hint="default"/>
      </w:rPr>
    </w:lvl>
    <w:lvl w:ilvl="6" w:tplc="85DCF36A">
      <w:numFmt w:val="bullet"/>
      <w:lvlText w:val="•"/>
      <w:lvlJc w:val="left"/>
      <w:pPr>
        <w:ind w:left="5890" w:hanging="222"/>
      </w:pPr>
      <w:rPr>
        <w:rFonts w:hint="default"/>
      </w:rPr>
    </w:lvl>
    <w:lvl w:ilvl="7" w:tplc="BC1296CE">
      <w:numFmt w:val="bullet"/>
      <w:lvlText w:val="•"/>
      <w:lvlJc w:val="left"/>
      <w:pPr>
        <w:ind w:left="6882" w:hanging="222"/>
      </w:pPr>
      <w:rPr>
        <w:rFonts w:hint="default"/>
      </w:rPr>
    </w:lvl>
    <w:lvl w:ilvl="8" w:tplc="DFAC4CB8">
      <w:numFmt w:val="bullet"/>
      <w:lvlText w:val="•"/>
      <w:lvlJc w:val="left"/>
      <w:pPr>
        <w:ind w:left="7875" w:hanging="222"/>
      </w:pPr>
      <w:rPr>
        <w:rFonts w:hint="default"/>
      </w:rPr>
    </w:lvl>
  </w:abstractNum>
  <w:abstractNum w:abstractNumId="7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8" w15:restartNumberingAfterBreak="0">
    <w:nsid w:val="2CC53E76"/>
    <w:multiLevelType w:val="hybridMultilevel"/>
    <w:tmpl w:val="C5ACE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B436E"/>
    <w:multiLevelType w:val="hybridMultilevel"/>
    <w:tmpl w:val="061CB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806BB"/>
    <w:multiLevelType w:val="hybridMultilevel"/>
    <w:tmpl w:val="A4F491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927FB"/>
    <w:multiLevelType w:val="hybridMultilevel"/>
    <w:tmpl w:val="173839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C261E"/>
    <w:multiLevelType w:val="hybridMultilevel"/>
    <w:tmpl w:val="09A418DE"/>
    <w:lvl w:ilvl="0" w:tplc="0405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C37270"/>
    <w:multiLevelType w:val="hybridMultilevel"/>
    <w:tmpl w:val="E594E4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512040"/>
    <w:multiLevelType w:val="hybridMultilevel"/>
    <w:tmpl w:val="DF848D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FC4753"/>
    <w:multiLevelType w:val="hybridMultilevel"/>
    <w:tmpl w:val="207226FE"/>
    <w:lvl w:ilvl="0" w:tplc="496AF728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B04442A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60B8EABA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898409BC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B648A08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8D3E0CB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7F263D40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50B6DA2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B614A2F6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16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17" w15:restartNumberingAfterBreak="0">
    <w:nsid w:val="4A5D0962"/>
    <w:multiLevelType w:val="hybridMultilevel"/>
    <w:tmpl w:val="713A46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7124F9"/>
    <w:multiLevelType w:val="hybridMultilevel"/>
    <w:tmpl w:val="5636C8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706658"/>
    <w:multiLevelType w:val="hybridMultilevel"/>
    <w:tmpl w:val="FAC61A88"/>
    <w:lvl w:ilvl="0" w:tplc="51348A04">
      <w:start w:val="1"/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1980319"/>
    <w:multiLevelType w:val="hybridMultilevel"/>
    <w:tmpl w:val="2A380B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8578D3"/>
    <w:multiLevelType w:val="hybridMultilevel"/>
    <w:tmpl w:val="1ED2E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3956A7"/>
    <w:multiLevelType w:val="hybridMultilevel"/>
    <w:tmpl w:val="18A61A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2D12AD"/>
    <w:multiLevelType w:val="hybridMultilevel"/>
    <w:tmpl w:val="268048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FD0B50A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DA450A"/>
    <w:multiLevelType w:val="hybridMultilevel"/>
    <w:tmpl w:val="C86A4876"/>
    <w:lvl w:ilvl="0" w:tplc="3F2E4C80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3684A06">
      <w:numFmt w:val="bullet"/>
      <w:lvlText w:val="•"/>
      <w:lvlJc w:val="left"/>
      <w:pPr>
        <w:ind w:left="1794" w:hanging="292"/>
      </w:pPr>
      <w:rPr>
        <w:rFonts w:hint="default"/>
      </w:rPr>
    </w:lvl>
    <w:lvl w:ilvl="2" w:tplc="245C5828">
      <w:numFmt w:val="bullet"/>
      <w:lvlText w:val="•"/>
      <w:lvlJc w:val="left"/>
      <w:pPr>
        <w:ind w:left="2628" w:hanging="292"/>
      </w:pPr>
      <w:rPr>
        <w:rFonts w:hint="default"/>
      </w:rPr>
    </w:lvl>
    <w:lvl w:ilvl="3" w:tplc="7E8AF8F8">
      <w:numFmt w:val="bullet"/>
      <w:lvlText w:val="•"/>
      <w:lvlJc w:val="left"/>
      <w:pPr>
        <w:ind w:left="3462" w:hanging="292"/>
      </w:pPr>
      <w:rPr>
        <w:rFonts w:hint="default"/>
      </w:rPr>
    </w:lvl>
    <w:lvl w:ilvl="4" w:tplc="FEF49CA0">
      <w:numFmt w:val="bullet"/>
      <w:lvlText w:val="•"/>
      <w:lvlJc w:val="left"/>
      <w:pPr>
        <w:ind w:left="4296" w:hanging="292"/>
      </w:pPr>
      <w:rPr>
        <w:rFonts w:hint="default"/>
      </w:rPr>
    </w:lvl>
    <w:lvl w:ilvl="5" w:tplc="10A4AF06">
      <w:numFmt w:val="bullet"/>
      <w:lvlText w:val="•"/>
      <w:lvlJc w:val="left"/>
      <w:pPr>
        <w:ind w:left="5130" w:hanging="292"/>
      </w:pPr>
      <w:rPr>
        <w:rFonts w:hint="default"/>
      </w:rPr>
    </w:lvl>
    <w:lvl w:ilvl="6" w:tplc="1CFE8D46">
      <w:numFmt w:val="bullet"/>
      <w:lvlText w:val="•"/>
      <w:lvlJc w:val="left"/>
      <w:pPr>
        <w:ind w:left="5964" w:hanging="292"/>
      </w:pPr>
      <w:rPr>
        <w:rFonts w:hint="default"/>
      </w:rPr>
    </w:lvl>
    <w:lvl w:ilvl="7" w:tplc="1AFC85CE">
      <w:numFmt w:val="bullet"/>
      <w:lvlText w:val="•"/>
      <w:lvlJc w:val="left"/>
      <w:pPr>
        <w:ind w:left="6798" w:hanging="292"/>
      </w:pPr>
      <w:rPr>
        <w:rFonts w:hint="default"/>
      </w:rPr>
    </w:lvl>
    <w:lvl w:ilvl="8" w:tplc="9FF4C724">
      <w:numFmt w:val="bullet"/>
      <w:lvlText w:val="•"/>
      <w:lvlJc w:val="left"/>
      <w:pPr>
        <w:ind w:left="7632" w:hanging="292"/>
      </w:pPr>
      <w:rPr>
        <w:rFonts w:hint="default"/>
      </w:rPr>
    </w:lvl>
  </w:abstractNum>
  <w:abstractNum w:abstractNumId="25" w15:restartNumberingAfterBreak="0">
    <w:nsid w:val="5C113036"/>
    <w:multiLevelType w:val="hybridMultilevel"/>
    <w:tmpl w:val="53E01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F585BF4">
      <w:start w:val="1"/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8212BA"/>
    <w:multiLevelType w:val="hybridMultilevel"/>
    <w:tmpl w:val="B5065EAC"/>
    <w:lvl w:ilvl="0" w:tplc="2912E946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8" w15:restartNumberingAfterBreak="0">
    <w:nsid w:val="6D8F5351"/>
    <w:multiLevelType w:val="hybridMultilevel"/>
    <w:tmpl w:val="963E4EB6"/>
    <w:lvl w:ilvl="0" w:tplc="1546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5D18C2"/>
    <w:multiLevelType w:val="hybridMultilevel"/>
    <w:tmpl w:val="F2369348"/>
    <w:lvl w:ilvl="0" w:tplc="CFEE9768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1503EE8">
      <w:numFmt w:val="bullet"/>
      <w:lvlText w:val="•"/>
      <w:lvlJc w:val="left"/>
      <w:pPr>
        <w:ind w:left="1793" w:hanging="222"/>
      </w:pPr>
      <w:rPr>
        <w:rFonts w:hint="default"/>
      </w:rPr>
    </w:lvl>
    <w:lvl w:ilvl="2" w:tplc="C3506456">
      <w:numFmt w:val="bullet"/>
      <w:lvlText w:val="•"/>
      <w:lvlJc w:val="left"/>
      <w:pPr>
        <w:ind w:left="2626" w:hanging="222"/>
      </w:pPr>
      <w:rPr>
        <w:rFonts w:hint="default"/>
      </w:rPr>
    </w:lvl>
    <w:lvl w:ilvl="3" w:tplc="925A2D5E">
      <w:numFmt w:val="bullet"/>
      <w:lvlText w:val="•"/>
      <w:lvlJc w:val="left"/>
      <w:pPr>
        <w:ind w:left="3459" w:hanging="222"/>
      </w:pPr>
      <w:rPr>
        <w:rFonts w:hint="default"/>
      </w:rPr>
    </w:lvl>
    <w:lvl w:ilvl="4" w:tplc="BB8C75DC">
      <w:numFmt w:val="bullet"/>
      <w:lvlText w:val="•"/>
      <w:lvlJc w:val="left"/>
      <w:pPr>
        <w:ind w:left="4292" w:hanging="222"/>
      </w:pPr>
      <w:rPr>
        <w:rFonts w:hint="default"/>
      </w:rPr>
    </w:lvl>
    <w:lvl w:ilvl="5" w:tplc="E3F028EE">
      <w:numFmt w:val="bullet"/>
      <w:lvlText w:val="•"/>
      <w:lvlJc w:val="left"/>
      <w:pPr>
        <w:ind w:left="5126" w:hanging="222"/>
      </w:pPr>
      <w:rPr>
        <w:rFonts w:hint="default"/>
      </w:rPr>
    </w:lvl>
    <w:lvl w:ilvl="6" w:tplc="78E2DFC4">
      <w:numFmt w:val="bullet"/>
      <w:lvlText w:val="•"/>
      <w:lvlJc w:val="left"/>
      <w:pPr>
        <w:ind w:left="5959" w:hanging="222"/>
      </w:pPr>
      <w:rPr>
        <w:rFonts w:hint="default"/>
      </w:rPr>
    </w:lvl>
    <w:lvl w:ilvl="7" w:tplc="FFC278D8">
      <w:numFmt w:val="bullet"/>
      <w:lvlText w:val="•"/>
      <w:lvlJc w:val="left"/>
      <w:pPr>
        <w:ind w:left="6792" w:hanging="222"/>
      </w:pPr>
      <w:rPr>
        <w:rFonts w:hint="default"/>
      </w:rPr>
    </w:lvl>
    <w:lvl w:ilvl="8" w:tplc="7D8607C4">
      <w:numFmt w:val="bullet"/>
      <w:lvlText w:val="•"/>
      <w:lvlJc w:val="left"/>
      <w:pPr>
        <w:ind w:left="7625" w:hanging="222"/>
      </w:pPr>
      <w:rPr>
        <w:rFonts w:hint="default"/>
      </w:rPr>
    </w:lvl>
  </w:abstractNum>
  <w:abstractNum w:abstractNumId="30" w15:restartNumberingAfterBreak="0">
    <w:nsid w:val="72027944"/>
    <w:multiLevelType w:val="hybridMultilevel"/>
    <w:tmpl w:val="E932DB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1D7B14"/>
    <w:multiLevelType w:val="hybridMultilevel"/>
    <w:tmpl w:val="C9BCD3F4"/>
    <w:lvl w:ilvl="0" w:tplc="99B8D08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6E3455"/>
    <w:multiLevelType w:val="hybridMultilevel"/>
    <w:tmpl w:val="BC386A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041B46"/>
    <w:multiLevelType w:val="hybridMultilevel"/>
    <w:tmpl w:val="58CAA4FC"/>
    <w:lvl w:ilvl="0" w:tplc="51348A04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2"/>
  </w:num>
  <w:num w:numId="5">
    <w:abstractNumId w:val="16"/>
  </w:num>
  <w:num w:numId="6">
    <w:abstractNumId w:val="15"/>
  </w:num>
  <w:num w:numId="7">
    <w:abstractNumId w:val="1"/>
  </w:num>
  <w:num w:numId="8">
    <w:abstractNumId w:val="24"/>
  </w:num>
  <w:num w:numId="9">
    <w:abstractNumId w:val="29"/>
  </w:num>
  <w:num w:numId="10">
    <w:abstractNumId w:val="7"/>
  </w:num>
  <w:num w:numId="11">
    <w:abstractNumId w:val="6"/>
  </w:num>
  <w:num w:numId="12">
    <w:abstractNumId w:val="28"/>
  </w:num>
  <w:num w:numId="13">
    <w:abstractNumId w:val="18"/>
  </w:num>
  <w:num w:numId="14">
    <w:abstractNumId w:val="22"/>
  </w:num>
  <w:num w:numId="15">
    <w:abstractNumId w:val="3"/>
  </w:num>
  <w:num w:numId="16">
    <w:abstractNumId w:val="25"/>
  </w:num>
  <w:num w:numId="17">
    <w:abstractNumId w:val="31"/>
  </w:num>
  <w:num w:numId="18">
    <w:abstractNumId w:val="32"/>
  </w:num>
  <w:num w:numId="19">
    <w:abstractNumId w:val="17"/>
  </w:num>
  <w:num w:numId="20">
    <w:abstractNumId w:val="26"/>
  </w:num>
  <w:num w:numId="21">
    <w:abstractNumId w:val="23"/>
  </w:num>
  <w:num w:numId="22">
    <w:abstractNumId w:val="33"/>
  </w:num>
  <w:num w:numId="23">
    <w:abstractNumId w:val="19"/>
  </w:num>
  <w:num w:numId="24">
    <w:abstractNumId w:val="12"/>
  </w:num>
  <w:num w:numId="25">
    <w:abstractNumId w:val="4"/>
  </w:num>
  <w:num w:numId="26">
    <w:abstractNumId w:val="20"/>
  </w:num>
  <w:num w:numId="27">
    <w:abstractNumId w:val="21"/>
  </w:num>
  <w:num w:numId="28">
    <w:abstractNumId w:val="8"/>
  </w:num>
  <w:num w:numId="29">
    <w:abstractNumId w:val="9"/>
  </w:num>
  <w:num w:numId="30">
    <w:abstractNumId w:val="14"/>
  </w:num>
  <w:num w:numId="31">
    <w:abstractNumId w:val="13"/>
  </w:num>
  <w:num w:numId="32">
    <w:abstractNumId w:val="10"/>
  </w:num>
  <w:num w:numId="33">
    <w:abstractNumId w:val="30"/>
  </w:num>
  <w:num w:numId="34">
    <w:abstractNumId w:val="11"/>
  </w:num>
  <w:num w:numId="3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279E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1A0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D156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76884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5B16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C17BD"/>
    <w:rsid w:val="003C5607"/>
    <w:rsid w:val="003C7FEE"/>
    <w:rsid w:val="003D0744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232B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A71E0"/>
    <w:rsid w:val="004B005B"/>
    <w:rsid w:val="004B7409"/>
    <w:rsid w:val="004C14E4"/>
    <w:rsid w:val="004D0D56"/>
    <w:rsid w:val="004D0D67"/>
    <w:rsid w:val="004E2697"/>
    <w:rsid w:val="004E6978"/>
    <w:rsid w:val="004F78E4"/>
    <w:rsid w:val="00502525"/>
    <w:rsid w:val="00511FEA"/>
    <w:rsid w:val="00512184"/>
    <w:rsid w:val="005122E6"/>
    <w:rsid w:val="0052225D"/>
    <w:rsid w:val="00532BF4"/>
    <w:rsid w:val="00532CD0"/>
    <w:rsid w:val="00541A5F"/>
    <w:rsid w:val="00541FB0"/>
    <w:rsid w:val="005439F8"/>
    <w:rsid w:val="005442E4"/>
    <w:rsid w:val="00554453"/>
    <w:rsid w:val="00560D56"/>
    <w:rsid w:val="00563017"/>
    <w:rsid w:val="005633CC"/>
    <w:rsid w:val="0056462D"/>
    <w:rsid w:val="00564D4C"/>
    <w:rsid w:val="0056673E"/>
    <w:rsid w:val="00566B72"/>
    <w:rsid w:val="00576254"/>
    <w:rsid w:val="00584B36"/>
    <w:rsid w:val="005A2913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57B1"/>
    <w:rsid w:val="0063623F"/>
    <w:rsid w:val="00652952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B6A3B"/>
    <w:rsid w:val="006C08EE"/>
    <w:rsid w:val="006C2896"/>
    <w:rsid w:val="006C5EDF"/>
    <w:rsid w:val="006C6AD0"/>
    <w:rsid w:val="006C7E5D"/>
    <w:rsid w:val="006D7FE1"/>
    <w:rsid w:val="006E0662"/>
    <w:rsid w:val="006E10E2"/>
    <w:rsid w:val="006F61E0"/>
    <w:rsid w:val="00702125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2DE4"/>
    <w:rsid w:val="007D340A"/>
    <w:rsid w:val="007E01F7"/>
    <w:rsid w:val="007E1665"/>
    <w:rsid w:val="007E7C0A"/>
    <w:rsid w:val="00800058"/>
    <w:rsid w:val="00810CD1"/>
    <w:rsid w:val="0081297C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70A5C"/>
    <w:rsid w:val="008804A4"/>
    <w:rsid w:val="0088403B"/>
    <w:rsid w:val="00885506"/>
    <w:rsid w:val="008900DB"/>
    <w:rsid w:val="00892691"/>
    <w:rsid w:val="008A0D1B"/>
    <w:rsid w:val="008A7BD3"/>
    <w:rsid w:val="008B059D"/>
    <w:rsid w:val="008B7B33"/>
    <w:rsid w:val="008C36F8"/>
    <w:rsid w:val="008C6708"/>
    <w:rsid w:val="008D281C"/>
    <w:rsid w:val="008D302D"/>
    <w:rsid w:val="008D46C2"/>
    <w:rsid w:val="008E1780"/>
    <w:rsid w:val="008E53FE"/>
    <w:rsid w:val="008E6EBB"/>
    <w:rsid w:val="008E748B"/>
    <w:rsid w:val="008E7EA5"/>
    <w:rsid w:val="008F55D1"/>
    <w:rsid w:val="009011E0"/>
    <w:rsid w:val="00902F6A"/>
    <w:rsid w:val="009230E0"/>
    <w:rsid w:val="0092757A"/>
    <w:rsid w:val="009336AD"/>
    <w:rsid w:val="0093730E"/>
    <w:rsid w:val="00942A42"/>
    <w:rsid w:val="00947452"/>
    <w:rsid w:val="00951C86"/>
    <w:rsid w:val="00953D60"/>
    <w:rsid w:val="00955756"/>
    <w:rsid w:val="0096207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050A1"/>
    <w:rsid w:val="00A13F7C"/>
    <w:rsid w:val="00A359DF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84512"/>
    <w:rsid w:val="00A909E9"/>
    <w:rsid w:val="00AB03DE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AF6D2F"/>
    <w:rsid w:val="00B018E1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312"/>
    <w:rsid w:val="00B56863"/>
    <w:rsid w:val="00B60DC8"/>
    <w:rsid w:val="00B67555"/>
    <w:rsid w:val="00B73B55"/>
    <w:rsid w:val="00B74081"/>
    <w:rsid w:val="00B75879"/>
    <w:rsid w:val="00B76054"/>
    <w:rsid w:val="00B96873"/>
    <w:rsid w:val="00B97E35"/>
    <w:rsid w:val="00BA4C9E"/>
    <w:rsid w:val="00BA5116"/>
    <w:rsid w:val="00BA66EE"/>
    <w:rsid w:val="00BA7197"/>
    <w:rsid w:val="00BB666F"/>
    <w:rsid w:val="00BC06B9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46FE5"/>
    <w:rsid w:val="00C547EF"/>
    <w:rsid w:val="00C666D2"/>
    <w:rsid w:val="00C826EC"/>
    <w:rsid w:val="00C8561B"/>
    <w:rsid w:val="00C8618B"/>
    <w:rsid w:val="00C87D9B"/>
    <w:rsid w:val="00C94C17"/>
    <w:rsid w:val="00CA7308"/>
    <w:rsid w:val="00CC120D"/>
    <w:rsid w:val="00CC3B3A"/>
    <w:rsid w:val="00CC68FE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03275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736A"/>
    <w:rsid w:val="00ED00B2"/>
    <w:rsid w:val="00ED5600"/>
    <w:rsid w:val="00EE0B52"/>
    <w:rsid w:val="00EE2CCF"/>
    <w:rsid w:val="00EE65ED"/>
    <w:rsid w:val="00EF1CA2"/>
    <w:rsid w:val="00EF28D0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3A6"/>
    <w:rsid w:val="00F61EE6"/>
    <w:rsid w:val="00F65EE6"/>
    <w:rsid w:val="00F703B2"/>
    <w:rsid w:val="00F72330"/>
    <w:rsid w:val="00F7438C"/>
    <w:rsid w:val="00F7778D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B97E35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A2913"/>
    <w:pPr>
      <w:tabs>
        <w:tab w:val="left" w:pos="880"/>
        <w:tab w:val="right" w:leader="dot" w:pos="8656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EC73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3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5A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header" Target="header6.xml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header" Target="header1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image" Target="media/image22.png"/><Relationship Id="rId52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7.xml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webSettings" Target="webSettings.xml"/><Relationship Id="rId51" Type="http://schemas.openxmlformats.org/officeDocument/2006/relationships/footer" Target="footer5.xml"/><Relationship Id="rId3" Type="http://schemas.openxmlformats.org/officeDocument/2006/relationships/customXml" Target="../customXml/item2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eader" Target="header8.xml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A9B6912AA2CE45D7A51FBBCF968E7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CE970-4C2E-45A6-8B29-E17CF51280A2}"/>
      </w:docPartPr>
      <w:docPartBody>
        <w:p w:rsidR="00C17ECB" w:rsidRDefault="00365DDC" w:rsidP="00365DDC">
          <w:pPr>
            <w:pStyle w:val="A9B6912AA2CE45D7A51FBBCF968E7B1C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F32F1"/>
    <w:rsid w:val="0010176C"/>
    <w:rsid w:val="0022418E"/>
    <w:rsid w:val="00231964"/>
    <w:rsid w:val="002D48AB"/>
    <w:rsid w:val="002F0299"/>
    <w:rsid w:val="002F3717"/>
    <w:rsid w:val="0033312D"/>
    <w:rsid w:val="00365DDC"/>
    <w:rsid w:val="004A596D"/>
    <w:rsid w:val="004B1D18"/>
    <w:rsid w:val="004B2106"/>
    <w:rsid w:val="005A0EB0"/>
    <w:rsid w:val="005F5A46"/>
    <w:rsid w:val="006A2C49"/>
    <w:rsid w:val="006B0B42"/>
    <w:rsid w:val="00781E62"/>
    <w:rsid w:val="007822D3"/>
    <w:rsid w:val="007D3569"/>
    <w:rsid w:val="008102EA"/>
    <w:rsid w:val="0089079A"/>
    <w:rsid w:val="008A67F0"/>
    <w:rsid w:val="008C327E"/>
    <w:rsid w:val="008C3C3A"/>
    <w:rsid w:val="008D56C7"/>
    <w:rsid w:val="008D71AC"/>
    <w:rsid w:val="009F23AE"/>
    <w:rsid w:val="00B76D21"/>
    <w:rsid w:val="00BB11CB"/>
    <w:rsid w:val="00BB36DB"/>
    <w:rsid w:val="00BD0A92"/>
    <w:rsid w:val="00C17660"/>
    <w:rsid w:val="00C17ECB"/>
    <w:rsid w:val="00C51E8D"/>
    <w:rsid w:val="00C542F9"/>
    <w:rsid w:val="00C743CC"/>
    <w:rsid w:val="00D642F0"/>
    <w:rsid w:val="00DA3205"/>
    <w:rsid w:val="00DF6E01"/>
    <w:rsid w:val="00DF6FD0"/>
    <w:rsid w:val="00E108CB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5DDC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4CD5B1C0C10E460090535DD6118DC417">
    <w:name w:val="4CD5B1C0C10E460090535DD6118DC417"/>
    <w:rsid w:val="008C327E"/>
  </w:style>
  <w:style w:type="paragraph" w:customStyle="1" w:styleId="BF5A6A9316E8426B8A4B0F529B195CA0">
    <w:name w:val="BF5A6A9316E8426B8A4B0F529B195CA0"/>
    <w:rsid w:val="008C327E"/>
  </w:style>
  <w:style w:type="paragraph" w:customStyle="1" w:styleId="44C596C452024FEE9C13FE3AAE8A92C5">
    <w:name w:val="44C596C452024FEE9C13FE3AAE8A92C5"/>
    <w:rsid w:val="00231964"/>
  </w:style>
  <w:style w:type="paragraph" w:customStyle="1" w:styleId="8043D0137349452093E05E0D2C32A861">
    <w:name w:val="8043D0137349452093E05E0D2C32A861"/>
    <w:rsid w:val="004A596D"/>
  </w:style>
  <w:style w:type="paragraph" w:customStyle="1" w:styleId="A9B6912AA2CE45D7A51FBBCF968E7B1C">
    <w:name w:val="A9B6912AA2CE45D7A51FBBCF968E7B1C"/>
    <w:rsid w:val="0036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9A0693-519D-4F6B-80BE-240F8D5D7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5E513-D048-4BA4-A196-1B56AF2A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2090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Cíle prvního setkání</vt:lpstr>
      <vt:lpstr>    Budování důvěryhodného vztahu</vt:lpstr>
      <vt:lpstr>    Základní principy poradenského vztahu</vt:lpstr>
      <vt:lpstr>    Diagnostika normálního a komplikovaného truchlení</vt:lpstr>
      <vt:lpstr>Pedagogicko didaktické poznámky</vt:lpstr>
      <vt:lpstr>&lt;Použitá Literatura&gt;</vt:lpstr>
      <vt:lpstr>Přehled dostupných ikon</vt:lpstr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11</cp:revision>
  <cp:lastPrinted>2015-04-15T12:20:00Z</cp:lastPrinted>
  <dcterms:created xsi:type="dcterms:W3CDTF">2021-02-15T21:18:00Z</dcterms:created>
  <dcterms:modified xsi:type="dcterms:W3CDTF">2021-02-16T13:52:00Z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