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D00E6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744585EF" w:rsidR="0041362C" w:rsidRPr="001531DD" w:rsidRDefault="00E71408" w:rsidP="008F73AE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Příprava k laparoskopické </w:t>
          </w:r>
          <w:r w:rsidR="00031A8B">
            <w:rPr>
              <w:rStyle w:val="Nzevknihy"/>
            </w:rPr>
            <w:t>cholecystektomii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1E074A2F" w:rsidR="00B60DC8" w:rsidRDefault="00E71408" w:rsidP="00C244DE">
          <w:pPr>
            <w:pStyle w:val="autoi"/>
          </w:pPr>
          <w:r>
            <w:t>Matúš Peteja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4CB4E34" w:rsidR="00B60DC8" w:rsidRDefault="00D00E6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E7140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D00E6D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AB6A6CB" w14:textId="677A19BC" w:rsidR="00B7587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426293" w:history="1">
                <w:r w:rsidR="00B75879" w:rsidRPr="00975BF2">
                  <w:rPr>
                    <w:rStyle w:val="Hypertextovodkaz"/>
                    <w:noProof/>
                  </w:rPr>
                  <w:t>1</w:t>
                </w:r>
                <w:r w:rsidR="00B7587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12182B">
                  <w:rPr>
                    <w:rStyle w:val="Hypertextovodkaz"/>
                    <w:noProof/>
                  </w:rPr>
                  <w:t xml:space="preserve">Příprava k laparoskopické </w:t>
                </w:r>
                <w:r w:rsidR="00935F45">
                  <w:rPr>
                    <w:rStyle w:val="Hypertextovodkaz"/>
                    <w:noProof/>
                  </w:rPr>
                  <w:t>cholecystektomii</w:t>
                </w:r>
                <w:r w:rsidR="00B75879">
                  <w:rPr>
                    <w:noProof/>
                    <w:webHidden/>
                  </w:rPr>
                  <w:tab/>
                </w:r>
                <w:r w:rsidR="00B75879">
                  <w:rPr>
                    <w:noProof/>
                    <w:webHidden/>
                  </w:rPr>
                  <w:fldChar w:fldCharType="begin"/>
                </w:r>
                <w:r w:rsidR="00B75879">
                  <w:rPr>
                    <w:noProof/>
                    <w:webHidden/>
                  </w:rPr>
                  <w:instrText xml:space="preserve"> PAGEREF _Toc2426293 \h </w:instrText>
                </w:r>
                <w:r w:rsidR="00B75879">
                  <w:rPr>
                    <w:noProof/>
                    <w:webHidden/>
                  </w:rPr>
                </w:r>
                <w:r w:rsidR="00B75879">
                  <w:rPr>
                    <w:noProof/>
                    <w:webHidden/>
                  </w:rPr>
                  <w:fldChar w:fldCharType="separate"/>
                </w:r>
                <w:r w:rsidR="00B75879">
                  <w:rPr>
                    <w:noProof/>
                    <w:webHidden/>
                  </w:rPr>
                  <w:t>3</w:t>
                </w:r>
                <w:r w:rsidR="00B75879">
                  <w:rPr>
                    <w:noProof/>
                    <w:webHidden/>
                  </w:rPr>
                  <w:fldChar w:fldCharType="end"/>
                </w:r>
              </w:hyperlink>
            </w:p>
            <w:p w14:paraId="65206FDB" w14:textId="58123336" w:rsidR="00B75879" w:rsidRDefault="00D00E6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5" w:history="1">
                <w:r w:rsidR="00B75879" w:rsidRPr="00975BF2">
                  <w:rPr>
                    <w:rStyle w:val="Hypertextovodkaz"/>
                    <w:noProof/>
                  </w:rPr>
                  <w:t>2</w:t>
                </w:r>
                <w:r w:rsidR="00B7587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75879" w:rsidRPr="00975BF2">
                  <w:rPr>
                    <w:rStyle w:val="Hypertextovodkaz"/>
                    <w:noProof/>
                  </w:rPr>
                  <w:t>Pedagogicko didaktické poznámky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5</w:t>
                </w:r>
              </w:hyperlink>
            </w:p>
            <w:p w14:paraId="287017E0" w14:textId="07A42905" w:rsidR="00B75879" w:rsidRDefault="00D00E6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6" w:history="1">
                <w:r w:rsidR="00B75879" w:rsidRPr="00975BF2">
                  <w:rPr>
                    <w:rStyle w:val="Hypertextovodkaz"/>
                    <w:noProof/>
                  </w:rPr>
                  <w:t>Použitá Literatura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6</w:t>
                </w:r>
              </w:hyperlink>
            </w:p>
            <w:p w14:paraId="6F50B4C1" w14:textId="50C800BD" w:rsidR="00B75879" w:rsidRDefault="00D00E6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7" w:history="1">
                <w:r w:rsidR="00B75879" w:rsidRPr="00975BF2">
                  <w:rPr>
                    <w:rStyle w:val="Hypertextovodkaz"/>
                    <w:noProof/>
                  </w:rPr>
                  <w:t>Přehled dostupných ikon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7</w:t>
                </w:r>
              </w:hyperlink>
            </w:p>
            <w:p w14:paraId="462741A1" w14:textId="0A794E1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D00E6D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FD0E8C5" w:rsidR="00F27CDE" w:rsidRDefault="00CD1A23" w:rsidP="00AF05CF">
      <w:pPr>
        <w:pStyle w:val="Nadpis1"/>
      </w:pPr>
      <w:r>
        <w:rPr>
          <w:noProof/>
        </w:rPr>
        <w:lastRenderedPageBreak/>
        <w:t xml:space="preserve">Příprava k laparoskopické </w:t>
      </w:r>
      <w:r w:rsidR="00031A8B">
        <w:rPr>
          <w:noProof/>
        </w:rPr>
        <w:t>cholecystektomii</w:t>
      </w:r>
    </w:p>
    <w:p w14:paraId="4F62C0E2" w14:textId="3D59AA29" w:rsidR="00F27CDE" w:rsidRDefault="00F27CDE" w:rsidP="00E71408">
      <w:pPr>
        <w:pStyle w:val="parNadpisPrvkuCerveny"/>
        <w:pBdr>
          <w:top w:val="single" w:sz="4" w:space="0" w:color="auto"/>
        </w:pBdr>
      </w:pPr>
      <w:r>
        <w:t>Průvodce textem – poznámka pro nestanda</w:t>
      </w:r>
      <w:r w:rsidR="00EB4299">
        <w:t>rd</w:t>
      </w:r>
      <w:r>
        <w:t>ní A/V balíčky</w:t>
      </w:r>
    </w:p>
    <w:p w14:paraId="1A8E8DE6" w14:textId="77777777" w:rsidR="00F27CDE" w:rsidRDefault="00F27CDE" w:rsidP="00F27CD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6A4A6B8" wp14:editId="459CB091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970F" w14:textId="3D152793" w:rsidR="00060811" w:rsidRPr="00060811" w:rsidRDefault="00E71408" w:rsidP="00F27CDE">
      <w:pPr>
        <w:pStyle w:val="Tlotextu"/>
        <w:rPr>
          <w:b/>
        </w:rPr>
      </w:pPr>
      <w:r>
        <w:t>Video je ve standardním formátu mp4. Je potřebný základní PC nebo MAC s příslušnou aplikací pro přehrávání video souborů.</w:t>
      </w:r>
    </w:p>
    <w:p w14:paraId="46A3D810" w14:textId="77777777" w:rsidR="00F27CDE" w:rsidRDefault="00F27CDE" w:rsidP="00F27CDE">
      <w:pPr>
        <w:pStyle w:val="parUkonceniPrvku"/>
      </w:pPr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7C52" w14:textId="66783E04" w:rsidR="00CF098A" w:rsidRDefault="00AF05CF" w:rsidP="00213E90">
      <w:pPr>
        <w:pStyle w:val="Tlotextu"/>
      </w:pPr>
      <w:bookmarkStart w:id="0" w:name="_Hlk65527928"/>
      <w:r>
        <w:t>Je potřebná základní orientace v</w:t>
      </w:r>
      <w:r w:rsidR="00031A8B">
        <w:t> chirurgické terminologii a organizaci operačního sálu jakož i znalost ošetřovatelských postupů u chirurgického pacienta</w:t>
      </w:r>
      <w:r>
        <w:t xml:space="preserve">. </w:t>
      </w:r>
    </w:p>
    <w:bookmarkEnd w:id="0"/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4F26999F" w:rsidR="00CF098A" w:rsidRPr="00A803C2" w:rsidRDefault="00AF05CF" w:rsidP="006A27D7">
      <w:pPr>
        <w:pStyle w:val="Tlotextu"/>
        <w:rPr>
          <w:b/>
        </w:rPr>
      </w:pPr>
      <w:r>
        <w:t xml:space="preserve">Video zachycuje bezprostřední přípravu pacienta před laparoskopickou </w:t>
      </w:r>
      <w:r w:rsidR="00031A8B">
        <w:t xml:space="preserve">cholecystektomii </w:t>
      </w:r>
      <w:r>
        <w:t>od navezení na operační sál po zahájení operace</w:t>
      </w:r>
      <w:r w:rsidR="00031A8B">
        <w:t xml:space="preserve"> spolu s úvodním postavením operačního týmu.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5551D574" w:rsidR="00B76054" w:rsidRPr="00CF098A" w:rsidRDefault="00AF05CF" w:rsidP="00CF098A">
      <w:pPr>
        <w:pStyle w:val="Tlotextu"/>
        <w:rPr>
          <w:b/>
        </w:rPr>
      </w:pPr>
      <w:r>
        <w:t xml:space="preserve">Získání </w:t>
      </w:r>
      <w:r w:rsidR="00CD1A23">
        <w:t xml:space="preserve">konkrétních </w:t>
      </w:r>
      <w:r>
        <w:t xml:space="preserve">vědomostí o dění na operačním sále, způsobu a rozsahu přípravy pacienta před operací. Video rovněž napomáhá </w:t>
      </w:r>
      <w:r w:rsidR="00CD1A23">
        <w:t>získat</w:t>
      </w:r>
      <w:r>
        <w:t xml:space="preserve"> prostorovou představu o organizaci operačního sálu</w:t>
      </w:r>
      <w:r w:rsidR="00CD1A23">
        <w:t xml:space="preserve"> a objasnit návaznost jednotlivých technik a postupů. </w:t>
      </w:r>
      <w:r>
        <w:t xml:space="preserve">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33E1B5CC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EB4299">
        <w:t xml:space="preserve">slova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2C69559E" w:rsidR="00CF098A" w:rsidRPr="00CF098A" w:rsidRDefault="00AF05CF" w:rsidP="00CF098A">
      <w:pPr>
        <w:pStyle w:val="Tlotextu"/>
        <w:rPr>
          <w:b/>
        </w:rPr>
      </w:pPr>
      <w:r>
        <w:t xml:space="preserve">Laparoskopická </w:t>
      </w:r>
      <w:r w:rsidR="00031A8B">
        <w:t>cholecystektomie</w:t>
      </w:r>
      <w:r>
        <w:t>, příprava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0C76464A" w:rsidR="008F55D1" w:rsidRDefault="00B75879" w:rsidP="008F55D1">
      <w:pPr>
        <w:pStyle w:val="Tlotextu"/>
      </w:pPr>
      <w:r>
        <w:t>Stopáž studijního materiálu:</w:t>
      </w:r>
      <w:r w:rsidR="00AF05CF">
        <w:t xml:space="preserve"> </w:t>
      </w:r>
      <w:proofErr w:type="gramStart"/>
      <w:r w:rsidR="00AF05CF">
        <w:t>6min</w:t>
      </w:r>
      <w:proofErr w:type="gramEnd"/>
      <w:r w:rsidR="00AF05CF">
        <w:t xml:space="preserve"> </w:t>
      </w:r>
      <w:r w:rsidR="00031A8B">
        <w:t>16</w:t>
      </w:r>
      <w:r w:rsidR="00AF05CF">
        <w:t>s</w:t>
      </w:r>
    </w:p>
    <w:p w14:paraId="1161CAB1" w14:textId="2EA03934" w:rsidR="00B75879" w:rsidRDefault="00B75879" w:rsidP="008F55D1">
      <w:pPr>
        <w:pStyle w:val="Tlotextu"/>
      </w:pPr>
      <w:r>
        <w:t>Doporučený čas ke studiu:</w:t>
      </w:r>
      <w:r w:rsidR="00031A8B">
        <w:t>2 hodiny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0864" w14:textId="77777777" w:rsidR="00641CE2" w:rsidRDefault="00641CE2" w:rsidP="00641CE2">
      <w:r>
        <w:t xml:space="preserve">MICHALSKÝ, R., VOLFOVÁ, I. </w:t>
      </w:r>
      <w:r>
        <w:rPr>
          <w:i/>
          <w:iCs/>
        </w:rPr>
        <w:t>Kapitoly z obecné chirurgie pro studující ošetřovatelství</w:t>
      </w:r>
      <w:r>
        <w:t xml:space="preserve">. Opava: Slezská </w:t>
      </w:r>
      <w:proofErr w:type="gramStart"/>
      <w:r>
        <w:t>univerzita  v</w:t>
      </w:r>
      <w:proofErr w:type="gramEnd"/>
      <w:r>
        <w:t xml:space="preserve"> Opavě, 2008. ISBN 978-80-7248-464-5. </w:t>
      </w:r>
    </w:p>
    <w:p w14:paraId="5CF2CC8D" w14:textId="637621FE" w:rsidR="00641CE2" w:rsidRDefault="00641CE2" w:rsidP="00641CE2">
      <w:r>
        <w:t xml:space="preserve">JANÍKOVÁ, E., ZELENÍKOVÁ, </w:t>
      </w:r>
      <w:proofErr w:type="spellStart"/>
      <w:r>
        <w:t>R.</w:t>
      </w:r>
      <w:r>
        <w:rPr>
          <w:i/>
        </w:rPr>
        <w:t>Ošetřovatelská</w:t>
      </w:r>
      <w:proofErr w:type="spellEnd"/>
      <w:r>
        <w:rPr>
          <w:i/>
        </w:rPr>
        <w:t xml:space="preserve"> péče v chirurgii</w:t>
      </w:r>
      <w:r>
        <w:rPr>
          <w:bdr w:val="none" w:sz="0" w:space="0" w:color="auto" w:frame="1"/>
        </w:rPr>
        <w:t xml:space="preserve">. Praha: </w:t>
      </w:r>
      <w:proofErr w:type="spellStart"/>
      <w:r>
        <w:rPr>
          <w:bdr w:val="none" w:sz="0" w:space="0" w:color="auto" w:frame="1"/>
        </w:rPr>
        <w:t>Grada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Publishing</w:t>
      </w:r>
      <w:proofErr w:type="spellEnd"/>
      <w:r>
        <w:t>, 2013. ISBN</w:t>
      </w:r>
      <w:r>
        <w:rPr>
          <w:b/>
          <w:bCs/>
        </w:rPr>
        <w:t xml:space="preserve"> </w:t>
      </w:r>
      <w:r>
        <w:rPr>
          <w:bCs/>
        </w:rPr>
        <w:t>978-80-247-4412-4</w:t>
      </w:r>
      <w:r>
        <w:t>.</w:t>
      </w:r>
    </w:p>
    <w:p w14:paraId="67134F3E" w14:textId="77777777" w:rsidR="00641CE2" w:rsidRPr="008B4DAE" w:rsidRDefault="00641CE2" w:rsidP="00641CE2">
      <w:pPr>
        <w:rPr>
          <w:bdr w:val="none" w:sz="0" w:space="0" w:color="auto" w:frame="1"/>
        </w:rPr>
      </w:pPr>
      <w:r w:rsidRPr="008B4DAE">
        <w:rPr>
          <w:bdr w:val="none" w:sz="0" w:space="0" w:color="auto" w:frame="1"/>
        </w:rPr>
        <w:t xml:space="preserve">DUDA, M. a kol. </w:t>
      </w:r>
      <w:r w:rsidRPr="008B4DAE">
        <w:rPr>
          <w:i/>
          <w:iCs/>
          <w:bdr w:val="none" w:sz="0" w:space="0" w:color="auto" w:frame="1"/>
        </w:rPr>
        <w:t>Práce sestry na operačním sále</w:t>
      </w:r>
      <w:r w:rsidRPr="008B4DAE">
        <w:rPr>
          <w:bdr w:val="none" w:sz="0" w:space="0" w:color="auto" w:frame="1"/>
        </w:rPr>
        <w:t xml:space="preserve">. Praha. </w:t>
      </w:r>
      <w:proofErr w:type="spellStart"/>
      <w:r w:rsidRPr="008B4DAE">
        <w:rPr>
          <w:bdr w:val="none" w:sz="0" w:space="0" w:color="auto" w:frame="1"/>
        </w:rPr>
        <w:t>Grada</w:t>
      </w:r>
      <w:proofErr w:type="spellEnd"/>
      <w:r w:rsidRPr="008B4DAE">
        <w:rPr>
          <w:bdr w:val="none" w:sz="0" w:space="0" w:color="auto" w:frame="1"/>
        </w:rPr>
        <w:t>, 2000. ISBN 80-7169-642-0.</w:t>
      </w:r>
    </w:p>
    <w:p w14:paraId="46030875" w14:textId="77777777" w:rsidR="00641CE2" w:rsidRDefault="00641CE2" w:rsidP="00641CE2"/>
    <w:p w14:paraId="12379398" w14:textId="77777777" w:rsidR="00213E90" w:rsidRDefault="00213E90" w:rsidP="00213E90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DA3" w14:textId="6B08AE73" w:rsidR="00213E90" w:rsidRDefault="00641CE2" w:rsidP="00213E90">
      <w:pPr>
        <w:pStyle w:val="Tlotextu"/>
      </w:pPr>
      <w:proofErr w:type="gramStart"/>
      <w:r>
        <w:t>PAFKO,P</w:t>
      </w:r>
      <w:proofErr w:type="gramEnd"/>
      <w:r>
        <w:t xml:space="preserve"> a kol</w:t>
      </w:r>
      <w:r w:rsidR="00AF05CF">
        <w:t xml:space="preserve">: Praktická laparoskopická a </w:t>
      </w:r>
      <w:proofErr w:type="spellStart"/>
      <w:r w:rsidR="00AF05CF">
        <w:t>torakoskopická</w:t>
      </w:r>
      <w:proofErr w:type="spellEnd"/>
      <w:r w:rsidR="00AF05CF">
        <w:t xml:space="preserve"> chirurgie, </w:t>
      </w:r>
      <w:proofErr w:type="spellStart"/>
      <w:r w:rsidR="00AF05CF">
        <w:t>Grada</w:t>
      </w:r>
      <w:proofErr w:type="spellEnd"/>
      <w:r w:rsidR="00AF05CF">
        <w:t>,</w:t>
      </w:r>
      <w:r>
        <w:t xml:space="preserve"> Praha,</w:t>
      </w:r>
      <w:r w:rsidR="00AF05CF">
        <w:t xml:space="preserve"> 1998, 108s, ISBN:80-7169-532-7</w:t>
      </w:r>
    </w:p>
    <w:p w14:paraId="2CFCC988" w14:textId="77777777" w:rsidR="00213E90" w:rsidRDefault="00213E90" w:rsidP="00213E90">
      <w:pPr>
        <w:pStyle w:val="parUkonceniPrvku"/>
      </w:pPr>
    </w:p>
    <w:p w14:paraId="15453359" w14:textId="0D491CFF" w:rsidR="00CF098A" w:rsidRDefault="00B75879" w:rsidP="00AF05CF">
      <w:pPr>
        <w:pStyle w:val="Nadpis1"/>
      </w:pPr>
      <w:bookmarkStart w:id="1" w:name="_Toc2426295"/>
      <w:r>
        <w:lastRenderedPageBreak/>
        <w:t>Pedagogicko didaktické poznámky</w:t>
      </w:r>
      <w:bookmarkEnd w:id="1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28" w14:textId="13DB71D2" w:rsidR="00CD5337" w:rsidRDefault="00CD5337" w:rsidP="00CF098A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641CE2">
        <w:t>0914- Lékařská diagnostika a léčebné techniky, 0913- Ošetřovatelství a porodní asistentství, 091- Zdravotní péče</w:t>
      </w:r>
    </w:p>
    <w:p w14:paraId="0381C9DC" w14:textId="7554C745" w:rsidR="00CF098A" w:rsidRDefault="00641CE2" w:rsidP="00CF098A">
      <w:pPr>
        <w:pStyle w:val="Tlotextu"/>
      </w:pPr>
      <w:r>
        <w:t xml:space="preserve">Po zvládnutí základní </w:t>
      </w:r>
      <w:r w:rsidR="00CD1A23">
        <w:t>chirurgické terminologie a organizace operačního sálu následuje shlédnutí výukového videa.</w:t>
      </w:r>
    </w:p>
    <w:p w14:paraId="2529C0CF" w14:textId="52A69FB7" w:rsidR="00CF098A" w:rsidRDefault="00CF098A" w:rsidP="00CF098A">
      <w:pPr>
        <w:pStyle w:val="parUkonceniPrvku"/>
      </w:pPr>
    </w:p>
    <w:p w14:paraId="2D7FB473" w14:textId="77777777" w:rsidR="00FF177A" w:rsidRDefault="00FF177A" w:rsidP="00FF177A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1503E3D2" w:rsidR="00CF098A" w:rsidRDefault="00CD1A23" w:rsidP="00CF098A">
      <w:pPr>
        <w:pStyle w:val="Tlotextu"/>
      </w:pPr>
      <w:r>
        <w:t>Komentovaná přednáška pro danou problematiku spojená s diskuzí.</w:t>
      </w:r>
    </w:p>
    <w:p w14:paraId="62BD1ED3" w14:textId="77777777" w:rsidR="00CF098A" w:rsidRDefault="00CF098A" w:rsidP="00CF098A">
      <w:pPr>
        <w:pStyle w:val="parUkonceniPrvku"/>
      </w:pP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090CD5F2" w:rsidR="000F0EE0" w:rsidRDefault="00CD1A23" w:rsidP="000F0EE0">
      <w:pPr>
        <w:pStyle w:val="Tlotextu"/>
      </w:pPr>
      <w:r>
        <w:t>Osobní účast studentů u operace spojená s odborným výkladem.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D00E6D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2" w:name="_Toc2426296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2" w:displacedByCustomXml="prev"/>
    <w:p w14:paraId="1553A128" w14:textId="296BDA03" w:rsidR="007C5AE8" w:rsidRDefault="00CD1A23" w:rsidP="007C5AE8">
      <w:r>
        <w:t xml:space="preserve">Vzhledem k charakteru výukového materiálu nebyla literatura použita. 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3" w:name="_Toc2426297"/>
      <w:r w:rsidRPr="004E2697">
        <w:lastRenderedPageBreak/>
        <w:t>Přehled dostupných ikon</w:t>
      </w:r>
      <w:bookmarkEnd w:id="3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4" w:name="frmCas" w:colFirst="0" w:colLast="0"/>
            <w:bookmarkStart w:id="5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6" w:name="frmKlicovaSlova" w:colFirst="0" w:colLast="0"/>
            <w:bookmarkStart w:id="7" w:name="frmOdpocinek" w:colFirst="2" w:colLast="2"/>
            <w:bookmarkEnd w:id="4"/>
            <w:bookmarkEnd w:id="5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8" w:name="frmPruvodceStudiem" w:colFirst="0" w:colLast="0"/>
            <w:bookmarkStart w:id="9" w:name="frmPruvodceTextem" w:colFirst="2" w:colLast="2"/>
            <w:bookmarkEnd w:id="6"/>
            <w:bookmarkEnd w:id="7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0" w:name="frmRychlyNahled" w:colFirst="0" w:colLast="0"/>
            <w:bookmarkStart w:id="11" w:name="frmShrnuti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2" w:name="frmTutorialy" w:colFirst="0" w:colLast="0"/>
            <w:bookmarkStart w:id="13" w:name="frmDefinice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4" w:name="frmKZapamatovani" w:colFirst="0" w:colLast="0"/>
            <w:bookmarkStart w:id="15" w:name="frmPripadovaStudie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6" w:name="frmResenaUloha" w:colFirst="0" w:colLast="0"/>
            <w:bookmarkStart w:id="17" w:name="frmVeta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8" w:name="frmKontrolniOtazka" w:colFirst="0" w:colLast="0"/>
            <w:bookmarkStart w:id="19" w:name="frmKorespondencniUkol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0" w:name="frmOdpovedi" w:colFirst="0" w:colLast="0"/>
            <w:bookmarkStart w:id="21" w:name="frmOtazky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2" w:name="frmSamostatnyUkol" w:colFirst="0" w:colLast="0"/>
            <w:bookmarkStart w:id="23" w:name="frmLiteratura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4" w:name="frmProZajemce" w:colFirst="0" w:colLast="0"/>
            <w:bookmarkStart w:id="25" w:name="frmUkolKZamysleni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4"/>
      <w:bookmarkEnd w:id="25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1F37A00A" w:rsidR="007C7BE5" w:rsidRDefault="00D00E6D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CD1A23">
            <w:rPr>
              <w:b/>
              <w:noProof/>
            </w:rPr>
            <w:t xml:space="preserve">Příprava k laparoskopické </w:t>
          </w:r>
          <w:r w:rsidR="00031A8B">
            <w:rPr>
              <w:b/>
              <w:noProof/>
            </w:rPr>
            <w:t>cholecystektomii</w:t>
          </w:r>
        </w:sdtContent>
      </w:sdt>
    </w:p>
    <w:p w14:paraId="09474BAE" w14:textId="631F2DB9" w:rsidR="007C7BE5" w:rsidRDefault="00D00E6D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CD1A23">
            <w:rPr>
              <w:b/>
            </w:rPr>
            <w:t>Matúš Peteja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6FA4FA57" w:rsidR="007C7BE5" w:rsidRDefault="00203AE6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52EE1041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  <w:t xml:space="preserve">studentům SU </w:t>
          </w:r>
          <w:r w:rsidR="00203AE6">
            <w:t>FVP</w:t>
          </w:r>
          <w:bookmarkStart w:id="26" w:name="_GoBack"/>
          <w:bookmarkEnd w:id="26"/>
          <w:r>
            <w:t xml:space="preserve"> </w:t>
          </w:r>
          <w:r w:rsidR="00D9582E">
            <w:t>Opava</w:t>
          </w:r>
        </w:p>
      </w:sdtContent>
    </w:sdt>
    <w:p w14:paraId="0D18933B" w14:textId="36A247C4" w:rsidR="007C7BE5" w:rsidRDefault="00D00E6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BE4F20">
            <w:rPr>
              <w:noProof/>
            </w:rPr>
            <w:t>8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FD2D" w14:textId="77777777" w:rsidR="00D00E6D" w:rsidRDefault="00D00E6D" w:rsidP="00B60DC8">
      <w:pPr>
        <w:spacing w:after="0" w:line="240" w:lineRule="auto"/>
      </w:pPr>
      <w:r>
        <w:separator/>
      </w:r>
    </w:p>
  </w:endnote>
  <w:endnote w:type="continuationSeparator" w:id="0">
    <w:p w14:paraId="4D019487" w14:textId="77777777" w:rsidR="00D00E6D" w:rsidRDefault="00D00E6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2216588" w:rsidR="00AF05CF" w:rsidRDefault="00AF05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AF05CF" w:rsidRDefault="00AF05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AF05CF" w:rsidRDefault="00AF05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AF05CF" w:rsidRDefault="00AF05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1C2892A" w:rsidR="00AF05CF" w:rsidRDefault="00AF05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20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AF05CF" w:rsidRDefault="00AF05C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35FDDCA" w:rsidR="00AF05CF" w:rsidRDefault="00AF05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20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AF05CF" w:rsidRDefault="00AF05C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AF05CF" w:rsidRDefault="00AF05C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AF05CF" w:rsidRDefault="00AF0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6121" w14:textId="77777777" w:rsidR="00D00E6D" w:rsidRDefault="00D00E6D" w:rsidP="00B60DC8">
      <w:pPr>
        <w:spacing w:after="0" w:line="240" w:lineRule="auto"/>
      </w:pPr>
      <w:r>
        <w:separator/>
      </w:r>
    </w:p>
  </w:footnote>
  <w:footnote w:type="continuationSeparator" w:id="0">
    <w:p w14:paraId="3BE4EFA1" w14:textId="77777777" w:rsidR="00D00E6D" w:rsidRDefault="00D00E6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AF05CF" w:rsidRDefault="00AF05C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AF05CF" w:rsidRDefault="00AF05C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76F4" w14:textId="16AD43A6" w:rsidR="008F73AE" w:rsidRPr="008F55D1" w:rsidRDefault="008F73AE" w:rsidP="008F73AE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5D834970" w:rsidR="00AF05CF" w:rsidRDefault="00AF05C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BAA5" w14:textId="6F4B16EB" w:rsidR="008F73AE" w:rsidRPr="008F55D1" w:rsidRDefault="008F73AE" w:rsidP="008F73AE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EBAC" w14:textId="3E515C20" w:rsidR="008F73AE" w:rsidRDefault="008F73AE" w:rsidP="008F73AE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EA0D" w14:textId="7A6F6309" w:rsidR="008F73AE" w:rsidRPr="008F55D1" w:rsidRDefault="008F73AE" w:rsidP="008F73AE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DFDC" w14:textId="148EB733" w:rsidR="008F73AE" w:rsidRDefault="008F73AE" w:rsidP="008F73AE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03AE6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03AE6">
      <w:rPr>
        <w:i/>
        <w:noProof/>
      </w:rPr>
      <w:t>Příprava k laparoskopické cholecystektomii</w:t>
    </w:r>
    <w:r w:rsidR="00203AE6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AF05CF" w:rsidRPr="00C87D9B" w:rsidRDefault="00AF05C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AF05CF" w:rsidRPr="00C87D9B" w:rsidRDefault="00AF05C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1A8B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182B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03AE6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3B96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41CE2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221E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8F73AE"/>
    <w:rsid w:val="009011E0"/>
    <w:rsid w:val="00902F6A"/>
    <w:rsid w:val="009336AD"/>
    <w:rsid w:val="00935F45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1E65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16C99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05CF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4F20"/>
    <w:rsid w:val="00BF697F"/>
    <w:rsid w:val="00C07D62"/>
    <w:rsid w:val="00C10C2E"/>
    <w:rsid w:val="00C2242A"/>
    <w:rsid w:val="00C244DE"/>
    <w:rsid w:val="00C273BC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1A23"/>
    <w:rsid w:val="00CD5337"/>
    <w:rsid w:val="00CE30AD"/>
    <w:rsid w:val="00CF098A"/>
    <w:rsid w:val="00CF3DE1"/>
    <w:rsid w:val="00D00E6D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1408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B4299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5884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80B9DFAE-472F-45B5-AF90-1A091020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820A2"/>
    <w:rsid w:val="000F32F1"/>
    <w:rsid w:val="0022418E"/>
    <w:rsid w:val="00231964"/>
    <w:rsid w:val="00272EDA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97775"/>
    <w:rsid w:val="008A67F0"/>
    <w:rsid w:val="008C3C3A"/>
    <w:rsid w:val="008D71AC"/>
    <w:rsid w:val="009F23AE"/>
    <w:rsid w:val="00AB6A72"/>
    <w:rsid w:val="00B76D21"/>
    <w:rsid w:val="00BB36DB"/>
    <w:rsid w:val="00C101F3"/>
    <w:rsid w:val="00C17660"/>
    <w:rsid w:val="00C27552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3" ma:contentTypeDescription="Vytvoří nový dokument" ma:contentTypeScope="" ma:versionID="ee5b6b88d513909e3ec28fe3579bebc3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7298930277b2b3e53e458440e5182639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69BCA-9D9F-4ADE-89BF-3580C923C207}"/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CF643-F315-4500-8AAC-FDCCF6E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10</cp:revision>
  <cp:lastPrinted>2015-04-15T12:20:00Z</cp:lastPrinted>
  <dcterms:created xsi:type="dcterms:W3CDTF">2021-03-01T20:32:00Z</dcterms:created>
  <dcterms:modified xsi:type="dcterms:W3CDTF">2021-03-05T13:16:00Z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